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600" w:hanging="38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36" w:lineRule="exact"/>
        <w:rPr>
          <w:sz w:val="24"/>
          <w:szCs w:val="24"/>
          <w:color w:val="auto"/>
        </w:rPr>
      </w:pPr>
    </w:p>
    <w:p>
      <w:pPr>
        <w:ind w:left="560" w:hanging="362"/>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001-36002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Clearway Energy,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46-1777204</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82"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ind w:left="2160" w:right="120" w:hanging="1480"/>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93" w:lineRule="exact"/>
        <w:rPr>
          <w:sz w:val="24"/>
          <w:szCs w:val="24"/>
          <w:color w:val="auto"/>
        </w:rPr>
      </w:pPr>
    </w:p>
    <w:p>
      <w:pPr>
        <w:sectPr>
          <w:pgSz w:w="11900" w:h="16838" w:orient="portrait"/>
          <w:cols w:equalWidth="0" w:num="3">
            <w:col w:w="5140" w:space="720"/>
            <w:col w:w="2180" w:space="720"/>
            <w:col w:w="2480"/>
          </w:cols>
          <w:pgMar w:left="320" w:top="1440" w:right="3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Title of each class</w:t>
            </w:r>
          </w:p>
        </w:tc>
        <w:tc>
          <w:tcPr>
            <w:tcW w:w="26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left="4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90"/>
              </w:rPr>
              <w:t>Class A Common Stock, par value $0.01</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7"/>
              </w:rPr>
              <w:t>CWEN.A</w:t>
            </w:r>
          </w:p>
        </w:tc>
        <w:tc>
          <w:tcPr>
            <w:tcW w:w="3900" w:type="dxa"/>
            <w:vAlign w:val="bottom"/>
          </w:tcPr>
          <w:p>
            <w:pPr>
              <w:jc w:val="center"/>
              <w:ind w:left="470"/>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89"/>
              </w:rPr>
              <w:t>Class C Common Stock, par value $0.01</w:t>
            </w:r>
          </w:p>
        </w:tc>
        <w:tc>
          <w:tcPr>
            <w:tcW w:w="2660" w:type="dxa"/>
            <w:vAlign w:val="bottom"/>
          </w:tcPr>
          <w:p>
            <w:pPr>
              <w:jc w:val="center"/>
              <w:ind w:left="10"/>
              <w:spacing w:after="0"/>
              <w:rPr>
                <w:sz w:val="20"/>
                <w:szCs w:val="20"/>
                <w:color w:val="auto"/>
              </w:rPr>
            </w:pPr>
            <w:r>
              <w:rPr>
                <w:rFonts w:ascii="Arial" w:cs="Arial" w:eastAsia="Arial" w:hAnsi="Arial"/>
                <w:sz w:val="18"/>
                <w:szCs w:val="18"/>
                <w:color w:val="auto"/>
                <w:w w:val="94"/>
              </w:rPr>
              <w:t>CWEN</w:t>
            </w:r>
          </w:p>
        </w:tc>
        <w:tc>
          <w:tcPr>
            <w:tcW w:w="3900" w:type="dxa"/>
            <w:vAlign w:val="bottom"/>
          </w:tcPr>
          <w:p>
            <w:pPr>
              <w:jc w:val="center"/>
              <w:ind w:left="470"/>
              <w:spacing w:after="0"/>
              <w:rPr>
                <w:sz w:val="20"/>
                <w:szCs w:val="20"/>
                <w:color w:val="auto"/>
              </w:rPr>
            </w:pPr>
            <w:r>
              <w:rPr>
                <w:rFonts w:ascii="Arial" w:cs="Arial" w:eastAsia="Arial" w:hAnsi="Arial"/>
                <w:sz w:val="18"/>
                <w:szCs w:val="18"/>
                <w:color w:val="auto"/>
                <w:w w:val="91"/>
              </w:rPr>
              <w:t>New York Stock Exchange</w:t>
            </w:r>
          </w:p>
        </w:tc>
      </w:tr>
    </w:tbl>
    <w:p>
      <w:pPr>
        <w:spacing w:after="0" w:line="166" w:lineRule="exact"/>
        <w:rPr>
          <w:sz w:val="24"/>
          <w:szCs w:val="24"/>
          <w:color w:val="auto"/>
        </w:rPr>
      </w:pPr>
    </w:p>
    <w:p>
      <w:pPr>
        <w:jc w:val="both"/>
        <w:ind w:firstLine="284"/>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284"/>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4" w:lineRule="exact"/>
        <w:rPr>
          <w:sz w:val="24"/>
          <w:szCs w:val="24"/>
          <w:color w:val="auto"/>
        </w:rPr>
      </w:pPr>
    </w:p>
    <w:p>
      <w:pPr>
        <w:jc w:val="center"/>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284"/>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200" w:type="dxa"/>
        <w:tblCellMar>
          <w:top w:w="0" w:type="dxa"/>
          <w:left w:w="0" w:type="dxa"/>
          <w:bottom w:w="0" w:type="dxa"/>
          <w:right w:w="0" w:type="dxa"/>
        </w:tblCellMar>
      </w:tblPr>
      <w:tr>
        <w:trPr>
          <w:trHeight w:val="257"/>
        </w:trPr>
        <w:tc>
          <w:tcPr>
            <w:tcW w:w="2280" w:type="dxa"/>
            <w:vAlign w:val="bottom"/>
          </w:tcPr>
          <w:p>
            <w:pPr>
              <w:jc w:val="center"/>
              <w:ind w:right="590"/>
              <w:spacing w:after="0"/>
              <w:rPr>
                <w:sz w:val="20"/>
                <w:szCs w:val="20"/>
                <w:color w:val="auto"/>
              </w:rPr>
            </w:pPr>
            <w:r>
              <w:rPr>
                <w:rFonts w:ascii="Arial" w:cs="Arial" w:eastAsia="Arial" w:hAnsi="Arial"/>
                <w:sz w:val="18"/>
                <w:szCs w:val="18"/>
                <w:color w:val="auto"/>
                <w:w w:val="89"/>
              </w:rPr>
              <w:t>Large accelerated filer</w:t>
            </w:r>
          </w:p>
        </w:tc>
        <w:tc>
          <w:tcPr>
            <w:tcW w:w="14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7"/>
        </w:trPr>
        <w:tc>
          <w:tcPr>
            <w:tcW w:w="2280" w:type="dxa"/>
            <w:vAlign w:val="bottom"/>
          </w:tcPr>
          <w:p>
            <w:pPr>
              <w:jc w:val="center"/>
              <w:ind w:right="590"/>
              <w:spacing w:after="0"/>
              <w:rPr>
                <w:sz w:val="20"/>
                <w:szCs w:val="20"/>
                <w:color w:val="auto"/>
              </w:rPr>
            </w:pPr>
            <w:r>
              <w:rPr>
                <w:rFonts w:ascii="Arial" w:cs="Arial" w:eastAsia="Arial" w:hAnsi="Arial"/>
                <w:sz w:val="18"/>
                <w:szCs w:val="18"/>
                <w:color w:val="auto"/>
                <w:w w:val="91"/>
              </w:rPr>
              <w:t>Non-accelerated filer</w:t>
            </w:r>
          </w:p>
        </w:tc>
        <w:tc>
          <w:tcPr>
            <w:tcW w:w="14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jc w:val="both"/>
        <w:ind w:firstLine="324"/>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3" w:lineRule="exact"/>
        <w:rPr>
          <w:sz w:val="24"/>
          <w:szCs w:val="24"/>
          <w:color w:val="auto"/>
        </w:rPr>
      </w:pPr>
    </w:p>
    <w:p>
      <w:pPr>
        <w:ind w:left="508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284"/>
        <w:spacing w:after="0" w:line="230" w:lineRule="auto"/>
        <w:rPr>
          <w:sz w:val="20"/>
          <w:szCs w:val="20"/>
          <w:color w:val="auto"/>
        </w:rPr>
      </w:pPr>
      <w:r>
        <w:rPr>
          <w:rFonts w:ascii="Arial" w:cs="Arial" w:eastAsia="Arial" w:hAnsi="Arial"/>
          <w:sz w:val="16"/>
          <w:szCs w:val="16"/>
          <w:color w:val="auto"/>
        </w:rPr>
        <w:t>As of July 31, 2023, there were 34,613,853 shares of Class A common stock outstanding, par value $0.01 per share, 42,738,750 shares of Class B common stock outstanding, par value $0.01 per share, 82,385,884 shares of Class C common stock outstanding, par value $0.01 per share, and 42,336,750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920" w:type="dxa"/>
            <w:vAlign w:val="bottom"/>
            <w:gridSpan w:val="17"/>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800" w:type="dxa"/>
            <w:vAlign w:val="bottom"/>
            <w:gridSpan w:val="14"/>
          </w:tcPr>
          <w:p>
            <w:pPr>
              <w:spacing w:after="0"/>
              <w:rPr>
                <w:sz w:val="20"/>
                <w:szCs w:val="20"/>
                <w:color w:val="auto"/>
              </w:rPr>
            </w:pPr>
            <w:r>
              <w:rPr>
                <w:rFonts w:ascii="Arial" w:cs="Arial" w:eastAsia="Arial" w:hAnsi="Arial"/>
                <w:sz w:val="18"/>
                <w:szCs w:val="18"/>
                <w:b w:val="1"/>
                <w:bCs w:val="1"/>
                <w:color w:val="0000FF"/>
              </w:rPr>
              <w:t>GLOSSARY OF TERMS</w:t>
            </w:r>
          </w:p>
        </w:tc>
        <w:tc>
          <w:tcPr>
            <w:tcW w:w="3120" w:type="dxa"/>
            <w:vAlign w:val="bottom"/>
            <w:gridSpan w:val="3"/>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3240" w:type="dxa"/>
            <w:vAlign w:val="bottom"/>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680" w:type="dxa"/>
            <w:vAlign w:val="bottom"/>
            <w:gridSpan w:val="7"/>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sz w:val="20"/>
                <w:szCs w:val="20"/>
                <w:color w:val="auto"/>
              </w:rPr>
            </w:pPr>
            <w:r>
              <w:rPr>
                <w:rFonts w:ascii="Arial" w:cs="Arial" w:eastAsia="Arial" w:hAnsi="Arial"/>
                <w:sz w:val="18"/>
                <w:szCs w:val="18"/>
                <w:color w:val="0000FF"/>
                <w:w w:val="96"/>
              </w:rPr>
              <w:t>ITEM 1 — FINANCIAL STATEMENTS AND NOTES</w:t>
            </w:r>
          </w:p>
        </w:tc>
        <w:tc>
          <w:tcPr>
            <w:tcW w:w="5660" w:type="dxa"/>
            <w:vAlign w:val="bottom"/>
            <w:gridSpan w:val="4"/>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6"/>
              </w:rPr>
              <w:t>ITEM 2 — MANAGEMENT’S DISCUSSION AND ANALYSIS OF FINANCIAL CONDITION AND RESULTS OF OPERATIONS</w:t>
            </w: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4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20" w:type="dxa"/>
            <w:vAlign w:val="bottom"/>
            <w:gridSpan w:val="16"/>
          </w:tcPr>
          <w:p>
            <w:pPr>
              <w:spacing w:after="0"/>
              <w:rPr>
                <w:sz w:val="20"/>
                <w:szCs w:val="20"/>
                <w:color w:val="auto"/>
              </w:rPr>
            </w:pPr>
            <w:r>
              <w:rPr>
                <w:rFonts w:ascii="Arial" w:cs="Arial" w:eastAsia="Arial" w:hAnsi="Arial"/>
                <w:sz w:val="18"/>
                <w:szCs w:val="18"/>
                <w:color w:val="0000FF"/>
              </w:rPr>
              <w:t>ITEM 3 — QUANTITATIVE AND QUALITATIVE DISCLOSURES ABOUT MARKET RISK</w:t>
            </w: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51</w:t>
            </w:r>
          </w:p>
        </w:tc>
        <w:tc>
          <w:tcPr>
            <w:tcW w:w="4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4"/>
              </w:rPr>
              <w:t>ITEM 4 — CONTROLS AND PROCEDURES</w:t>
            </w:r>
          </w:p>
        </w:tc>
        <w:tc>
          <w:tcPr>
            <w:tcW w:w="3520" w:type="dxa"/>
            <w:vAlign w:val="bottom"/>
            <w:tcBorders>
              <w:top w:val="single" w:sz="8" w:color="0000FF"/>
            </w:tcBorders>
            <w:gridSpan w:val="4"/>
          </w:tcPr>
          <w:p>
            <w:pPr>
              <w:spacing w:after="0"/>
              <w:rPr>
                <w:sz w:val="18"/>
                <w:szCs w:val="18"/>
                <w:color w:val="auto"/>
              </w:rPr>
            </w:pPr>
          </w:p>
        </w:tc>
        <w:tc>
          <w:tcPr>
            <w:tcW w:w="2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6960" w:type="dxa"/>
            <w:vAlign w:val="bottom"/>
            <w:gridSpan w:val="8"/>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4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5"/>
              </w:rPr>
              <w:t>ITEM 1 — LEGAL PROCEEDINGS</w:t>
            </w:r>
          </w:p>
        </w:tc>
        <w:tc>
          <w:tcPr>
            <w:tcW w:w="7000" w:type="dxa"/>
            <w:vAlign w:val="bottom"/>
            <w:gridSpan w:val="10"/>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40" w:type="dxa"/>
            <w:vAlign w:val="bottom"/>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ITEM 1A — RISK FACTORS</w:t>
            </w:r>
          </w:p>
        </w:tc>
        <w:tc>
          <w:tcPr>
            <w:tcW w:w="7500" w:type="dxa"/>
            <w:vAlign w:val="bottom"/>
            <w:gridSpan w:val="11"/>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20" w:type="dxa"/>
            <w:vAlign w:val="bottom"/>
            <w:gridSpan w:val="16"/>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4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40" w:type="dxa"/>
            <w:vAlign w:val="bottom"/>
            <w:tcBorders>
              <w:top w:val="single" w:sz="8" w:color="0000FF"/>
            </w:tcBorders>
            <w:gridSpan w:val="2"/>
          </w:tcPr>
          <w:p>
            <w:pPr>
              <w:spacing w:after="0"/>
              <w:rPr>
                <w:sz w:val="19"/>
                <w:szCs w:val="19"/>
                <w:color w:val="auto"/>
              </w:rPr>
            </w:pPr>
          </w:p>
        </w:tc>
        <w:tc>
          <w:tcPr>
            <w:tcW w:w="282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40" w:type="dxa"/>
            <w:vAlign w:val="bottom"/>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4</w:t>
            </w:r>
          </w:p>
        </w:tc>
        <w:tc>
          <w:tcPr>
            <w:tcW w:w="9120" w:type="dxa"/>
            <w:vAlign w:val="bottom"/>
            <w:gridSpan w:val="15"/>
          </w:tcPr>
          <w:p>
            <w:pPr>
              <w:ind w:left="20"/>
              <w:spacing w:after="0"/>
              <w:rPr>
                <w:sz w:val="20"/>
                <w:szCs w:val="20"/>
                <w:color w:val="auto"/>
              </w:rPr>
            </w:pPr>
            <w:r>
              <w:rPr>
                <w:rFonts w:ascii="Arial" w:cs="Arial" w:eastAsia="Arial" w:hAnsi="Arial"/>
                <w:sz w:val="18"/>
                <w:szCs w:val="18"/>
                <w:color w:val="0000FF"/>
              </w:rPr>
              <w:t>— MINE SAFETY DISCLOSURES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53</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top w:val="single" w:sz="8" w:color="0000FF"/>
              <w:bottom w:val="single" w:sz="8" w:color="0000FF"/>
            </w:tcBorders>
            <w:gridSpan w:val="6"/>
          </w:tcPr>
          <w:p>
            <w:pPr>
              <w:ind w:left="20"/>
              <w:spacing w:after="0"/>
              <w:rPr>
                <w:sz w:val="20"/>
                <w:szCs w:val="20"/>
                <w:color w:val="auto"/>
              </w:rPr>
            </w:pPr>
            <w:r>
              <w:rPr>
                <w:rFonts w:ascii="Arial" w:cs="Arial" w:eastAsia="Arial" w:hAnsi="Arial"/>
                <w:sz w:val="18"/>
                <w:szCs w:val="18"/>
                <w:color w:val="0000FF"/>
                <w:w w:val="96"/>
              </w:rPr>
              <w:t>— OTHER INFORMATION</w:t>
            </w:r>
          </w:p>
        </w:tc>
        <w:tc>
          <w:tcPr>
            <w:tcW w:w="540" w:type="dxa"/>
            <w:vAlign w:val="bottom"/>
            <w:tcBorders>
              <w:top w:val="single" w:sz="8" w:color="0000FF"/>
            </w:tcBorders>
            <w:gridSpan w:val="3"/>
          </w:tcPr>
          <w:p>
            <w:pPr>
              <w:spacing w:after="0"/>
              <w:rPr>
                <w:sz w:val="18"/>
                <w:szCs w:val="18"/>
                <w:color w:val="auto"/>
              </w:rPr>
            </w:pPr>
          </w:p>
        </w:tc>
        <w:tc>
          <w:tcPr>
            <w:tcW w:w="6440" w:type="dxa"/>
            <w:vAlign w:val="bottom"/>
            <w:gridSpan w:val="6"/>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4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9"/>
              </w:rPr>
              <w:t>ITEM 6</w:t>
            </w:r>
          </w:p>
        </w:tc>
        <w:tc>
          <w:tcPr>
            <w:tcW w:w="9120" w:type="dxa"/>
            <w:vAlign w:val="bottom"/>
            <w:gridSpan w:val="15"/>
          </w:tcPr>
          <w:p>
            <w:pPr>
              <w:ind w:left="20"/>
              <w:spacing w:after="0"/>
              <w:rPr>
                <w:sz w:val="20"/>
                <w:szCs w:val="20"/>
                <w:color w:val="auto"/>
              </w:rPr>
            </w:pPr>
            <w:r>
              <w:rPr>
                <w:rFonts w:ascii="Arial" w:cs="Arial" w:eastAsia="Arial" w:hAnsi="Arial"/>
                <w:sz w:val="18"/>
                <w:szCs w:val="18"/>
                <w:color w:val="0000FF"/>
              </w:rPr>
              <w:t>— EXHIBITS</w:t>
            </w:r>
          </w:p>
        </w:tc>
        <w:tc>
          <w:tcPr>
            <w:tcW w:w="1240" w:type="dxa"/>
            <w:vAlign w:val="bottom"/>
            <w:gridSpan w:val="3"/>
          </w:tcPr>
          <w:p>
            <w:pPr>
              <w:jc w:val="right"/>
              <w:spacing w:after="0"/>
              <w:rPr>
                <w:sz w:val="20"/>
                <w:szCs w:val="20"/>
                <w:color w:val="auto"/>
              </w:rPr>
            </w:pPr>
            <w:r>
              <w:rPr>
                <w:rFonts w:ascii="Arial" w:cs="Arial" w:eastAsia="Arial" w:hAnsi="Arial"/>
                <w:sz w:val="18"/>
                <w:szCs w:val="18"/>
                <w:color w:val="0000FF"/>
              </w:rPr>
              <w:t>54</w:t>
            </w:r>
          </w:p>
        </w:tc>
        <w:tc>
          <w:tcPr>
            <w:tcW w:w="4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0000FF"/>
              </w:rPr>
              <w:t>SIGNATURES</w:t>
            </w:r>
          </w:p>
        </w:tc>
        <w:tc>
          <w:tcPr>
            <w:tcW w:w="8060" w:type="dxa"/>
            <w:vAlign w:val="bottom"/>
            <w:gridSpan w:val="13"/>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40" w:type="dxa"/>
            <w:vAlign w:val="bottom"/>
          </w:tcPr>
          <w:p>
            <w:pPr>
              <w:spacing w:after="0"/>
              <w:rPr>
                <w:sz w:val="18"/>
                <w:szCs w:val="18"/>
                <w:color w:val="auto"/>
              </w:rPr>
            </w:pPr>
          </w:p>
        </w:tc>
      </w:tr>
      <w:tr>
        <w:trPr>
          <w:trHeight w:val="979"/>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40" w:type="dxa"/>
            <w:vAlign w:val="bottom"/>
            <w:gridSpan w:val="11"/>
          </w:tcPr>
          <w:p>
            <w:pPr>
              <w:jc w:val="right"/>
              <w:ind w:right="1180"/>
              <w:spacing w:after="0"/>
              <w:rPr>
                <w:sz w:val="20"/>
                <w:szCs w:val="20"/>
                <w:color w:val="auto"/>
              </w:rPr>
            </w:pPr>
            <w:r>
              <w:rPr>
                <w:rFonts w:ascii="Arial" w:cs="Arial" w:eastAsia="Arial" w:hAnsi="Arial"/>
                <w:sz w:val="18"/>
                <w:szCs w:val="18"/>
                <w:color w:val="231F20"/>
              </w:rPr>
              <w:t>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2022, as well as the following:</w:t>
      </w:r>
    </w:p>
    <w:p>
      <w:pPr>
        <w:spacing w:after="0" w:line="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TotalEnergies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CEG;</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16"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54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2028 Senior Notes</w:t>
            </w:r>
          </w:p>
        </w:tc>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w w:val="92"/>
              </w:rPr>
              <w:t>$850 million aggregate principal amount of 4.75% unsecured senior notes due 2028, issued by Clearway Energy</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2031 Senior Notes</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2"/>
              </w:rPr>
              <w:t>$925 million aggregate principal amount of 3.75% unsecured senior notes due 2031, issued by Clearway Energy</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2032 Senior Notes</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2"/>
              </w:rPr>
              <w:t>$350 million aggregate principal amount of 3.75% unsecured senior notes due 2032, issued by Clearway Energy</w:t>
            </w:r>
          </w:p>
        </w:tc>
        <w:tc>
          <w:tcPr>
            <w:tcW w:w="0" w:type="dxa"/>
            <w:vAlign w:val="bottom"/>
          </w:tcPr>
          <w:p>
            <w:pPr>
              <w:spacing w:after="0"/>
              <w:rPr>
                <w:sz w:val="1"/>
                <w:szCs w:val="1"/>
                <w:color w:val="auto"/>
              </w:rPr>
            </w:pPr>
          </w:p>
        </w:tc>
      </w:tr>
      <w:tr>
        <w:trPr>
          <w:trHeight w:val="230"/>
        </w:trPr>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4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5"/>
        </w:trPr>
        <w:tc>
          <w:tcPr>
            <w:tcW w:w="2700" w:type="dxa"/>
            <w:vAlign w:val="bottom"/>
            <w:vMerge w:val="continue"/>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5"/>
              </w:rPr>
              <w:t>A non-GAAP measure,  represents  earnings  before  interest  (including  loss  on  debt  extinguishment),  tax,</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depreciation and amortization adjusted for mark-to-market gains or losses, asset write offs and impairments; and</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ASC</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ASU</w:t>
            </w:r>
          </w:p>
        </w:tc>
        <w:tc>
          <w:tcPr>
            <w:tcW w:w="854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4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Bridge Loan Agreement</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1"/>
              </w:rPr>
              <w:t>Senior secured bridge credit agreement entered into by Clearway Energy Operating LLC that provided a term loan</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facility in an aggregate principal amount of $335 million that was repaid on May 3, 2022</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BESS</w:t>
            </w:r>
          </w:p>
        </w:tc>
        <w:tc>
          <w:tcPr>
            <w:tcW w:w="8540" w:type="dxa"/>
            <w:vAlign w:val="bottom"/>
          </w:tcPr>
          <w:p>
            <w:pPr>
              <w:ind w:left="220"/>
              <w:spacing w:after="0"/>
              <w:rPr>
                <w:sz w:val="20"/>
                <w:szCs w:val="20"/>
                <w:color w:val="auto"/>
              </w:rPr>
            </w:pPr>
            <w:r>
              <w:rPr>
                <w:rFonts w:ascii="Arial" w:cs="Arial" w:eastAsia="Arial" w:hAnsi="Arial"/>
                <w:sz w:val="18"/>
                <w:szCs w:val="18"/>
                <w:color w:val="auto"/>
              </w:rPr>
              <w:t>Battery energy storage system</w:t>
            </w:r>
          </w:p>
        </w:tc>
        <w:tc>
          <w:tcPr>
            <w:tcW w:w="0" w:type="dxa"/>
            <w:vAlign w:val="bottom"/>
          </w:tcPr>
          <w:p>
            <w:pPr>
              <w:spacing w:after="0"/>
              <w:rPr>
                <w:sz w:val="1"/>
                <w:szCs w:val="1"/>
                <w:color w:val="auto"/>
              </w:rPr>
            </w:pPr>
          </w:p>
        </w:tc>
      </w:tr>
      <w:tr>
        <w:trPr>
          <w:trHeight w:val="350"/>
        </w:trPr>
        <w:tc>
          <w:tcPr>
            <w:tcW w:w="2700" w:type="dxa"/>
            <w:vAlign w:val="bottom"/>
          </w:tcPr>
          <w:p>
            <w:pPr>
              <w:ind w:left="20"/>
              <w:spacing w:after="0"/>
              <w:rPr>
                <w:sz w:val="20"/>
                <w:szCs w:val="20"/>
                <w:color w:val="auto"/>
              </w:rPr>
            </w:pPr>
            <w:r>
              <w:rPr>
                <w:rFonts w:ascii="Arial" w:cs="Arial" w:eastAsia="Arial" w:hAnsi="Arial"/>
                <w:sz w:val="18"/>
                <w:szCs w:val="18"/>
                <w:color w:val="auto"/>
              </w:rPr>
              <w:t>Black Start</w:t>
            </w:r>
          </w:p>
        </w:tc>
        <w:tc>
          <w:tcPr>
            <w:tcW w:w="8540" w:type="dxa"/>
            <w:vAlign w:val="bottom"/>
          </w:tcPr>
          <w:p>
            <w:pPr>
              <w:ind w:left="220"/>
              <w:spacing w:after="0"/>
              <w:rPr>
                <w:sz w:val="20"/>
                <w:szCs w:val="20"/>
                <w:color w:val="auto"/>
              </w:rPr>
            </w:pPr>
            <w:r>
              <w:rPr>
                <w:rFonts w:ascii="Arial" w:cs="Arial" w:eastAsia="Arial" w:hAnsi="Arial"/>
                <w:sz w:val="18"/>
                <w:szCs w:val="18"/>
                <w:color w:val="auto"/>
                <w:w w:val="94"/>
              </w:rPr>
              <w:t>The capability of a generating asset to restore the grid in the event of a blackout without relying on the external</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electric power transmission network</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4"/>
              </w:rPr>
              <w:t>A non-GAAP measure, Cash Available for Distribution is defined as of June 30, 2023 as Adjusted EBITDA plus</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4"/>
              </w:rPr>
              <w:t>cash distributions/return of investment from unconsolidated affiliates, cash receipts from notes receivable, cash</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0"/>
              </w:rPr>
              <w:t>distributions from noncontrolling interests, adjustments to reflect sales-type lease cash payments and payments for</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5"/>
              </w:rPr>
              <w:t>lease expenses, less cash distributions to noncontrolling interests, maintenance capital expenditures, pro-rata</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3"/>
              </w:rPr>
              <w:t>Adjusted EBITDA from unconsolidated affiliates, cash interest paid, income taxes paid, principal amortization of</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7"/>
              </w:rPr>
              <w:t>indebtedness, changes in prepaid and accrued capacity payments and adjusted for development expenses</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Capistrano Wind Portfolio</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5"/>
              </w:rPr>
              <w:t>Five wind projects representing 413 MW of capacity, which includes Broken Bow and Crofton Bluffs located in</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Nebraska, Cedro Hill located in Texas and Mountain Wind Power I and II located in Wyoming</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8"/>
                <w:szCs w:val="18"/>
                <w:color w:val="auto"/>
              </w:rPr>
              <w:t>CEG</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w w:val="96"/>
              </w:rPr>
              <w:t>CEG Master Services Agreements</w:t>
            </w:r>
          </w:p>
        </w:tc>
        <w:tc>
          <w:tcPr>
            <w:tcW w:w="8540" w:type="dxa"/>
            <w:vAlign w:val="bottom"/>
          </w:tcPr>
          <w:p>
            <w:pPr>
              <w:ind w:left="220"/>
              <w:spacing w:after="0" w:line="176" w:lineRule="exact"/>
              <w:rPr>
                <w:sz w:val="20"/>
                <w:szCs w:val="20"/>
                <w:color w:val="auto"/>
              </w:rPr>
            </w:pPr>
            <w:r>
              <w:rPr>
                <w:rFonts w:ascii="Arial" w:cs="Arial" w:eastAsia="Arial" w:hAnsi="Arial"/>
                <w:sz w:val="18"/>
                <w:szCs w:val="18"/>
                <w:color w:val="auto"/>
                <w:w w:val="92"/>
              </w:rPr>
              <w:t>Master Services Agreements entered into as of August 31, 2018 and amended on February 2, 2023 between the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Company, Clearway Energy LLC and Clearway Energy Operating LLC, and CEG</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Clearway Energy LLC</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2"/>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B and Class D units, and Clearway Energy, Inc., the holder of the Class A and Class C units</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Clearway Energy Group LLC</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4"/>
              </w:rPr>
              <w:t>The holder of all the Company’s Class B and Class D common stock and Clearway Energy LLC’s Class B and</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4"/>
              </w:rPr>
              <w:t>Class D units and, from time to time, possibly shares of the Company’s Class A and/or Class C common stock</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40" w:type="dxa"/>
            <w:vAlign w:val="bottom"/>
          </w:tcPr>
          <w:p>
            <w:pPr>
              <w:ind w:left="22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Clearway Renew</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Renew LLC, a subsidiary of CEG</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Company</w:t>
            </w:r>
          </w:p>
        </w:tc>
        <w:tc>
          <w:tcPr>
            <w:tcW w:w="8540" w:type="dxa"/>
            <w:vAlign w:val="bottom"/>
          </w:tcPr>
          <w:p>
            <w:pPr>
              <w:ind w:left="220"/>
              <w:spacing w:after="0"/>
              <w:rPr>
                <w:sz w:val="20"/>
                <w:szCs w:val="20"/>
                <w:color w:val="auto"/>
              </w:rPr>
            </w:pPr>
            <w:r>
              <w:rPr>
                <w:rFonts w:ascii="Arial" w:cs="Arial" w:eastAsia="Arial" w:hAnsi="Arial"/>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8"/>
                <w:szCs w:val="18"/>
                <w:color w:val="auto"/>
              </w:rPr>
              <w:t>CVSR</w:t>
            </w:r>
          </w:p>
        </w:tc>
        <w:tc>
          <w:tcPr>
            <w:tcW w:w="854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4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8"/>
                <w:szCs w:val="18"/>
                <w:color w:val="auto"/>
              </w:rPr>
              <w:t>Distributed Solar</w:t>
            </w:r>
          </w:p>
        </w:tc>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2"/>
              </w:rPr>
              <w:t>Solar power projects, typically less than 20 MW in size (on an alternating current, or AC, basis), that primarily sell</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power produced to customers for usage on site, or are interconnected to sell power into the local distribution grid</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40" w:type="dxa"/>
            <w:vAlign w:val="bottom"/>
          </w:tcPr>
          <w:p>
            <w:pPr>
              <w:ind w:left="220"/>
              <w:spacing w:after="0"/>
              <w:rPr>
                <w:sz w:val="20"/>
                <w:szCs w:val="20"/>
                <w:color w:val="auto"/>
              </w:rPr>
            </w:pPr>
            <w:r>
              <w:rPr>
                <w:rFonts w:ascii="Arial" w:cs="Arial" w:eastAsia="Arial" w:hAnsi="Arial"/>
                <w:sz w:val="18"/>
                <w:szCs w:val="18"/>
                <w:color w:val="auto"/>
              </w:rPr>
              <w:t>Assets under common control acquired by the Company from CEG</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4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FASB</w:t>
            </w:r>
          </w:p>
        </w:tc>
        <w:tc>
          <w:tcPr>
            <w:tcW w:w="8540" w:type="dxa"/>
            <w:vAlign w:val="bottom"/>
          </w:tcPr>
          <w:p>
            <w:pPr>
              <w:ind w:left="2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621"/>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358"/>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GAAP</w:t>
            </w:r>
          </w:p>
        </w:tc>
        <w:tc>
          <w:tcPr>
            <w:tcW w:w="9040" w:type="dxa"/>
            <w:vAlign w:val="bottom"/>
          </w:tcPr>
          <w:p>
            <w:pPr>
              <w:ind w:left="72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GenConn</w:t>
            </w:r>
          </w:p>
        </w:tc>
        <w:tc>
          <w:tcPr>
            <w:tcW w:w="9040" w:type="dxa"/>
            <w:vAlign w:val="bottom"/>
          </w:tcPr>
          <w:p>
            <w:pPr>
              <w:ind w:left="72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GIP</w:t>
            </w:r>
          </w:p>
        </w:tc>
        <w:tc>
          <w:tcPr>
            <w:tcW w:w="9040" w:type="dxa"/>
            <w:vAlign w:val="bottom"/>
            <w:vMerge w:val="restart"/>
          </w:tcPr>
          <w:p>
            <w:pPr>
              <w:ind w:left="72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200" w:type="dxa"/>
            <w:vAlign w:val="bottom"/>
          </w:tcPr>
          <w:p>
            <w:pPr>
              <w:ind w:left="20"/>
              <w:spacing w:after="0"/>
              <w:rPr>
                <w:sz w:val="20"/>
                <w:szCs w:val="20"/>
                <w:color w:val="auto"/>
              </w:rPr>
            </w:pPr>
            <w:r>
              <w:rPr>
                <w:rFonts w:ascii="Arial" w:cs="Arial" w:eastAsia="Arial" w:hAnsi="Arial"/>
                <w:sz w:val="18"/>
                <w:szCs w:val="18"/>
                <w:color w:val="auto"/>
              </w:rPr>
              <w:t>HLBV</w:t>
            </w:r>
          </w:p>
        </w:tc>
        <w:tc>
          <w:tcPr>
            <w:tcW w:w="9040" w:type="dxa"/>
            <w:vAlign w:val="bottom"/>
          </w:tcPr>
          <w:p>
            <w:pPr>
              <w:ind w:left="72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IRA</w:t>
            </w:r>
          </w:p>
        </w:tc>
        <w:tc>
          <w:tcPr>
            <w:tcW w:w="9040" w:type="dxa"/>
            <w:vAlign w:val="bottom"/>
          </w:tcPr>
          <w:p>
            <w:pPr>
              <w:ind w:left="720"/>
              <w:spacing w:after="0"/>
              <w:rPr>
                <w:sz w:val="20"/>
                <w:szCs w:val="20"/>
                <w:color w:val="auto"/>
              </w:rPr>
            </w:pPr>
            <w:r>
              <w:rPr>
                <w:rFonts w:ascii="Arial" w:cs="Arial" w:eastAsia="Arial" w:hAnsi="Arial"/>
                <w:sz w:val="18"/>
                <w:szCs w:val="18"/>
                <w:color w:val="auto"/>
              </w:rPr>
              <w:t>Inflation Reduction Act of 2022</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ITC</w:t>
            </w:r>
          </w:p>
        </w:tc>
        <w:tc>
          <w:tcPr>
            <w:tcW w:w="9040" w:type="dxa"/>
            <w:vAlign w:val="bottom"/>
          </w:tcPr>
          <w:p>
            <w:pPr>
              <w:ind w:left="72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KKR</w:t>
            </w:r>
          </w:p>
        </w:tc>
        <w:tc>
          <w:tcPr>
            <w:tcW w:w="9040" w:type="dxa"/>
            <w:vAlign w:val="bottom"/>
          </w:tcPr>
          <w:p>
            <w:pPr>
              <w:ind w:left="720"/>
              <w:spacing w:after="0"/>
              <w:rPr>
                <w:sz w:val="20"/>
                <w:szCs w:val="20"/>
                <w:color w:val="auto"/>
              </w:rPr>
            </w:pPr>
            <w:r>
              <w:rPr>
                <w:rFonts w:ascii="Arial" w:cs="Arial" w:eastAsia="Arial" w:hAnsi="Arial"/>
                <w:sz w:val="18"/>
                <w:szCs w:val="18"/>
                <w:color w:val="auto"/>
              </w:rPr>
              <w:t>KKR Thor Bidco, LLC, an affiliate of Kohlberg Kravis Roberts &amp; Co. L.P.</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LIBOR</w:t>
            </w:r>
          </w:p>
        </w:tc>
        <w:tc>
          <w:tcPr>
            <w:tcW w:w="9040" w:type="dxa"/>
            <w:vAlign w:val="bottom"/>
          </w:tcPr>
          <w:p>
            <w:pPr>
              <w:ind w:left="72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Mesquite Star</w:t>
            </w:r>
          </w:p>
        </w:tc>
        <w:tc>
          <w:tcPr>
            <w:tcW w:w="9040" w:type="dxa"/>
            <w:vAlign w:val="bottom"/>
          </w:tcPr>
          <w:p>
            <w:pPr>
              <w:ind w:left="720"/>
              <w:spacing w:after="0"/>
              <w:rPr>
                <w:sz w:val="20"/>
                <w:szCs w:val="20"/>
                <w:color w:val="auto"/>
              </w:rPr>
            </w:pPr>
            <w:r>
              <w:rPr>
                <w:rFonts w:ascii="Arial" w:cs="Arial" w:eastAsia="Arial" w:hAnsi="Arial"/>
                <w:sz w:val="18"/>
                <w:szCs w:val="18"/>
                <w:color w:val="auto"/>
              </w:rPr>
              <w:t>Mesquite Star Special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Mt. Storm</w:t>
            </w:r>
          </w:p>
        </w:tc>
        <w:tc>
          <w:tcPr>
            <w:tcW w:w="9040" w:type="dxa"/>
            <w:vAlign w:val="bottom"/>
          </w:tcPr>
          <w:p>
            <w:pPr>
              <w:ind w:left="720"/>
              <w:spacing w:after="0"/>
              <w:rPr>
                <w:sz w:val="20"/>
                <w:szCs w:val="20"/>
                <w:color w:val="auto"/>
              </w:rPr>
            </w:pPr>
            <w:r>
              <w:rPr>
                <w:rFonts w:ascii="Arial" w:cs="Arial" w:eastAsia="Arial" w:hAnsi="Arial"/>
                <w:sz w:val="18"/>
                <w:szCs w:val="18"/>
                <w:color w:val="auto"/>
              </w:rPr>
              <w:t>NedPower Mount Storm LLC</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MW</w:t>
            </w:r>
          </w:p>
        </w:tc>
        <w:tc>
          <w:tcPr>
            <w:tcW w:w="9040" w:type="dxa"/>
            <w:vAlign w:val="bottom"/>
          </w:tcPr>
          <w:p>
            <w:pPr>
              <w:ind w:left="72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MWh</w:t>
            </w:r>
          </w:p>
        </w:tc>
        <w:tc>
          <w:tcPr>
            <w:tcW w:w="9040" w:type="dxa"/>
            <w:vAlign w:val="bottom"/>
          </w:tcPr>
          <w:p>
            <w:pPr>
              <w:ind w:left="72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MWt</w:t>
            </w:r>
          </w:p>
        </w:tc>
        <w:tc>
          <w:tcPr>
            <w:tcW w:w="9040" w:type="dxa"/>
            <w:vAlign w:val="bottom"/>
          </w:tcPr>
          <w:p>
            <w:pPr>
              <w:ind w:left="72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9040" w:type="dxa"/>
            <w:vAlign w:val="bottom"/>
          </w:tcPr>
          <w:p>
            <w:pPr>
              <w:ind w:left="72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NOLs</w:t>
            </w:r>
          </w:p>
        </w:tc>
        <w:tc>
          <w:tcPr>
            <w:tcW w:w="9040" w:type="dxa"/>
            <w:vAlign w:val="bottom"/>
          </w:tcPr>
          <w:p>
            <w:pPr>
              <w:ind w:left="72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NPNS</w:t>
            </w:r>
          </w:p>
        </w:tc>
        <w:tc>
          <w:tcPr>
            <w:tcW w:w="9040" w:type="dxa"/>
            <w:vAlign w:val="bottom"/>
          </w:tcPr>
          <w:p>
            <w:pPr>
              <w:ind w:left="72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OCI/OCL</w:t>
            </w:r>
          </w:p>
        </w:tc>
        <w:tc>
          <w:tcPr>
            <w:tcW w:w="9040" w:type="dxa"/>
            <w:vAlign w:val="bottom"/>
          </w:tcPr>
          <w:p>
            <w:pPr>
              <w:ind w:left="72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O&amp;M</w:t>
            </w:r>
          </w:p>
        </w:tc>
        <w:tc>
          <w:tcPr>
            <w:tcW w:w="9040" w:type="dxa"/>
            <w:vAlign w:val="bottom"/>
          </w:tcPr>
          <w:p>
            <w:pPr>
              <w:ind w:left="72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PG&amp;E</w:t>
            </w:r>
          </w:p>
        </w:tc>
        <w:tc>
          <w:tcPr>
            <w:tcW w:w="9040" w:type="dxa"/>
            <w:vAlign w:val="bottom"/>
          </w:tcPr>
          <w:p>
            <w:pPr>
              <w:ind w:left="72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PPA</w:t>
            </w:r>
          </w:p>
        </w:tc>
        <w:tc>
          <w:tcPr>
            <w:tcW w:w="9040" w:type="dxa"/>
            <w:vAlign w:val="bottom"/>
          </w:tcPr>
          <w:p>
            <w:pPr>
              <w:ind w:left="72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PTC</w:t>
            </w:r>
          </w:p>
        </w:tc>
        <w:tc>
          <w:tcPr>
            <w:tcW w:w="9040" w:type="dxa"/>
            <w:vAlign w:val="bottom"/>
          </w:tcPr>
          <w:p>
            <w:pPr>
              <w:ind w:left="72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w:t>
            </w:r>
          </w:p>
        </w:tc>
        <w:tc>
          <w:tcPr>
            <w:tcW w:w="9040" w:type="dxa"/>
            <w:vAlign w:val="bottom"/>
          </w:tcPr>
          <w:p>
            <w:pPr>
              <w:ind w:left="720"/>
              <w:spacing w:after="0"/>
              <w:rPr>
                <w:sz w:val="20"/>
                <w:szCs w:val="20"/>
                <w:color w:val="auto"/>
              </w:rPr>
            </w:pPr>
            <w:r>
              <w:rPr>
                <w:rFonts w:ascii="Arial" w:cs="Arial" w:eastAsia="Arial" w:hAnsi="Arial"/>
                <w:sz w:val="18"/>
                <w:szCs w:val="18"/>
                <w:color w:val="auto"/>
              </w:rPr>
              <w:t>Resource adequacy</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RENOM</w:t>
            </w:r>
          </w:p>
        </w:tc>
        <w:tc>
          <w:tcPr>
            <w:tcW w:w="9040" w:type="dxa"/>
            <w:vAlign w:val="bottom"/>
          </w:tcPr>
          <w:p>
            <w:pPr>
              <w:ind w:left="72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Rosie Central BESS</w:t>
            </w:r>
          </w:p>
        </w:tc>
        <w:tc>
          <w:tcPr>
            <w:tcW w:w="9040" w:type="dxa"/>
            <w:vAlign w:val="bottom"/>
          </w:tcPr>
          <w:p>
            <w:pPr>
              <w:ind w:left="720"/>
              <w:spacing w:after="0"/>
              <w:rPr>
                <w:sz w:val="20"/>
                <w:szCs w:val="20"/>
                <w:color w:val="auto"/>
              </w:rPr>
            </w:pPr>
            <w:r>
              <w:rPr>
                <w:rFonts w:ascii="Arial" w:cs="Arial" w:eastAsia="Arial" w:hAnsi="Arial"/>
                <w:sz w:val="18"/>
                <w:szCs w:val="18"/>
                <w:color w:val="auto"/>
              </w:rPr>
              <w:t>Rosie BESS Devco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SCE</w:t>
            </w:r>
          </w:p>
        </w:tc>
        <w:tc>
          <w:tcPr>
            <w:tcW w:w="9040" w:type="dxa"/>
            <w:vAlign w:val="bottom"/>
          </w:tcPr>
          <w:p>
            <w:pPr>
              <w:ind w:left="72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SEC</w:t>
            </w:r>
          </w:p>
        </w:tc>
        <w:tc>
          <w:tcPr>
            <w:tcW w:w="9040" w:type="dxa"/>
            <w:vAlign w:val="bottom"/>
          </w:tcPr>
          <w:p>
            <w:pPr>
              <w:ind w:left="72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040" w:type="dxa"/>
            <w:vAlign w:val="bottom"/>
          </w:tcPr>
          <w:p>
            <w:pPr>
              <w:ind w:left="720"/>
              <w:spacing w:after="0"/>
              <w:rPr>
                <w:sz w:val="20"/>
                <w:szCs w:val="20"/>
                <w:color w:val="auto"/>
              </w:rPr>
            </w:pPr>
            <w:r>
              <w:rPr>
                <w:rFonts w:ascii="Arial" w:cs="Arial" w:eastAsia="Arial" w:hAnsi="Arial"/>
                <w:sz w:val="18"/>
                <w:szCs w:val="18"/>
                <w:color w:val="auto"/>
              </w:rPr>
              <w:t>Collectively, the 2028 Senior Notes, the 2031 Senior Notes and the 2032 Senior Notes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SOFR</w:t>
            </w:r>
          </w:p>
        </w:tc>
        <w:tc>
          <w:tcPr>
            <w:tcW w:w="9040" w:type="dxa"/>
            <w:vAlign w:val="bottom"/>
          </w:tcPr>
          <w:p>
            <w:pPr>
              <w:ind w:left="72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SPP</w:t>
            </w:r>
          </w:p>
        </w:tc>
        <w:tc>
          <w:tcPr>
            <w:tcW w:w="9040" w:type="dxa"/>
            <w:vAlign w:val="bottom"/>
          </w:tcPr>
          <w:p>
            <w:pPr>
              <w:ind w:left="72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SREC</w:t>
            </w:r>
          </w:p>
        </w:tc>
        <w:tc>
          <w:tcPr>
            <w:tcW w:w="9040" w:type="dxa"/>
            <w:vAlign w:val="bottom"/>
          </w:tcPr>
          <w:p>
            <w:pPr>
              <w:ind w:left="72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Thermal Business</w:t>
            </w:r>
          </w:p>
        </w:tc>
        <w:tc>
          <w:tcPr>
            <w:tcW w:w="9040" w:type="dxa"/>
            <w:vAlign w:val="bottom"/>
          </w:tcPr>
          <w:p>
            <w:pPr>
              <w:ind w:left="720"/>
              <w:spacing w:after="0" w:line="176" w:lineRule="exact"/>
              <w:rPr>
                <w:sz w:val="20"/>
                <w:szCs w:val="20"/>
                <w:color w:val="auto"/>
              </w:rPr>
            </w:pPr>
            <w:r>
              <w:rPr>
                <w:rFonts w:ascii="Arial" w:cs="Arial" w:eastAsia="Arial" w:hAnsi="Arial"/>
                <w:sz w:val="18"/>
                <w:szCs w:val="18"/>
                <w:color w:val="auto"/>
                <w:w w:val="94"/>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9040" w:type="dxa"/>
            <w:vAlign w:val="bottom"/>
          </w:tcPr>
          <w:p>
            <w:pPr>
              <w:ind w:left="720"/>
              <w:spacing w:after="0" w:line="189" w:lineRule="exact"/>
              <w:rPr>
                <w:sz w:val="20"/>
                <w:szCs w:val="20"/>
                <w:color w:val="auto"/>
              </w:rPr>
            </w:pPr>
            <w:r>
              <w:rPr>
                <w:rFonts w:ascii="Arial" w:cs="Arial" w:eastAsia="Arial" w:hAnsi="Arial"/>
                <w:sz w:val="18"/>
                <w:szCs w:val="18"/>
                <w:color w:val="auto"/>
                <w:w w:val="96"/>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TotalEnergies</w:t>
            </w:r>
          </w:p>
        </w:tc>
        <w:tc>
          <w:tcPr>
            <w:tcW w:w="9040" w:type="dxa"/>
            <w:vAlign w:val="bottom"/>
          </w:tcPr>
          <w:p>
            <w:pPr>
              <w:ind w:left="720"/>
              <w:spacing w:after="0"/>
              <w:rPr>
                <w:sz w:val="20"/>
                <w:szCs w:val="20"/>
                <w:color w:val="auto"/>
              </w:rPr>
            </w:pPr>
            <w:r>
              <w:rPr>
                <w:rFonts w:ascii="Arial" w:cs="Arial" w:eastAsia="Arial" w:hAnsi="Arial"/>
                <w:sz w:val="18"/>
                <w:szCs w:val="18"/>
                <w:color w:val="auto"/>
              </w:rPr>
              <w:t>TotalEnergies SE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U.S.</w:t>
            </w:r>
          </w:p>
        </w:tc>
        <w:tc>
          <w:tcPr>
            <w:tcW w:w="9040" w:type="dxa"/>
            <w:vAlign w:val="bottom"/>
          </w:tcPr>
          <w:p>
            <w:pPr>
              <w:ind w:left="7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Utah Solar Portfolio</w:t>
            </w:r>
          </w:p>
        </w:tc>
        <w:tc>
          <w:tcPr>
            <w:tcW w:w="9040" w:type="dxa"/>
            <w:vAlign w:val="bottom"/>
          </w:tcPr>
          <w:p>
            <w:pPr>
              <w:ind w:left="720"/>
              <w:spacing w:after="0"/>
              <w:rPr>
                <w:sz w:val="20"/>
                <w:szCs w:val="20"/>
                <w:color w:val="auto"/>
              </w:rPr>
            </w:pPr>
            <w:r>
              <w:rPr>
                <w:rFonts w:ascii="Arial" w:cs="Arial" w:eastAsia="Arial" w:hAnsi="Arial"/>
                <w:sz w:val="18"/>
                <w:szCs w:val="18"/>
                <w:color w:val="auto"/>
              </w:rPr>
              <w:t>Seven utility-scale solar farms located in Utah, representing 530 MW of capacity</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Utility Scale Solar</w:t>
            </w:r>
          </w:p>
        </w:tc>
        <w:tc>
          <w:tcPr>
            <w:tcW w:w="9040" w:type="dxa"/>
            <w:vAlign w:val="bottom"/>
          </w:tcPr>
          <w:p>
            <w:pPr>
              <w:ind w:left="720"/>
              <w:spacing w:after="0" w:line="176" w:lineRule="exact"/>
              <w:rPr>
                <w:sz w:val="20"/>
                <w:szCs w:val="20"/>
                <w:color w:val="auto"/>
              </w:rPr>
            </w:pPr>
            <w:r>
              <w:rPr>
                <w:rFonts w:ascii="Arial" w:cs="Arial" w:eastAsia="Arial" w:hAnsi="Arial"/>
                <w:sz w:val="18"/>
                <w:szCs w:val="18"/>
                <w:color w:val="auto"/>
                <w:w w:val="99"/>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9040" w:type="dxa"/>
            <w:vAlign w:val="bottom"/>
          </w:tcPr>
          <w:p>
            <w:pPr>
              <w:ind w:left="72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42"/>
        </w:trPr>
        <w:tc>
          <w:tcPr>
            <w:tcW w:w="2200" w:type="dxa"/>
            <w:vAlign w:val="bottom"/>
          </w:tcPr>
          <w:p>
            <w:pPr>
              <w:ind w:left="20"/>
              <w:spacing w:after="0"/>
              <w:rPr>
                <w:sz w:val="20"/>
                <w:szCs w:val="20"/>
                <w:color w:val="auto"/>
              </w:rPr>
            </w:pPr>
            <w:r>
              <w:rPr>
                <w:rFonts w:ascii="Arial" w:cs="Arial" w:eastAsia="Arial" w:hAnsi="Arial"/>
                <w:sz w:val="18"/>
                <w:szCs w:val="18"/>
                <w:color w:val="auto"/>
              </w:rPr>
              <w:t>VIE</w:t>
            </w:r>
          </w:p>
        </w:tc>
        <w:tc>
          <w:tcPr>
            <w:tcW w:w="9040" w:type="dxa"/>
            <w:vAlign w:val="bottom"/>
          </w:tcPr>
          <w:p>
            <w:pPr>
              <w:ind w:left="72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864"/>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358"/>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6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line="189" w:lineRule="exact"/>
              <w:rPr>
                <w:sz w:val="20"/>
                <w:szCs w:val="20"/>
                <w:color w:val="auto"/>
              </w:rPr>
            </w:pPr>
            <w:r>
              <w:rPr>
                <w:rFonts w:ascii="Arial" w:cs="Arial" w:eastAsia="Arial" w:hAnsi="Arial"/>
                <w:sz w:val="18"/>
                <w:szCs w:val="18"/>
                <w:color w:val="auto"/>
                <w:w w:val="98"/>
              </w:rPr>
              <w:t>Cost of operations, exclusive of depreciation, amortization and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00"/>
              <w:spacing w:after="0"/>
              <w:rPr>
                <w:sz w:val="20"/>
                <w:szCs w:val="20"/>
                <w:color w:val="auto"/>
              </w:rPr>
            </w:pPr>
            <w:r>
              <w:rPr>
                <w:rFonts w:ascii="Arial" w:cs="Arial" w:eastAsia="Arial" w:hAnsi="Arial"/>
                <w:sz w:val="18"/>
                <w:szCs w:val="18"/>
                <w:color w:val="auto"/>
              </w:rPr>
              <w:t>accretion shown separately below</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 on sale of business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060" w:type="dxa"/>
            <w:vAlign w:val="bottom"/>
          </w:tcPr>
          <w:p>
            <w:pPr>
              <w:ind w:left="6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68"/>
        </w:trPr>
        <w:tc>
          <w:tcPr>
            <w:tcW w:w="5060" w:type="dxa"/>
            <w:vAlign w:val="bottom"/>
            <w:shd w:val="clear" w:color="auto" w:fill="CCEEFF"/>
          </w:tcPr>
          <w:p>
            <w:pPr>
              <w:ind w:left="140"/>
              <w:spacing w:after="0" w:line="168" w:lineRule="exact"/>
              <w:rPr>
                <w:sz w:val="20"/>
                <w:szCs w:val="20"/>
                <w:color w:val="auto"/>
              </w:rPr>
            </w:pPr>
            <w:r>
              <w:rPr>
                <w:rFonts w:ascii="Arial" w:cs="Arial" w:eastAsia="Arial" w:hAnsi="Arial"/>
                <w:sz w:val="18"/>
                <w:szCs w:val="18"/>
                <w:color w:val="auto"/>
              </w:rPr>
              <w:t>Less: Net income attributable to noncontrolling interests and</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Earnings Per Share Attributable to Clearway Energy, Inc. Class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 and Class C Common Stockholders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060" w:type="dxa"/>
            <w:vAlign w:val="bottom"/>
          </w:tcPr>
          <w:p>
            <w:pPr>
              <w:ind w:left="140"/>
              <w:spacing w:after="0" w:line="189" w:lineRule="exact"/>
              <w:rPr>
                <w:sz w:val="20"/>
                <w:szCs w:val="20"/>
                <w:color w:val="auto"/>
              </w:rPr>
            </w:pPr>
            <w:r>
              <w:rPr>
                <w:rFonts w:ascii="Arial" w:cs="Arial" w:eastAsia="Arial" w:hAnsi="Arial"/>
                <w:sz w:val="18"/>
                <w:szCs w:val="18"/>
                <w:color w:val="auto"/>
                <w:w w:val="90"/>
              </w:rPr>
              <w:t>Weighted average number of Class A common shares outstanding -</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0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Weighted average number of Class C common shares outstanding -</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6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3"/>
              </w:rPr>
              <w:t>Earnings Per Weighted Average Class A and Class C Common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4.89</w:t>
            </w:r>
          </w:p>
        </w:tc>
        <w:tc>
          <w:tcPr>
            <w:tcW w:w="4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Share - Basic and Diluted</w:t>
            </w: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Dividends Per Class C Common Share</w:t>
            </w: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0.3818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0.3536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0.7563</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0.7004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93" w:right="7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June 30,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derivatives and changes in accumulated</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OCI/OCL, net of income tax expense, of $1, $1, $— and $3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76"/>
        </w:trPr>
        <w:tc>
          <w:tcPr>
            <w:tcW w:w="500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income attributable to noncontrolling</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interests and redeemable noncontrolling interests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Comprehensive Income Attributable to Clearway Energy,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91" w:right="7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spacing w:after="0"/>
              <w:rPr>
                <w:sz w:val="20"/>
                <w:szCs w:val="20"/>
                <w:color w:val="auto"/>
              </w:rPr>
            </w:pPr>
            <w:r>
              <w:rPr>
                <w:rFonts w:ascii="Arial" w:cs="Arial" w:eastAsia="Arial" w:hAnsi="Arial"/>
                <w:sz w:val="14"/>
                <w:szCs w:val="14"/>
                <w:b w:val="1"/>
                <w:bCs w:val="1"/>
                <w:color w:val="auto"/>
              </w:rPr>
              <w:t>(In millions, except shares)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00"/>
        </w:trPr>
        <w:tc>
          <w:tcPr>
            <w:tcW w:w="7100" w:type="dxa"/>
            <w:vAlign w:val="bottom"/>
          </w:tcPr>
          <w:p>
            <w:pPr>
              <w:ind w:left="32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400" w:type="dxa"/>
            <w:vAlign w:val="bottom"/>
          </w:tcPr>
          <w:p>
            <w:pPr>
              <w:jc w:val="right"/>
              <w:ind w:right="359"/>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547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Right-of-use assets,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7"/>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233"/>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18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6"/>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99"/>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6,491</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noncontrolling interest in subsidiaries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710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1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Class A, Class B, Class C and Class D common stock, $0.01 par value; 3,000,000,000 shares authorized</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1"/>
              </w:rPr>
              <w:t>(Class A 500,000,000, Class B 500,000,000, Class C 1,000,000,000, Class D 1,000,000,000); 202,075,237</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5"/>
              </w:rPr>
              <w:t>shares issued and outstanding (Class A 34,613,853, Class B 42,738,750, Class C 82,385,884, Class D</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0"/>
              </w:rPr>
              <w:t>42,336,750) at June 30, 2023 and 201,972,813 shares issued and outstanding (Class A 34,613,853, Class B</w:t>
            </w: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42,738,750, Class C 82,283,460, Class D 42,336,750) at December 31, 2022</w:t>
            </w:r>
          </w:p>
        </w:tc>
        <w:tc>
          <w:tcPr>
            <w:tcW w:w="2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06"/>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33"/>
        </w:trPr>
        <w:tc>
          <w:tcPr>
            <w:tcW w:w="7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500"/>
          </w:cols>
          <w:pgMar w:left="700" w:top="1093" w:right="699" w:bottom="1440" w:gutter="0" w:footer="0" w:header="0"/>
        </w:sect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261620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093" w:right="6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80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800" w:type="dxa"/>
            <w:vAlign w:val="bottom"/>
          </w:tcPr>
          <w:p>
            <w:pPr>
              <w:ind w:left="34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 in carrying amount of right-of-use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Changes in deferred income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derivative instruments and amortization of accumulated OCI/OCL</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Cash used in changes in other working capital:</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800" w:type="dxa"/>
            <w:vAlign w:val="bottom"/>
          </w:tcPr>
          <w:p>
            <w:pPr>
              <w:ind w:left="340"/>
              <w:spacing w:after="0"/>
              <w:rPr>
                <w:sz w:val="20"/>
                <w:szCs w:val="20"/>
                <w:color w:val="auto"/>
              </w:rPr>
            </w:pPr>
            <w:r>
              <w:rPr>
                <w:rFonts w:ascii="Arial" w:cs="Arial" w:eastAsia="Arial" w:hAnsi="Arial"/>
                <w:sz w:val="18"/>
                <w:szCs w:val="18"/>
                <w:color w:val="auto"/>
              </w:rPr>
              <w:t>Changes in other working capital</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Drop Down Assets, net of cash acquired</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business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Distributions to CEG of escrowed amounts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Tax-related distributions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800" w:type="dxa"/>
            <w:vAlign w:val="bottom"/>
          </w:tcPr>
          <w:p>
            <w:pPr>
              <w:ind w:left="340"/>
              <w:spacing w:after="0"/>
              <w:rPr>
                <w:sz w:val="20"/>
                <w:szCs w:val="20"/>
                <w:color w:val="auto"/>
              </w:rPr>
            </w:pPr>
            <w:r>
              <w:rPr>
                <w:rFonts w:ascii="Arial" w:cs="Arial" w:eastAsia="Arial" w:hAnsi="Arial"/>
                <w:sz w:val="18"/>
                <w:szCs w:val="18"/>
                <w:color w:val="auto"/>
              </w:rPr>
              <w:t>Payments for long-term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093" w:right="7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2023</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1"/>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2"/>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right="4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62"/>
              <w:spacing w:after="0" w:line="131"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0"/>
                <w:szCs w:val="10"/>
                <w:color w:val="auto"/>
              </w:rPr>
            </w:pPr>
          </w:p>
        </w:tc>
        <w:tc>
          <w:tcPr>
            <w:tcW w:w="640" w:type="dxa"/>
            <w:vAlign w:val="bottom"/>
          </w:tcPr>
          <w:p>
            <w:pPr>
              <w:spacing w:after="0" w:line="126"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41"/>
              <w:spacing w:after="0" w:line="126"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01"/>
              <w:spacing w:after="0" w:line="126"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21"/>
              <w:spacing w:after="0" w:line="126" w:lineRule="exact"/>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62"/>
              <w:spacing w:after="0" w:line="126"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61"/>
              <w:spacing w:after="0" w:line="126"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1"/>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13"/>
        </w:trPr>
        <w:tc>
          <w:tcPr>
            <w:tcW w:w="34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Unrealized loss on derivatives and changes in</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00"/>
              <w:spacing w:after="0" w:line="166" w:lineRule="exact"/>
              <w:rPr>
                <w:sz w:val="20"/>
                <w:szCs w:val="20"/>
                <w:color w:val="auto"/>
              </w:rPr>
            </w:pPr>
            <w:r>
              <w:rPr>
                <w:rFonts w:ascii="Arial" w:cs="Arial" w:eastAsia="Arial" w:hAnsi="Arial"/>
                <w:sz w:val="16"/>
                <w:szCs w:val="16"/>
                <w:color w:val="auto"/>
              </w:rPr>
              <w:t>Contributions from CEG, net of distributions,</w:t>
            </w:r>
          </w:p>
        </w:tc>
        <w:tc>
          <w:tcPr>
            <w:tcW w:w="120" w:type="dxa"/>
            <w:vAlign w:val="bottom"/>
          </w:tcPr>
          <w:p>
            <w:pPr>
              <w:spacing w:after="0"/>
              <w:rPr>
                <w:sz w:val="14"/>
                <w:szCs w:val="14"/>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3480" w:type="dxa"/>
            <w:vAlign w:val="bottom"/>
          </w:tcPr>
          <w:p>
            <w:pPr>
              <w:ind w:left="200"/>
              <w:spacing w:after="0"/>
              <w:rPr>
                <w:sz w:val="20"/>
                <w:szCs w:val="20"/>
                <w:color w:val="auto"/>
              </w:rPr>
            </w:pPr>
            <w:r>
              <w:rPr>
                <w:rFonts w:ascii="Arial" w:cs="Arial" w:eastAsia="Arial" w:hAnsi="Arial"/>
                <w:sz w:val="16"/>
                <w:szCs w:val="16"/>
                <w:color w:val="auto"/>
              </w:rPr>
              <w:t>cash</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8"/>
              </w:rPr>
              <w:t>Contributions from noncontrolling interests, net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distributions, cash</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00"/>
              <w:spacing w:after="0"/>
              <w:rPr>
                <w:sz w:val="20"/>
                <w:szCs w:val="20"/>
                <w:color w:val="auto"/>
              </w:rPr>
            </w:pPr>
            <w:r>
              <w:rPr>
                <w:rFonts w:ascii="Arial" w:cs="Arial" w:eastAsia="Arial" w:hAnsi="Arial"/>
                <w:sz w:val="16"/>
                <w:szCs w:val="16"/>
                <w:color w:val="auto"/>
              </w:rPr>
              <w:t>Transfers of assets under common control</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4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dividends and distributions to</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CEG unit holders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6"/>
        </w:trPr>
        <w:tc>
          <w:tcPr>
            <w:tcW w:w="3480" w:type="dxa"/>
            <w:vAlign w:val="bottom"/>
          </w:tcPr>
          <w:p>
            <w:pPr>
              <w:ind w:left="200"/>
              <w:spacing w:after="0" w:line="166" w:lineRule="exact"/>
              <w:rPr>
                <w:sz w:val="20"/>
                <w:szCs w:val="20"/>
                <w:color w:val="auto"/>
              </w:rPr>
            </w:pPr>
            <w:r>
              <w:rPr>
                <w:rFonts w:ascii="Arial" w:cs="Arial" w:eastAsia="Arial" w:hAnsi="Arial"/>
                <w:sz w:val="16"/>
                <w:szCs w:val="16"/>
                <w:color w:val="auto"/>
                <w:w w:val="99"/>
              </w:rPr>
              <w:t>Unrealized gain on derivatives and changes in</w:t>
            </w:r>
          </w:p>
        </w:tc>
        <w:tc>
          <w:tcPr>
            <w:tcW w:w="120" w:type="dxa"/>
            <w:vAlign w:val="bottom"/>
          </w:tcPr>
          <w:p>
            <w:pPr>
              <w:spacing w:after="0"/>
              <w:rPr>
                <w:sz w:val="14"/>
                <w:szCs w:val="14"/>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480" w:type="dxa"/>
            <w:vAlign w:val="bottom"/>
          </w:tcPr>
          <w:p>
            <w:pPr>
              <w:ind w:left="200"/>
              <w:spacing w:after="0"/>
              <w:rPr>
                <w:sz w:val="20"/>
                <w:szCs w:val="20"/>
                <w:color w:val="auto"/>
              </w:rPr>
            </w:pPr>
            <w:r>
              <w:rPr>
                <w:rFonts w:ascii="Arial" w:cs="Arial" w:eastAsia="Arial" w:hAnsi="Arial"/>
                <w:sz w:val="16"/>
                <w:szCs w:val="16"/>
                <w:color w:val="auto"/>
              </w:rPr>
              <w:t>accumulated OCI, net of tax</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Distributions to CEG, net of contributions, cash</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3480" w:type="dxa"/>
            <w:vAlign w:val="bottom"/>
          </w:tcPr>
          <w:p>
            <w:pPr>
              <w:ind w:left="20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20" w:type="dxa"/>
            <w:vAlign w:val="bottom"/>
          </w:tcPr>
          <w:p>
            <w:pPr>
              <w:spacing w:after="0"/>
              <w:rPr>
                <w:sz w:val="14"/>
                <w:szCs w:val="14"/>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3480" w:type="dxa"/>
            <w:vAlign w:val="bottom"/>
          </w:tcPr>
          <w:p>
            <w:pPr>
              <w:ind w:left="200"/>
              <w:spacing w:after="0"/>
              <w:rPr>
                <w:sz w:val="20"/>
                <w:szCs w:val="20"/>
                <w:color w:val="auto"/>
              </w:rPr>
            </w:pPr>
            <w:r>
              <w:rPr>
                <w:rFonts w:ascii="Arial" w:cs="Arial" w:eastAsia="Arial" w:hAnsi="Arial"/>
                <w:sz w:val="16"/>
                <w:szCs w:val="16"/>
                <w:color w:val="auto"/>
              </w:rPr>
              <w:t>contributions, cash</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Tax-related distributions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4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dividends and distributions to</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CEG unit holders</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093" w:right="7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2022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2"/>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right="4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2"/>
              <w:spacing w:after="0" w:line="131"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0"/>
                <w:szCs w:val="10"/>
                <w:color w:val="auto"/>
              </w:rPr>
            </w:pPr>
          </w:p>
        </w:tc>
        <w:tc>
          <w:tcPr>
            <w:tcW w:w="640" w:type="dxa"/>
            <w:vAlign w:val="bottom"/>
          </w:tcPr>
          <w:p>
            <w:pPr>
              <w:ind w:left="20"/>
              <w:spacing w:after="0" w:line="126"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1"/>
              <w:spacing w:after="0" w:line="126"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02"/>
              <w:spacing w:after="0" w:line="126"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1"/>
              <w:spacing w:after="0" w:line="126"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42"/>
              <w:spacing w:after="0" w:line="126"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41"/>
              <w:spacing w:after="0" w:line="126"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2"/>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4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3"/>
        </w:trPr>
        <w:tc>
          <w:tcPr>
            <w:tcW w:w="346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460" w:type="dxa"/>
            <w:vAlign w:val="bottom"/>
          </w:tcPr>
          <w:p>
            <w:pPr>
              <w:ind w:left="200"/>
              <w:spacing w:after="0"/>
              <w:rPr>
                <w:sz w:val="20"/>
                <w:szCs w:val="20"/>
                <w:color w:val="auto"/>
              </w:rPr>
            </w:pPr>
            <w:r>
              <w:rPr>
                <w:rFonts w:ascii="Arial" w:cs="Arial" w:eastAsia="Arial" w:hAnsi="Arial"/>
                <w:sz w:val="16"/>
                <w:szCs w:val="16"/>
                <w:color w:val="auto"/>
                <w:w w:val="97"/>
              </w:rPr>
              <w:t>Distributions to CEG, net of contributions, cash</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7"/>
              </w:rPr>
              <w:t>Contributions from noncontrolling interests, net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distributions, cash</w:t>
            </w: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0"/>
              <w:spacing w:after="0"/>
              <w:rPr>
                <w:sz w:val="20"/>
                <w:szCs w:val="20"/>
                <w:color w:val="auto"/>
              </w:rPr>
            </w:pPr>
            <w:r>
              <w:rPr>
                <w:rFonts w:ascii="Arial" w:cs="Arial" w:eastAsia="Arial" w:hAnsi="Arial"/>
                <w:sz w:val="16"/>
                <w:szCs w:val="16"/>
                <w:color w:val="auto"/>
              </w:rPr>
              <w:t>Transfers of assets under common control</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460" w:type="dxa"/>
            <w:vAlign w:val="bottom"/>
          </w:tcPr>
          <w:p>
            <w:pPr>
              <w:ind w:left="200"/>
              <w:spacing w:after="0"/>
              <w:rPr>
                <w:sz w:val="20"/>
                <w:szCs w:val="20"/>
                <w:color w:val="auto"/>
              </w:rPr>
            </w:pPr>
            <w:r>
              <w:rPr>
                <w:rFonts w:ascii="Arial" w:cs="Arial" w:eastAsia="Arial" w:hAnsi="Arial"/>
                <w:sz w:val="16"/>
                <w:szCs w:val="16"/>
                <w:color w:val="auto"/>
              </w:rPr>
              <w:t>Stock based compensation</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dividends and distributions to</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CEG unit holders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13"/>
        </w:trPr>
        <w:tc>
          <w:tcPr>
            <w:tcW w:w="3460" w:type="dxa"/>
            <w:vAlign w:val="bottom"/>
          </w:tcPr>
          <w:p>
            <w:pPr>
              <w:ind w:left="200"/>
              <w:spacing w:after="0"/>
              <w:rPr>
                <w:sz w:val="20"/>
                <w:szCs w:val="20"/>
                <w:color w:val="auto"/>
              </w:rPr>
            </w:pPr>
            <w:r>
              <w:rPr>
                <w:rFonts w:ascii="Arial" w:cs="Arial" w:eastAsia="Arial" w:hAnsi="Arial"/>
                <w:sz w:val="16"/>
                <w:szCs w:val="16"/>
                <w:color w:val="auto"/>
              </w:rPr>
              <w:t>Unrealized gain on derivatives, net of tax</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Distributions to CEG, net of contributions, cash</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6"/>
        </w:trPr>
        <w:tc>
          <w:tcPr>
            <w:tcW w:w="3460" w:type="dxa"/>
            <w:vAlign w:val="bottom"/>
          </w:tcPr>
          <w:p>
            <w:pPr>
              <w:ind w:left="200"/>
              <w:spacing w:after="0" w:line="166" w:lineRule="exact"/>
              <w:rPr>
                <w:sz w:val="20"/>
                <w:szCs w:val="20"/>
                <w:color w:val="auto"/>
              </w:rPr>
            </w:pPr>
            <w:r>
              <w:rPr>
                <w:rFonts w:ascii="Arial" w:cs="Arial" w:eastAsia="Arial" w:hAnsi="Arial"/>
                <w:sz w:val="16"/>
                <w:szCs w:val="16"/>
                <w:color w:val="auto"/>
              </w:rPr>
              <w:t>Distributions to noncontrolling interests, net of</w:t>
            </w:r>
          </w:p>
        </w:tc>
        <w:tc>
          <w:tcPr>
            <w:tcW w:w="100" w:type="dxa"/>
            <w:vAlign w:val="bottom"/>
          </w:tcPr>
          <w:p>
            <w:pPr>
              <w:spacing w:after="0"/>
              <w:rPr>
                <w:sz w:val="14"/>
                <w:szCs w:val="14"/>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460" w:type="dxa"/>
            <w:vAlign w:val="bottom"/>
          </w:tcPr>
          <w:p>
            <w:pPr>
              <w:ind w:left="200"/>
              <w:spacing w:after="0"/>
              <w:rPr>
                <w:sz w:val="20"/>
                <w:szCs w:val="20"/>
                <w:color w:val="auto"/>
              </w:rPr>
            </w:pPr>
            <w:r>
              <w:rPr>
                <w:rFonts w:ascii="Arial" w:cs="Arial" w:eastAsia="Arial" w:hAnsi="Arial"/>
                <w:sz w:val="16"/>
                <w:szCs w:val="16"/>
                <w:color w:val="auto"/>
              </w:rPr>
              <w:t>contributions, cash</w:t>
            </w: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adjustments for change in tax basis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460" w:type="dxa"/>
            <w:vAlign w:val="bottom"/>
          </w:tcPr>
          <w:p>
            <w:pPr>
              <w:ind w:left="200"/>
              <w:spacing w:after="0"/>
              <w:rPr>
                <w:sz w:val="20"/>
                <w:szCs w:val="20"/>
                <w:color w:val="auto"/>
              </w:rPr>
            </w:pPr>
            <w:r>
              <w:rPr>
                <w:rFonts w:ascii="Arial" w:cs="Arial" w:eastAsia="Arial" w:hAnsi="Arial"/>
                <w:sz w:val="16"/>
                <w:szCs w:val="16"/>
                <w:color w:val="auto"/>
              </w:rPr>
              <w:t>Stock based compensation</w:t>
            </w: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dividends and distributions to</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CEG unit holders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1,785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093" w:right="7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Arial" w:cs="Arial" w:eastAsia="Arial" w:hAnsi="Arial"/>
          <w:sz w:val="18"/>
          <w:szCs w:val="18"/>
          <w:color w:val="231F20"/>
        </w:rPr>
        <w:t>The majority</w:t>
      </w:r>
      <w:r>
        <w:rPr>
          <w:rFonts w:ascii="Arial" w:cs="Arial" w:eastAsia="Arial" w:hAnsi="Arial"/>
          <w:sz w:val="18"/>
          <w:szCs w:val="18"/>
          <w:color w:val="auto"/>
        </w:rPr>
        <w:t xml:space="preserve"> of the Company’s revenues are derived from long-term contractual arrangements for the output or capacity from these assets.</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Arial" w:cs="Arial" w:eastAsia="Arial" w:hAnsi="Arial"/>
          <w:sz w:val="17"/>
          <w:szCs w:val="17"/>
          <w:color w:val="000000"/>
        </w:rPr>
        <w:t>From</w:t>
      </w:r>
      <w:r>
        <w:rPr>
          <w:rFonts w:ascii="Arial" w:cs="Arial" w:eastAsia="Arial" w:hAnsi="Arial"/>
          <w:sz w:val="17"/>
          <w:szCs w:val="17"/>
          <w:color w:val="231F20"/>
        </w:rPr>
        <w:t xml:space="preserve"> </w:t>
      </w:r>
      <w:r>
        <w:rPr>
          <w:rFonts w:ascii="Arial" w:cs="Arial" w:eastAsia="Arial" w:hAnsi="Arial"/>
          <w:sz w:val="17"/>
          <w:szCs w:val="17"/>
          <w:color w:val="000000"/>
        </w:rPr>
        <w:t>time to time, CEG may also hold shares of the Company’s Class A and/or Class C common stock.</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2023, the Company owned 57.90% of the economic interests of Clearway Energy LLC, with CEG owning 42.10% of the economic interests of Clearway Energy LLC.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a summarized structure of the Company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4311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2022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2023, and results of operations, comprehensive income and cash flows for the three and six months ended June 30,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$134 million and $121 million as of June 30, 2023 and December 31, 2022, respectively.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r>
      <w:tr>
        <w:trPr>
          <w:trHeight w:val="27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547</w:t>
            </w:r>
          </w:p>
        </w:tc>
        <w:tc>
          <w:tcPr>
            <w:tcW w:w="1060" w:type="dxa"/>
            <w:vAlign w:val="bottom"/>
            <w:gridSpan w:val="2"/>
            <w:shd w:val="clear" w:color="auto" w:fill="CCEEFF"/>
          </w:tcPr>
          <w:p>
            <w:pPr>
              <w:jc w:val="right"/>
              <w:ind w:right="75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6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4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55"/>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Cash, cash equivalents and restricted cash shown in the consolidated statements of cash flows</w:t>
            </w: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June 30, 2023, these restricted funds were comprised of $104 million designated to fund operating expenses, $168 million designated for current debt service payments and $85 million restricted for reserves including debt service, performance obligations and other reserves as well as capital expenditures. The remaining $14 million is held in distributions reserve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and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property, plant and equipment, net, and accumulated amortization included in intangible assets, net: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December 31, 2022</w:t>
            </w:r>
          </w:p>
        </w:tc>
      </w:tr>
      <w:tr>
        <w:trPr>
          <w:trHeight w:val="210"/>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3"/>
          </w:tcPr>
          <w:p>
            <w:pPr>
              <w:jc w:val="right"/>
              <w:ind w:right="1413"/>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8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and Class C common stock during the six months ended June 30,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Second Quarter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First Quarter 2023</w:t>
            </w:r>
          </w:p>
        </w:tc>
      </w:tr>
      <w:tr>
        <w:trPr>
          <w:trHeight w:val="25"/>
        </w:trPr>
        <w:tc>
          <w:tcPr>
            <w:tcW w:w="8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0.3745</w:t>
            </w:r>
          </w:p>
        </w:tc>
      </w:tr>
    </w:tbl>
    <w:p>
      <w:pPr>
        <w:spacing w:after="0" w:line="2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7, 2023, the Company declared quarterly dividends on its Class A and Class C common stock of $0.3891 per share payable on September 15, 2023 to stockholders of record as of September 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to CEG during the six months ended June 30, 2023 on Clearway Energy LLC’s Class B and D units: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Second Quarter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First Quarter 2023</w:t>
            </w:r>
          </w:p>
        </w:tc>
      </w:tr>
      <w:tr>
        <w:trPr>
          <w:trHeight w:val="25"/>
        </w:trPr>
        <w:tc>
          <w:tcPr>
            <w:tcW w:w="38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4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4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0.3818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0.3745</w:t>
            </w:r>
          </w:p>
        </w:tc>
      </w:tr>
      <w:tr>
        <w:trPr>
          <w:trHeight w:val="782"/>
        </w:trPr>
        <w:tc>
          <w:tcPr>
            <w:tcW w:w="3880" w:type="dxa"/>
            <w:vAlign w:val="bottom"/>
          </w:tcPr>
          <w:p>
            <w:pPr>
              <w:spacing w:after="0"/>
              <w:rPr>
                <w:sz w:val="24"/>
                <w:szCs w:val="24"/>
                <w:color w:val="auto"/>
              </w:rPr>
            </w:pPr>
          </w:p>
        </w:tc>
        <w:tc>
          <w:tcPr>
            <w:tcW w:w="4520" w:type="dxa"/>
            <w:vAlign w:val="bottom"/>
          </w:tcPr>
          <w:p>
            <w:pPr>
              <w:jc w:val="right"/>
              <w:ind w:right="2590"/>
              <w:spacing w:after="0"/>
              <w:rPr>
                <w:sz w:val="20"/>
                <w:szCs w:val="20"/>
                <w:color w:val="auto"/>
              </w:rPr>
            </w:pPr>
            <w:r>
              <w:rPr>
                <w:rFonts w:ascii="Arial" w:cs="Arial" w:eastAsia="Arial" w:hAnsi="Arial"/>
                <w:sz w:val="18"/>
                <w:szCs w:val="18"/>
                <w:color w:val="231F20"/>
              </w:rPr>
              <w:t>14</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38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jc w:val="both"/>
        <w:ind w:firstLine="405"/>
        <w:spacing w:after="0" w:line="263" w:lineRule="auto"/>
        <w:rPr>
          <w:sz w:val="20"/>
          <w:szCs w:val="20"/>
          <w:color w:val="auto"/>
        </w:rPr>
      </w:pPr>
      <w:r>
        <w:rPr>
          <w:rFonts w:ascii="Arial" w:cs="Arial" w:eastAsia="Arial" w:hAnsi="Arial"/>
          <w:sz w:val="18"/>
          <w:szCs w:val="18"/>
          <w:color w:val="auto"/>
        </w:rPr>
        <w:t>In addition to the quarterly distributions paid to CEG, Clearway Energy LLC distributed an additional $19 million to CEG during the second quarter of 2023, which represents CEG’s pro-rata share of a distribution that was paid in order for the Company to make certain additional tax payments primarily associated with the sale of the Thermal Business. The Company’s share of the distribution was $26 million.</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August 7, 2023, Clearway Energy LLC declared a distribution on its Class B and Class D units of $0.3891 per unit payable on September 15, 2023 to unit holders of record as of September 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780" w:type="dxa"/>
            <w:vAlign w:val="bottom"/>
          </w:tcPr>
          <w:p>
            <w:pPr>
              <w:ind w:left="140"/>
              <w:spacing w:after="0"/>
              <w:rPr>
                <w:sz w:val="20"/>
                <w:szCs w:val="20"/>
                <w:color w:val="auto"/>
              </w:rPr>
            </w:pPr>
            <w:r>
              <w:rPr>
                <w:rFonts w:ascii="Arial" w:cs="Arial" w:eastAsia="Arial" w:hAnsi="Arial"/>
                <w:sz w:val="18"/>
                <w:szCs w:val="18"/>
                <w:color w:val="auto"/>
              </w:rPr>
              <w:t>Cash distributions to redeemable noncontrolling interests</w:t>
            </w:r>
          </w:p>
        </w:tc>
        <w:tc>
          <w:tcPr>
            <w:tcW w:w="4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redeemable noncontrolling interests</w:t>
            </w:r>
          </w:p>
        </w:tc>
        <w:tc>
          <w:tcPr>
            <w:tcW w:w="46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
        </w:trPr>
        <w:tc>
          <w:tcPr>
            <w:tcW w:w="8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June 30, 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132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34"/>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333333"/>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33333"/>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33333"/>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33333"/>
              </w:rPr>
              <w:t>101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333333"/>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33333"/>
              </w:rPr>
              <w:t>(47)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242424"/>
              </w:rPr>
              <w:t>115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42424"/>
              </w:rPr>
              <w:t>291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42424"/>
              </w:rPr>
              <w:t>406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151"/>
        <w:spacing w:after="0"/>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36"/>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spacing w:after="0" w:line="236"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(b)</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80" w:firstLine="9"/>
        <w:spacing w:after="0" w:line="292" w:lineRule="auto"/>
        <w:tabs>
          <w:tab w:leader="none" w:pos="247"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8"/>
              </w:rPr>
              <w:t>Three months ended June 30, 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28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333333"/>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33333"/>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306</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333333"/>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33333"/>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320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111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333333"/>
              </w:rPr>
              <w:t>(35)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33333"/>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(41)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333333"/>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333333"/>
              </w:rPr>
              <w:t>247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33333"/>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368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333333"/>
              </w:rPr>
              <w:t>(377)</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3"/>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333333"/>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333333"/>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333333"/>
              </w:rPr>
              <w:t>$</w:t>
            </w:r>
          </w:p>
        </w:tc>
        <w:tc>
          <w:tcPr>
            <w:tcW w:w="1220" w:type="dxa"/>
            <w:vAlign w:val="bottom"/>
          </w:tcPr>
          <w:p>
            <w:pPr>
              <w:jc w:val="right"/>
              <w:spacing w:after="0"/>
              <w:rPr>
                <w:sz w:val="20"/>
                <w:szCs w:val="20"/>
                <w:color w:val="auto"/>
              </w:rPr>
            </w:pPr>
            <w:r>
              <w:rPr>
                <w:rFonts w:ascii="Arial" w:cs="Arial" w:eastAsia="Arial" w:hAnsi="Arial"/>
                <w:sz w:val="18"/>
                <w:szCs w:val="18"/>
                <w:color w:val="333333"/>
              </w:rPr>
              <w:t>66</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333333"/>
              </w:rPr>
              <w:t>$</w:t>
            </w:r>
          </w:p>
        </w:tc>
        <w:tc>
          <w:tcPr>
            <w:tcW w:w="360" w:type="dxa"/>
            <w:vAlign w:val="bottom"/>
          </w:tcPr>
          <w:p>
            <w:pPr>
              <w:jc w:val="right"/>
              <w:spacing w:after="0"/>
              <w:rPr>
                <w:sz w:val="20"/>
                <w:szCs w:val="20"/>
                <w:color w:val="auto"/>
              </w:rPr>
            </w:pPr>
            <w:r>
              <w:rPr>
                <w:rFonts w:ascii="Arial" w:cs="Arial" w:eastAsia="Arial" w:hAnsi="Arial"/>
                <w:sz w:val="18"/>
                <w:szCs w:val="18"/>
                <w:color w:val="333333"/>
              </w:rPr>
              <w:t>18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333333"/>
              </w:rPr>
              <w:t>$</w:t>
            </w:r>
          </w:p>
        </w:tc>
        <w:tc>
          <w:tcPr>
            <w:tcW w:w="1100" w:type="dxa"/>
            <w:vAlign w:val="bottom"/>
          </w:tcPr>
          <w:p>
            <w:pPr>
              <w:jc w:val="right"/>
              <w:spacing w:after="0"/>
              <w:rPr>
                <w:sz w:val="20"/>
                <w:szCs w:val="20"/>
                <w:color w:val="auto"/>
              </w:rPr>
            </w:pPr>
            <w:r>
              <w:rPr>
                <w:rFonts w:ascii="Arial" w:cs="Arial" w:eastAsia="Arial" w:hAnsi="Arial"/>
                <w:sz w:val="18"/>
                <w:szCs w:val="18"/>
                <w:color w:val="333333"/>
              </w:rPr>
              <w:t>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hanging="171"/>
        <w:spacing w:after="0"/>
        <w:tabs>
          <w:tab w:leader="none" w:pos="26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following amounts of energy and capacity revenue relate to leases and are accounted for under ASC 842:</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56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4"/>
                <w:szCs w:val="14"/>
                <w:color w:val="auto"/>
              </w:rPr>
            </w:pPr>
          </w:p>
        </w:tc>
        <w:tc>
          <w:tcPr>
            <w:tcW w:w="15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15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5620" w:type="dxa"/>
            <w:vAlign w:val="bottom"/>
          </w:tcPr>
          <w:p>
            <w:pPr>
              <w:spacing w:after="0"/>
              <w:rPr>
                <w:sz w:val="13"/>
                <w:szCs w:val="13"/>
                <w:color w:val="auto"/>
              </w:rPr>
            </w:pPr>
          </w:p>
        </w:tc>
        <w:tc>
          <w:tcPr>
            <w:tcW w:w="1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Generation</w:t>
            </w: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Energy revenue</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268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Capacity revenue</w:t>
            </w: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7"/>
          </w:tcPr>
          <w:p>
            <w:pPr>
              <w:jc w:val="right"/>
              <w:ind w:right="210"/>
              <w:spacing w:after="0"/>
              <w:rPr>
                <w:sz w:val="20"/>
                <w:szCs w:val="20"/>
                <w:color w:val="auto"/>
              </w:rPr>
            </w:pPr>
            <w:r>
              <w:rPr>
                <w:rFonts w:ascii="Arial" w:cs="Arial" w:eastAsia="Arial" w:hAnsi="Arial"/>
                <w:sz w:val="14"/>
                <w:szCs w:val="14"/>
                <w:b w:val="1"/>
                <w:bCs w:val="1"/>
                <w:color w:val="auto"/>
              </w:rPr>
              <w:t>Six months ended June 30, 2023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53"/>
              <w:spacing w:after="0"/>
              <w:rPr>
                <w:sz w:val="20"/>
                <w:szCs w:val="20"/>
                <w:color w:val="auto"/>
              </w:rPr>
            </w:pPr>
            <w:r>
              <w:rPr>
                <w:rFonts w:ascii="Arial" w:cs="Arial" w:eastAsia="Arial" w:hAnsi="Arial"/>
                <w:sz w:val="14"/>
                <w:szCs w:val="14"/>
                <w:b w:val="1"/>
                <w:bCs w:val="1"/>
                <w:color w:val="auto"/>
              </w:rPr>
              <w:t>Generation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Contract amortization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w w:val="99"/>
              </w:rPr>
              <w:t>(83)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Total operating revenues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Less: Lease revenue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6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151"/>
        <w:spacing w:after="0"/>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capacity and other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36"/>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2"/>
            <w:shd w:val="clear" w:color="auto" w:fill="CCEEFF"/>
          </w:tcPr>
          <w:p>
            <w:pPr>
              <w:spacing w:after="0" w:line="236"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3"/>
                <w:szCs w:val="23"/>
                <w:color w:val="auto"/>
                <w:vertAlign w:val="superscript"/>
              </w:rPr>
              <w:t>(b)</w:t>
            </w: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88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71" w:lineRule="exact"/>
        <w:rPr>
          <w:sz w:val="20"/>
          <w:szCs w:val="20"/>
          <w:color w:val="auto"/>
        </w:rPr>
      </w:pPr>
    </w:p>
    <w:p>
      <w:pPr>
        <w:ind w:left="260" w:hanging="171"/>
        <w:spacing w:after="0"/>
        <w:tabs>
          <w:tab w:leader="none" w:pos="26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Includes revenue recognized for the Marsh Landing Black Start addition that reached commercial operations on May 31, 2023, as described above.</w:t>
      </w:r>
    </w:p>
    <w:p>
      <w:pPr>
        <w:spacing w:after="0" w:line="302"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Six months ended June 30, 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28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Energy revenue </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2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 xml:space="preserve">Capacity revenue </w:t>
            </w:r>
            <w:r>
              <w:rPr>
                <w:rFonts w:ascii="Arial" w:cs="Arial" w:eastAsia="Arial" w:hAnsi="Arial"/>
                <w:sz w:val="23"/>
                <w:szCs w:val="23"/>
                <w:color w:val="auto"/>
                <w:vertAlign w:val="superscript"/>
              </w:rPr>
              <w:t>(a)</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16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Mark-to-market for economic hedges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Less: Lease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Contract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160"/>
              <w:spacing w:after="0"/>
              <w:rPr>
                <w:sz w:val="20"/>
                <w:szCs w:val="20"/>
                <w:color w:val="auto"/>
              </w:rPr>
            </w:pPr>
            <w:r>
              <w:rPr>
                <w:rFonts w:ascii="Arial" w:cs="Arial" w:eastAsia="Arial" w:hAnsi="Arial"/>
                <w:sz w:val="18"/>
                <w:szCs w:val="18"/>
                <w:color w:val="auto"/>
              </w:rPr>
              <w:t>Total revenue from contracts with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2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76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88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40" w:lineRule="exact"/>
        <w:rPr>
          <w:sz w:val="20"/>
          <w:szCs w:val="20"/>
          <w:color w:val="auto"/>
        </w:rPr>
      </w:pPr>
    </w:p>
    <w:p>
      <w:pPr>
        <w:ind w:left="320" w:hanging="150"/>
        <w:spacing w:after="0"/>
        <w:tabs>
          <w:tab w:leader="none" w:pos="32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Conventional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4"/>
                <w:szCs w:val="14"/>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7"/>
              <w:spacing w:after="0"/>
              <w:rPr>
                <w:sz w:val="20"/>
                <w:szCs w:val="20"/>
                <w:color w:val="auto"/>
              </w:rPr>
            </w:pPr>
            <w:r>
              <w:rPr>
                <w:rFonts w:ascii="Arial" w:cs="Arial" w:eastAsia="Arial" w:hAnsi="Arial"/>
                <w:sz w:val="14"/>
                <w:szCs w:val="14"/>
                <w:b w:val="1"/>
                <w:bCs w:val="1"/>
                <w:color w:val="auto"/>
              </w:rPr>
              <w:t>Generation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Capacity revenue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contract assets and liabilities included on the Company’s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w w:val="97"/>
              </w:rPr>
              <w:t>(In millions)</w:t>
            </w:r>
          </w:p>
        </w:tc>
        <w:tc>
          <w:tcPr>
            <w:tcW w:w="920" w:type="dxa"/>
            <w:vAlign w:val="bottom"/>
          </w:tcPr>
          <w:p>
            <w:pPr>
              <w:spacing w:after="0"/>
              <w:rPr>
                <w:sz w:val="18"/>
                <w:szCs w:val="18"/>
                <w:color w:val="auto"/>
              </w:rPr>
            </w:pP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Accounts receivable, net - Leases</w:t>
            </w: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1440" w:type="dxa"/>
            <w:vAlign w:val="bottom"/>
            <w:shd w:val="clear" w:color="auto" w:fill="CCEEFF"/>
          </w:tcPr>
          <w:p>
            <w:pPr>
              <w:jc w:val="right"/>
              <w:ind w:right="12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March 2020, the FASB issued ASU No. 2020-4,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20, 2020 through December 31, 2022. In December 2022, the FASB issued ASU No. 2022-6, </w:t>
      </w:r>
      <w:r>
        <w:rPr>
          <w:rFonts w:ascii="Arial" w:cs="Arial" w:eastAsia="Arial" w:hAnsi="Arial"/>
          <w:sz w:val="17"/>
          <w:szCs w:val="17"/>
          <w:i w:val="1"/>
          <w:iCs w:val="1"/>
          <w:color w:val="auto"/>
        </w:rPr>
        <w:t>Deferral of the Sunset Date of 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w:t>
      </w:r>
      <w:r>
        <w:rPr>
          <w:rFonts w:ascii="Arial" w:cs="Arial" w:eastAsia="Arial" w:hAnsi="Arial"/>
          <w:sz w:val="17"/>
          <w:szCs w:val="17"/>
          <w:color w:val="auto"/>
        </w:rPr>
        <w:t>, to extend the end of the transition period to December 31, 2024. As of July 14, 2023, the Company has amended all of the applicable contracts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used LIBOR as a reference rate and elected to apply the practical expedient to certain modified cash flow interest rate swap and debt agreements. The adoption did not have a material impact on the Company’s financial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b w:val="1"/>
          <w:bCs w:val="1"/>
          <w:i w:val="1"/>
          <w:iCs w:val="1"/>
          <w:color w:val="auto"/>
        </w:rPr>
        <w:t xml:space="preserve">Daggett 3 Drop Down </w:t>
      </w:r>
      <w:r>
        <w:rPr>
          <w:rFonts w:ascii="Arial" w:cs="Arial" w:eastAsia="Arial" w:hAnsi="Arial"/>
          <w:sz w:val="16"/>
          <w:szCs w:val="16"/>
          <w:color w:val="auto"/>
        </w:rPr>
        <w:t>— On February 17, 2023, the Company, through its indirect subsidiary, Daggett Solar Investment LLC, acquired the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membership interests in Daggett TargetCo LLC, the indirect owner of the Daggett 3 solar project, a 300 MW solar project with matching storage capacity that is currently under construction, located in San Bernardino, California, from Clearway Renew, a subsidiary of CEG,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Daggett 3 has PPAs with investment-grade counterparties that have a 15-year weighted average contract duration that commence when the underlying operating assets reach commercial operations, which is expected to occur in the second half of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of $21 million and the historical cost of the Company’s net assets acquired of $15 million was recorded as an adjustment to CEG’s noncontrolling interest balance. In addition, the Company reflected $21 million of the Company’s purchase price, which was contributed back to the Company by CEG to pay down the acquired long-term debt, in the line item contributions from CEG, net of distributions in the consolidated statements of stockholders’ equity.</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February 17,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Daggett 3</w:t>
            </w:r>
          </w:p>
        </w:tc>
      </w:tr>
      <w:tr>
        <w:trPr>
          <w:trHeight w:val="223"/>
        </w:trPr>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91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6"/>
        </w:trPr>
        <w:tc>
          <w:tcPr>
            <w:tcW w:w="9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Right-of-use-assets, net</w:t>
            </w:r>
          </w:p>
        </w:tc>
        <w:tc>
          <w:tcPr>
            <w:tcW w:w="4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assets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9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70"/>
        </w:trPr>
        <w:tc>
          <w:tcPr>
            <w:tcW w:w="9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9"/>
        </w:trPr>
        <w:tc>
          <w:tcPr>
            <w:tcW w:w="9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7"/>
        </w:trPr>
        <w:tc>
          <w:tcPr>
            <w:tcW w:w="918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6"/>
        </w:trPr>
        <w:tc>
          <w:tcPr>
            <w:tcW w:w="918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p>
        </w:tc>
        <w:tc>
          <w:tcPr>
            <w:tcW w:w="4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918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61"/>
        </w:trPr>
        <w:tc>
          <w:tcPr>
            <w:tcW w:w="9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31" w:lineRule="exact"/>
        <w:rPr>
          <w:sz w:val="20"/>
          <w:szCs w:val="20"/>
          <w:color w:val="auto"/>
        </w:rPr>
      </w:pPr>
    </w:p>
    <w:p>
      <w:pPr>
        <w:ind w:left="80" w:firstLine="9"/>
        <w:spacing w:after="0" w:line="239" w:lineRule="auto"/>
        <w:tabs>
          <w:tab w:leader="none" w:pos="244"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 xml:space="preserve">Includes a $181 million construction loan, $75 million sponsor equity bridge loan and $229 million tax equity bridge loan, offset by $5 million in unamortized debt issuance costs. See Note 7, </w:t>
      </w:r>
      <w:r>
        <w:rPr>
          <w:rFonts w:ascii="Arial" w:cs="Arial" w:eastAsia="Arial" w:hAnsi="Arial"/>
          <w:sz w:val="12"/>
          <w:szCs w:val="12"/>
          <w:i w:val="1"/>
          <w:iCs w:val="1"/>
          <w:color w:val="auto"/>
        </w:rPr>
        <w:t>Long-term Debt</w:t>
      </w:r>
      <w:r>
        <w:rPr>
          <w:rFonts w:ascii="Arial" w:cs="Arial" w:eastAsia="Arial" w:hAnsi="Arial"/>
          <w:sz w:val="12"/>
          <w:szCs w:val="12"/>
          <w:color w:val="auto"/>
        </w:rPr>
        <w:t>, for further discussion of the long-term debt assumed in the acquisition.</w:t>
      </w:r>
    </w:p>
    <w:p>
      <w:pPr>
        <w:spacing w:after="0" w:line="47" w:lineRule="exact"/>
        <w:rPr>
          <w:rFonts w:ascii="Arial" w:cs="Arial" w:eastAsia="Arial" w:hAnsi="Arial"/>
          <w:sz w:val="18"/>
          <w:szCs w:val="18"/>
          <w:color w:val="auto"/>
          <w:vertAlign w:val="superscript"/>
        </w:rPr>
      </w:pPr>
    </w:p>
    <w:p>
      <w:pPr>
        <w:ind w:left="80" w:firstLine="9"/>
        <w:spacing w:after="0" w:line="219" w:lineRule="auto"/>
        <w:tabs>
          <w:tab w:leader="none" w:pos="26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Includes $32 million of project costs that were subsequently funded by CEG. Subsequent to the acquisition date, CEG funded an additional $11 million in project costs. The combined $43 million funded by CEG will be repaid with the proceeds received when the project reaches substantial completion, which is expected to occur in the second half of 2023.</w:t>
      </w:r>
    </w:p>
    <w:p>
      <w:pPr>
        <w:spacing w:after="0" w:line="157" w:lineRule="exact"/>
        <w:rPr>
          <w:sz w:val="20"/>
          <w:szCs w:val="20"/>
          <w:color w:val="auto"/>
        </w:rPr>
      </w:pPr>
    </w:p>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an interest in an entity that is considered a VIE under ASC 810, but for which it is not considered the primary beneficiary. The Company accounts for its interest in this entity and entities in which it has a significant investment under the equity method of accounting,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2022</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Rosie Central BESS — </w:t>
      </w:r>
      <w:r>
        <w:rPr>
          <w:rFonts w:ascii="Arial" w:cs="Arial" w:eastAsia="Arial" w:hAnsi="Arial"/>
          <w:sz w:val="17"/>
          <w:szCs w:val="17"/>
          <w:color w:val="auto"/>
        </w:rPr>
        <w:t>On June 30, 2023, the Company, through its indirect subsidiary, Rosie Class B LLC, the indirect owner of the Rosamond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 solar project, became the owner of the Class B membership interests of Rosie BESS Devco LLC, or Rosie Central BESS, in order to facilitate and fund the construction of a 147 MW battery energy storage system, or BESS, that will be co-located at the Rosamond Central solar facility. Clearway Renew indirectly owns the Class A membership interests. The Company accounts for its investment in Rosie Central BESS as an equity method investment. The Company’s investment consists of $10 million contributed into Rosie Central BESS, funded through contributions from the Company and its cash equity investor in Rosie TargetCo LLC, which consolidates Rosie Class B LLC. On July 3, 2023, Rosie Class B LLC contributed an additional $20 million into Rosie Central BESS, as further described in Note 7</w:t>
      </w:r>
      <w:r>
        <w:rPr>
          <w:rFonts w:ascii="Arial" w:cs="Arial" w:eastAsia="Arial" w:hAnsi="Arial"/>
          <w:sz w:val="17"/>
          <w:szCs w:val="17"/>
          <w:i w:val="1"/>
          <w:iCs w:val="1"/>
          <w:color w:val="auto"/>
        </w:rPr>
        <w:t>, Long-term Debt</w:t>
      </w:r>
      <w:r>
        <w:rPr>
          <w:rFonts w:ascii="Arial" w:cs="Arial" w:eastAsia="Arial" w:hAnsi="Arial"/>
          <w:sz w:val="17"/>
          <w:szCs w:val="17"/>
          <w:color w:val="auto"/>
        </w:rPr>
        <w:t>.</w:t>
      </w:r>
    </w:p>
    <w:p>
      <w:pPr>
        <w:spacing w:after="0" w:line="1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on June 30, 2023, Rosamond Central entered into an asset purchase agreement with Clearway Renew to acquire the BESS project assets at mechanical completion for a purchase price of $360 million, of which $72 million is payable at mechanical completion with the remaining $288 million payable at substantial completion. The Company will fund $17 million of the purchase price at mechanical completion and $67 million of the purchase price at substantial completion with the remaining purchase price funded through contributions from the cash equity investor in Rosie TargetCo LLC and the tax equity investor in Rosie TE Holdco LLC. The BESS project is anticipated to reach mechanical completion in the second half of 2023 and to reach substantial completion in the first half of 2024.</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June 30, 2023 is limited to its equity investment in the unconsolidated entities, as further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7000" w:type="dxa"/>
            <w:vAlign w:val="bottom"/>
            <w:tcBorders>
              <w:bottom w:val="single" w:sz="8" w:color="auto"/>
            </w:tcBorders>
          </w:tcPr>
          <w:p>
            <w:pPr>
              <w:jc w:val="center"/>
              <w:ind w:left="5451"/>
              <w:spacing w:after="0"/>
              <w:rPr>
                <w:sz w:val="20"/>
                <w:szCs w:val="20"/>
                <w:color w:val="auto"/>
              </w:rPr>
            </w:pPr>
            <w:r>
              <w:rPr>
                <w:rFonts w:ascii="Arial" w:cs="Arial" w:eastAsia="Arial" w:hAnsi="Arial"/>
                <w:sz w:val="16"/>
                <w:szCs w:val="16"/>
                <w:b w:val="1"/>
                <w:bCs w:val="1"/>
                <w:color w:val="auto"/>
                <w:w w:val="90"/>
              </w:rPr>
              <w:t>Economic Interest</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Investment Balance</w:t>
            </w:r>
          </w:p>
        </w:tc>
      </w:tr>
      <w:tr>
        <w:trPr>
          <w:trHeight w:val="210"/>
        </w:trPr>
        <w:tc>
          <w:tcPr>
            <w:tcW w:w="22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51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7000" w:type="dxa"/>
            <w:vAlign w:val="bottom"/>
            <w:shd w:val="clear" w:color="auto" w:fill="CCEEFF"/>
          </w:tcPr>
          <w:p>
            <w:pPr>
              <w:jc w:val="center"/>
              <w:ind w:left="545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20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7000" w:type="dxa"/>
            <w:vAlign w:val="bottom"/>
          </w:tcPr>
          <w:p>
            <w:pPr>
              <w:jc w:val="center"/>
              <w:ind w:left="5451"/>
              <w:spacing w:after="0"/>
              <w:rPr>
                <w:sz w:val="20"/>
                <w:szCs w:val="20"/>
                <w:color w:val="auto"/>
              </w:rPr>
            </w:pPr>
            <w:r>
              <w:rPr>
                <w:rFonts w:ascii="Arial" w:cs="Arial" w:eastAsia="Arial" w:hAnsi="Arial"/>
                <w:sz w:val="18"/>
                <w:szCs w:val="18"/>
                <w:color w:val="auto"/>
                <w:w w:val="94"/>
              </w:rPr>
              <w:t>25%</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7000" w:type="dxa"/>
            <w:vAlign w:val="bottom"/>
            <w:shd w:val="clear" w:color="auto" w:fill="CCEEFF"/>
          </w:tcPr>
          <w:p>
            <w:pPr>
              <w:jc w:val="center"/>
              <w:ind w:left="5451"/>
              <w:spacing w:after="0"/>
              <w:rPr>
                <w:sz w:val="20"/>
                <w:szCs w:val="20"/>
                <w:color w:val="auto"/>
              </w:rPr>
            </w:pPr>
            <w:r>
              <w:rPr>
                <w:rFonts w:ascii="Arial" w:cs="Arial" w:eastAsia="Arial" w:hAnsi="Arial"/>
                <w:sz w:val="18"/>
                <w:szCs w:val="18"/>
                <w:color w:val="auto"/>
                <w:w w:val="94"/>
              </w:rPr>
              <w:t>67%</w:t>
            </w: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GenConn </w:t>
            </w:r>
            <w:r>
              <w:rPr>
                <w:rFonts w:ascii="Arial" w:cs="Arial" w:eastAsia="Arial" w:hAnsi="Arial"/>
                <w:sz w:val="23"/>
                <w:szCs w:val="23"/>
                <w:color w:val="auto"/>
                <w:vertAlign w:val="superscript"/>
              </w:rPr>
              <w:t>(a)</w:t>
            </w:r>
          </w:p>
        </w:tc>
        <w:tc>
          <w:tcPr>
            <w:tcW w:w="7000" w:type="dxa"/>
            <w:vAlign w:val="bottom"/>
          </w:tcPr>
          <w:p>
            <w:pPr>
              <w:jc w:val="center"/>
              <w:ind w:left="5451"/>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Rosie Central BESS</w:t>
            </w:r>
          </w:p>
        </w:tc>
        <w:tc>
          <w:tcPr>
            <w:tcW w:w="7000" w:type="dxa"/>
            <w:vAlign w:val="bottom"/>
            <w:shd w:val="clear" w:color="auto" w:fill="CCEEFF"/>
          </w:tcPr>
          <w:p>
            <w:pPr>
              <w:jc w:val="center"/>
              <w:ind w:left="5451"/>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San Juan Mesa</w:t>
            </w:r>
          </w:p>
        </w:tc>
        <w:tc>
          <w:tcPr>
            <w:tcW w:w="7000" w:type="dxa"/>
            <w:vAlign w:val="bottom"/>
          </w:tcPr>
          <w:p>
            <w:pPr>
              <w:jc w:val="center"/>
              <w:ind w:left="5451"/>
              <w:spacing w:after="0"/>
              <w:rPr>
                <w:sz w:val="20"/>
                <w:szCs w:val="20"/>
                <w:color w:val="auto"/>
              </w:rPr>
            </w:pPr>
            <w:r>
              <w:rPr>
                <w:rFonts w:ascii="Arial" w:cs="Arial" w:eastAsia="Arial" w:hAnsi="Arial"/>
                <w:sz w:val="18"/>
                <w:szCs w:val="18"/>
                <w:color w:val="auto"/>
                <w:w w:val="94"/>
              </w:rPr>
              <w:t>75%</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5"/>
        </w:trPr>
        <w:tc>
          <w:tcPr>
            <w:tcW w:w="220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2200" w:type="dxa"/>
            <w:vAlign w:val="bottom"/>
            <w:tcBorders>
              <w:bottom w:val="single" w:sz="8" w:color="auto"/>
            </w:tcBorders>
          </w:tcPr>
          <w:p>
            <w:pPr>
              <w:spacing w:after="0"/>
              <w:rPr>
                <w:sz w:val="12"/>
                <w:szCs w:val="12"/>
                <w:color w:val="auto"/>
              </w:rPr>
            </w:pPr>
          </w:p>
        </w:tc>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r>
    </w:tbl>
    <w:p>
      <w:pPr>
        <w:spacing w:after="0" w:line="75"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GenConn is a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As further described under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to the consolidated financial statements included in the Company’s 2022 Form 10-K, the Company has a controlling financial interest in certain entities which have been identified as VIEs under ASC 810, </w:t>
      </w:r>
      <w:r>
        <w:rPr>
          <w:rFonts w:ascii="Arial" w:cs="Arial" w:eastAsia="Arial" w:hAnsi="Arial"/>
          <w:sz w:val="16"/>
          <w:szCs w:val="16"/>
          <w:i w:val="1"/>
          <w:iCs w:val="1"/>
          <w:color w:val="auto"/>
        </w:rPr>
        <w:t>Consolidations</w:t>
      </w:r>
      <w:r>
        <w:rPr>
          <w:rFonts w:ascii="Arial" w:cs="Arial" w:eastAsia="Arial" w:hAnsi="Arial"/>
          <w:sz w:val="16"/>
          <w:szCs w:val="16"/>
          <w:color w:val="auto"/>
        </w:rPr>
        <w:t>, or ASC 810.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have also been identified as VIEs. Under the Company’s arrangements that have been identified as VIEs, the third-party investors are allocated earnings, tax attributes and distributable cash in accordance with the respective limited liability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six months ended June 30, 2023.</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b w:val="1"/>
          <w:bCs w:val="1"/>
          <w:i w:val="1"/>
          <w:iCs w:val="1"/>
          <w:color w:val="auto"/>
        </w:rPr>
        <w:t xml:space="preserve">Daggett Renewable Holdco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February 17, 2023, Daggett Solar Investment LLC,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subsidiary of the Company,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a partnership between the Company and the cash equity investor, and concurrently, Daggett TargetCo LLC became a wholly-owned subsidiary of Daggett Renewable Holdco LLC.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the indirect owner of the primary beneficiary, a tax equity fund, Daggett TE Holdco LLC, which owns the Daggett 3 solar project. The tax equity investor’s interest is shown as noncontrolling interest and the HLBV method is utilized to allocate the income or losses of Daggett TE Holdco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June 30, 2023:</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Buckthorn Holdings,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89"/>
              </w:rPr>
              <w:t xml:space="preserve">DGPV Funds </w:t>
            </w:r>
            <w:r>
              <w:rPr>
                <w:rFonts w:ascii="Arial" w:cs="Arial" w:eastAsia="Arial" w:hAnsi="Arial"/>
                <w:sz w:val="21"/>
                <w:szCs w:val="21"/>
                <w:b w:val="1"/>
                <w:bCs w:val="1"/>
                <w:color w:val="auto"/>
                <w:w w:val="89"/>
                <w:vertAlign w:val="superscript"/>
              </w:rPr>
              <w:t>(a)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35"/>
              <w:spacing w:after="0"/>
              <w:rPr>
                <w:sz w:val="20"/>
                <w:szCs w:val="20"/>
                <w:color w:val="auto"/>
              </w:rPr>
            </w:pPr>
            <w:r>
              <w:rPr>
                <w:rFonts w:ascii="Arial" w:cs="Arial" w:eastAsia="Arial" w:hAnsi="Arial"/>
                <w:sz w:val="13"/>
                <w:szCs w:val="13"/>
                <w:b w:val="1"/>
                <w:bCs w:val="1"/>
                <w:color w:val="auto"/>
                <w:w w:val="85"/>
              </w:rPr>
              <w:t>Daggett Renewable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95"/>
              <w:spacing w:after="0"/>
              <w:rPr>
                <w:sz w:val="20"/>
                <w:szCs w:val="20"/>
                <w:color w:val="auto"/>
              </w:rPr>
            </w:pPr>
            <w:r>
              <w:rPr>
                <w:rFonts w:ascii="Arial" w:cs="Arial" w:eastAsia="Arial" w:hAnsi="Arial"/>
                <w:sz w:val="13"/>
                <w:szCs w:val="13"/>
                <w:b w:val="1"/>
                <w:bCs w:val="1"/>
                <w:color w:val="auto"/>
              </w:rPr>
              <w:t>Langford TE</w:t>
            </w:r>
          </w:p>
        </w:tc>
        <w:tc>
          <w:tcPr>
            <w:tcW w:w="10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w w:val="86"/>
              </w:rPr>
              <w:t>Lighthouse Renewable</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Alta TE Holdco LLC</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LLC</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3"/>
                <w:szCs w:val="13"/>
                <w:b w:val="1"/>
                <w:bCs w:val="1"/>
                <w:color w:val="auto"/>
                <w:w w:val="97"/>
              </w:rPr>
              <w:t xml:space="preserve">Holdco LLC </w:t>
            </w:r>
            <w:r>
              <w:rPr>
                <w:rFonts w:ascii="Arial" w:cs="Arial" w:eastAsia="Arial" w:hAnsi="Arial"/>
                <w:sz w:val="21"/>
                <w:szCs w:val="21"/>
                <w:b w:val="1"/>
                <w:bCs w:val="1"/>
                <w:color w:val="auto"/>
                <w:w w:val="97"/>
                <w:vertAlign w:val="superscript"/>
              </w:rPr>
              <w:t>(b)</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w w:val="92"/>
              </w:rPr>
              <w:t>Partnership LLC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3"/>
              <w:spacing w:after="0" w:line="189" w:lineRule="exact"/>
              <w:rPr>
                <w:sz w:val="20"/>
                <w:szCs w:val="20"/>
                <w:color w:val="auto"/>
              </w:rPr>
            </w:pPr>
            <w:r>
              <w:rPr>
                <w:rFonts w:ascii="Arial" w:cs="Arial" w:eastAsia="Arial" w:hAnsi="Arial"/>
                <w:sz w:val="13"/>
                <w:szCs w:val="13"/>
                <w:b w:val="1"/>
                <w:bCs w:val="1"/>
                <w:color w:val="auto"/>
                <w:w w:val="93"/>
              </w:rPr>
              <w:t xml:space="preserve">Holdco LLC </w:t>
            </w:r>
            <w:r>
              <w:rPr>
                <w:rFonts w:ascii="Arial" w:cs="Arial" w:eastAsia="Arial" w:hAnsi="Arial"/>
                <w:sz w:val="21"/>
                <w:szCs w:val="21"/>
                <w:b w:val="1"/>
                <w:bCs w:val="1"/>
                <w:color w:val="auto"/>
                <w:w w:val="93"/>
                <w:vertAlign w:val="superscript"/>
              </w:rPr>
              <w:t>(c)</w:t>
            </w: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5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3120" w:type="dxa"/>
            <w:vAlign w:val="bottom"/>
            <w:gridSpan w:val="2"/>
          </w:tcPr>
          <w:p>
            <w:pPr>
              <w:ind w:left="140"/>
              <w:spacing w:after="0"/>
              <w:rPr>
                <w:sz w:val="20"/>
                <w:szCs w:val="20"/>
                <w:color w:val="auto"/>
              </w:rPr>
            </w:pPr>
            <w:r>
              <w:rPr>
                <w:rFonts w:ascii="Arial" w:cs="Arial" w:eastAsia="Arial" w:hAnsi="Arial"/>
                <w:sz w:val="18"/>
                <w:szCs w:val="18"/>
                <w:color w:val="auto"/>
                <w:w w:val="97"/>
              </w:rPr>
              <w:t>Net assets less noncontrolling interest</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firstLine="9"/>
        <w:spacing w:after="0" w:line="226" w:lineRule="auto"/>
        <w:tabs>
          <w:tab w:leader="none" w:pos="256"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DGPV Funds is comprised of Clearway &amp; EFS Distributed Solar LLC, DGPV Fund 4 LLC, Golden Puma Fund LLC, Renew Solar CS4 Fund LLC and Chestnut Fund LLC, which are all tax equity funds.</w:t>
      </w:r>
    </w:p>
    <w:p>
      <w:pPr>
        <w:spacing w:after="0" w:line="5" w:lineRule="exact"/>
        <w:rPr>
          <w:rFonts w:ascii="Arial" w:cs="Arial" w:eastAsia="Arial" w:hAnsi="Arial"/>
          <w:sz w:val="20"/>
          <w:szCs w:val="20"/>
          <w:color w:val="auto"/>
          <w:vertAlign w:val="superscript"/>
        </w:rPr>
      </w:pPr>
    </w:p>
    <w:p>
      <w:pPr>
        <w:ind w:left="280" w:hanging="191"/>
        <w:spacing w:after="0"/>
        <w:tabs>
          <w:tab w:leader="none" w:pos="28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Daggett Renewable Holdco LLC consolidates Daggett TE Holdco LLC, which is a consolidated VIE.</w:t>
      </w:r>
    </w:p>
    <w:p>
      <w:pPr>
        <w:spacing w:after="0" w:line="59" w:lineRule="exact"/>
        <w:rPr>
          <w:rFonts w:ascii="Arial" w:cs="Arial" w:eastAsia="Arial" w:hAnsi="Arial"/>
          <w:sz w:val="23"/>
          <w:szCs w:val="23"/>
          <w:color w:val="auto"/>
          <w:vertAlign w:val="superscript"/>
        </w:rPr>
      </w:pPr>
    </w:p>
    <w:p>
      <w:pPr>
        <w:ind w:left="80" w:firstLine="9"/>
        <w:spacing w:after="0" w:line="212" w:lineRule="auto"/>
        <w:tabs>
          <w:tab w:leader="none" w:pos="257"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Lighthouse Renewable Holdco LLC consolidates Mesquite Star Tax Equity Holdco LLC, Black Rock TE Holdco LLC, Mililani TE Holdco LLC and Waiawa TE Holdco LLC, which are consolidated VIEs.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6"/>
              <w:spacing w:after="0"/>
              <w:rPr>
                <w:sz w:val="20"/>
                <w:szCs w:val="20"/>
                <w:color w:val="auto"/>
              </w:rPr>
            </w:pPr>
            <w:r>
              <w:rPr>
                <w:rFonts w:ascii="Arial" w:cs="Arial" w:eastAsia="Arial" w:hAnsi="Arial"/>
                <w:sz w:val="13"/>
                <w:szCs w:val="13"/>
                <w:b w:val="1"/>
                <w:bCs w:val="1"/>
                <w:color w:val="auto"/>
                <w:w w:val="85"/>
              </w:rPr>
              <w:t>Lighthouse</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5"/>
              </w:rPr>
              <w:t>Renewable Holdco 2</w:t>
            </w:r>
          </w:p>
        </w:tc>
        <w:tc>
          <w:tcPr>
            <w:tcW w:w="10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3"/>
              </w:rPr>
              <w:t>Oahu Solar LLC</w:t>
            </w:r>
          </w:p>
        </w:tc>
        <w:tc>
          <w:tcPr>
            <w:tcW w:w="80" w:type="dxa"/>
            <w:vAlign w:val="bottom"/>
          </w:tcPr>
          <w:p>
            <w:pPr>
              <w:spacing w:after="0"/>
              <w:rPr>
                <w:sz w:val="10"/>
                <w:szCs w:val="10"/>
                <w:color w:val="auto"/>
              </w:rPr>
            </w:pPr>
          </w:p>
        </w:tc>
        <w:tc>
          <w:tcPr>
            <w:tcW w:w="12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89"/>
              </w:rPr>
              <w:t>Pinnacle Repowering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55"/>
              <w:spacing w:after="0" w:line="126" w:lineRule="exact"/>
              <w:rPr>
                <w:sz w:val="20"/>
                <w:szCs w:val="20"/>
                <w:color w:val="auto"/>
              </w:rPr>
            </w:pPr>
            <w:r>
              <w:rPr>
                <w:rFonts w:ascii="Arial" w:cs="Arial" w:eastAsia="Arial" w:hAnsi="Arial"/>
                <w:sz w:val="13"/>
                <w:szCs w:val="13"/>
                <w:b w:val="1"/>
                <w:bCs w:val="1"/>
                <w:color w:val="auto"/>
                <w:w w:val="87"/>
              </w:rPr>
              <w:t>Rattlesnake 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5"/>
              <w:spacing w:after="0" w:line="126" w:lineRule="exact"/>
              <w:rPr>
                <w:sz w:val="20"/>
                <w:szCs w:val="20"/>
                <w:color w:val="auto"/>
              </w:rPr>
            </w:pPr>
            <w:r>
              <w:rPr>
                <w:rFonts w:ascii="Arial" w:cs="Arial" w:eastAsia="Arial" w:hAnsi="Arial"/>
                <w:sz w:val="13"/>
                <w:szCs w:val="13"/>
                <w:b w:val="1"/>
                <w:bCs w:val="1"/>
                <w:color w:val="auto"/>
                <w:w w:val="85"/>
              </w:rPr>
              <w:t>Rosie TargetCo</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95"/>
              <w:spacing w:after="0" w:line="126" w:lineRule="exact"/>
              <w:rPr>
                <w:sz w:val="20"/>
                <w:szCs w:val="20"/>
                <w:color w:val="auto"/>
              </w:rPr>
            </w:pPr>
            <w:r>
              <w:rPr>
                <w:rFonts w:ascii="Arial" w:cs="Arial" w:eastAsia="Arial" w:hAnsi="Arial"/>
                <w:sz w:val="13"/>
                <w:szCs w:val="13"/>
                <w:b w:val="1"/>
                <w:bCs w:val="1"/>
                <w:color w:val="auto"/>
                <w:w w:val="93"/>
              </w:rPr>
              <w:t>Wildorado 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2"/>
              </w:rPr>
              <w:t xml:space="preserve">Other </w:t>
            </w:r>
            <w:r>
              <w:rPr>
                <w:rFonts w:ascii="Arial" w:cs="Arial" w:eastAsia="Arial" w:hAnsi="Arial"/>
                <w:sz w:val="21"/>
                <w:szCs w:val="21"/>
                <w:b w:val="1"/>
                <w:bCs w:val="1"/>
                <w:color w:val="auto"/>
                <w:w w:val="92"/>
                <w:vertAlign w:val="superscript"/>
              </w:rPr>
              <w:t>(b)</w:t>
            </w:r>
          </w:p>
        </w:tc>
        <w:tc>
          <w:tcPr>
            <w:tcW w:w="0" w:type="dxa"/>
            <w:vAlign w:val="bottom"/>
          </w:tcPr>
          <w:p>
            <w:pPr>
              <w:spacing w:after="0"/>
              <w:rPr>
                <w:sz w:val="1"/>
                <w:szCs w:val="1"/>
                <w:color w:val="auto"/>
              </w:rPr>
            </w:pPr>
          </w:p>
        </w:tc>
      </w:tr>
      <w:tr>
        <w:trPr>
          <w:trHeight w:val="176"/>
        </w:trPr>
        <w:tc>
          <w:tcPr>
            <w:tcW w:w="308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6"/>
              <w:spacing w:after="0" w:line="176"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20"/>
                <w:szCs w:val="20"/>
                <w:b w:val="1"/>
                <w:bCs w:val="1"/>
                <w:color w:val="auto"/>
                <w:vertAlign w:val="superscript"/>
              </w:rPr>
              <w:t>(a)</w:t>
            </w:r>
          </w:p>
        </w:tc>
        <w:tc>
          <w:tcPr>
            <w:tcW w:w="100" w:type="dxa"/>
            <w:vAlign w:val="bottom"/>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TE Holdco LLC</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Holdco LLC</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b w:val="1"/>
                <w:bCs w:val="1"/>
                <w:color w:val="auto"/>
              </w:rPr>
              <w:t>LLC</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w w:val="98"/>
              </w:rPr>
              <w:t>Holdco LLC</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40"/>
              <w:spacing w:after="0"/>
              <w:rPr>
                <w:sz w:val="20"/>
                <w:szCs w:val="20"/>
                <w:color w:val="auto"/>
              </w:rPr>
            </w:pPr>
            <w:r>
              <w:rPr>
                <w:rFonts w:ascii="Arial" w:cs="Arial" w:eastAsia="Arial" w:hAnsi="Arial"/>
                <w:sz w:val="18"/>
                <w:szCs w:val="18"/>
                <w:color w:val="auto"/>
                <w:w w:val="96"/>
              </w:rPr>
              <w:t>Net assets less noncontrolling interest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hanging="171"/>
        <w:spacing w:after="0"/>
        <w:tabs>
          <w:tab w:leader="none" w:pos="26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Lighthouse Renewable Holdco 2 LLC consolidates Mesquite Sky TE Holdco LLC, which is a consolidated VIE.</w:t>
      </w:r>
    </w:p>
    <w:p>
      <w:pPr>
        <w:spacing w:after="0" w:line="80" w:lineRule="exact"/>
        <w:rPr>
          <w:rFonts w:ascii="Arial" w:cs="Arial" w:eastAsia="Arial" w:hAnsi="Arial"/>
          <w:sz w:val="20"/>
          <w:szCs w:val="20"/>
          <w:color w:val="auto"/>
          <w:vertAlign w:val="superscript"/>
        </w:rPr>
      </w:pPr>
    </w:p>
    <w:p>
      <w:pPr>
        <w:ind w:left="280" w:hanging="191"/>
        <w:spacing w:after="0" w:line="188" w:lineRule="auto"/>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Other is comprised of Elbow Creek TE Holdco LLC and Spring Canyon TE Holdco LLC.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jc w:val="both"/>
        <w:ind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carrying amounts and estimated fair values of the Company’s recorded financial instruments not carried at fair market value or that do not approximate fair value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6"/>
              </w:rPr>
              <w:t>As of December 31, 2022</w:t>
            </w:r>
          </w:p>
        </w:tc>
      </w:tr>
      <w:tr>
        <w:trPr>
          <w:trHeight w:val="26"/>
        </w:trPr>
        <w:tc>
          <w:tcPr>
            <w:tcW w:w="60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606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89"/>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6060" w:type="dxa"/>
            <w:vAlign w:val="bottom"/>
            <w:shd w:val="clear" w:color="auto" w:fill="CCEEFF"/>
          </w:tcPr>
          <w:p>
            <w:pPr>
              <w:ind w:left="40"/>
              <w:spacing w:after="0" w:line="237"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7,097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6,874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24" w:lineRule="exact"/>
        <w:rPr>
          <w:sz w:val="20"/>
          <w:szCs w:val="20"/>
          <w:color w:val="auto"/>
        </w:rPr>
      </w:pPr>
    </w:p>
    <w:p>
      <w:pPr>
        <w:ind w:left="260" w:hanging="171"/>
        <w:spacing w:after="0"/>
        <w:tabs>
          <w:tab w:leader="none" w:pos="260" w:val="left"/>
        </w:tabs>
        <w:numPr>
          <w:ilvl w:val="0"/>
          <w:numId w:val="14"/>
        </w:numPr>
        <w:rPr>
          <w:rFonts w:ascii="Arial" w:cs="Arial" w:eastAsia="Arial" w:hAnsi="Arial"/>
          <w:sz w:val="20"/>
          <w:szCs w:val="20"/>
          <w:color w:val="auto"/>
          <w:vertAlign w:val="superscript"/>
        </w:rPr>
      </w:pPr>
      <w:r>
        <w:rPr>
          <w:rFonts w:ascii="Arial" w:cs="Arial" w:eastAsia="Arial" w:hAnsi="Arial"/>
          <w:sz w:val="13"/>
          <w:szCs w:val="13"/>
          <w:color w:val="auto"/>
        </w:rPr>
        <w:t>Excludes net debt issuance costs, which are recorded as a reduction to long-term debt on the Company’s consolidated balance sheets.</w:t>
      </w:r>
    </w:p>
    <w:p>
      <w:pPr>
        <w:spacing w:after="0" w:line="16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9"/>
              </w:rPr>
              <w:t>As of December 31, 2022</w:t>
            </w:r>
          </w:p>
        </w:tc>
      </w:tr>
      <w:tr>
        <w:trPr>
          <w:trHeight w:val="26"/>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6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189"/>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1,834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161"/>
        </w:trPr>
        <w:tc>
          <w:tcPr>
            <w:tcW w:w="6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As of December 31, 2022</w:t>
            </w:r>
          </w:p>
        </w:tc>
      </w:tr>
      <w:tr>
        <w:trPr>
          <w:trHeight w:val="25"/>
        </w:trPr>
        <w:tc>
          <w:tcPr>
            <w:tcW w:w="22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2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1"/>
                <w:szCs w:val="21"/>
                <w:b w:val="1"/>
                <w:bCs w:val="1"/>
                <w:color w:val="auto"/>
                <w:vertAlign w:val="superscript"/>
              </w:rPr>
              <w:t>(a)</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1"/>
                <w:szCs w:val="21"/>
                <w:b w:val="1"/>
                <w:bCs w:val="1"/>
                <w:color w:val="auto"/>
                <w:vertAlign w:val="superscript"/>
              </w:rPr>
              <w:t>(a)</w:t>
            </w:r>
          </w:p>
        </w:tc>
        <w:tc>
          <w:tcPr>
            <w:tcW w:w="920" w:type="dxa"/>
            <w:vAlign w:val="bottom"/>
            <w:tcBorders>
              <w:bottom w:val="single" w:sz="8" w:color="auto"/>
            </w:tcBorders>
          </w:tcPr>
          <w:p>
            <w:pPr>
              <w:spacing w:after="0"/>
              <w:rPr>
                <w:sz w:val="19"/>
                <w:szCs w:val="19"/>
                <w:color w:val="auto"/>
              </w:rPr>
            </w:pPr>
          </w:p>
        </w:tc>
      </w:tr>
      <w:tr>
        <w:trPr>
          <w:trHeight w:val="190"/>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Level 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(b)</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7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57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20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75" w:lineRule="exact"/>
        <w:rPr>
          <w:sz w:val="20"/>
          <w:szCs w:val="20"/>
          <w:color w:val="auto"/>
        </w:rPr>
      </w:pPr>
    </w:p>
    <w:p>
      <w:pPr>
        <w:ind w:left="260" w:hanging="171"/>
        <w:spacing w:after="0"/>
        <w:tabs>
          <w:tab w:leader="none" w:pos="2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There were no derivative assets classified as Level 1 or Level 3 and no liabilities classified as Level 1 as of June 30, 2023 and December 31, 2022.</w:t>
      </w:r>
    </w:p>
    <w:p>
      <w:pPr>
        <w:spacing w:after="0" w:line="61" w:lineRule="exact"/>
        <w:rPr>
          <w:rFonts w:ascii="Arial" w:cs="Arial" w:eastAsia="Arial" w:hAnsi="Arial"/>
          <w:sz w:val="20"/>
          <w:szCs w:val="20"/>
          <w:color w:val="auto"/>
          <w:vertAlign w:val="superscript"/>
        </w:rPr>
      </w:pPr>
    </w:p>
    <w:p>
      <w:pPr>
        <w:ind w:left="280" w:hanging="191"/>
        <w:spacing w:after="0" w:line="194" w:lineRule="auto"/>
        <w:tabs>
          <w:tab w:leader="none" w:pos="28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 xml:space="preserve">Includes </w:t>
      </w:r>
      <w:r>
        <w:rPr>
          <w:rFonts w:ascii="Arial" w:cs="Arial" w:eastAsia="Arial" w:hAnsi="Arial"/>
          <w:sz w:val="16"/>
          <w:szCs w:val="16"/>
          <w:color w:val="auto"/>
        </w:rPr>
        <w:t>SREC contract.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ind w:left="8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4"/>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2760" w:type="dxa"/>
            <w:vAlign w:val="bottom"/>
            <w:gridSpan w:val="4"/>
          </w:tcPr>
          <w:p>
            <w:pPr>
              <w:jc w:val="center"/>
              <w:ind w:right="53"/>
              <w:spacing w:after="0" w:line="135"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gridSpan w:val="4"/>
          </w:tcPr>
          <w:p>
            <w:pPr>
              <w:jc w:val="center"/>
              <w:ind w:right="33"/>
              <w:spacing w:after="0" w:line="135"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86"/>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Unobservable Inputs (Level 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Unobservable Inputs (Level 3)</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due to loss of NPNS exception</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gains (losses) for the period included in earnings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line="176" w:lineRule="exact"/>
              <w:rPr>
                <w:sz w:val="20"/>
                <w:szCs w:val="20"/>
                <w:color w:val="auto"/>
              </w:rPr>
            </w:pPr>
            <w:r>
              <w:rPr>
                <w:rFonts w:ascii="Arial" w:cs="Arial" w:eastAsia="Arial" w:hAnsi="Arial"/>
                <w:sz w:val="18"/>
                <w:szCs w:val="18"/>
                <w:color w:val="auto"/>
                <w:w w:val="97"/>
              </w:rPr>
              <w:t>Change in unrealized gains included in earnings for derivatives and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00"/>
              <w:spacing w:after="0"/>
              <w:rPr>
                <w:sz w:val="20"/>
                <w:szCs w:val="20"/>
                <w:color w:val="auto"/>
              </w:rPr>
            </w:pPr>
            <w:r>
              <w:rPr>
                <w:rFonts w:ascii="Arial" w:cs="Arial" w:eastAsia="Arial" w:hAnsi="Arial"/>
                <w:sz w:val="18"/>
                <w:szCs w:val="18"/>
                <w:color w:val="auto"/>
              </w:rPr>
              <w:t>other financial instruments held as of June 30, 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commodity contracts. To the extent that observable forward prices are not available, the quoted prices reflect the average of the forward prices from the prior year, adjusted for inflation. As of June 30, 2023, contracts valued with prices provided by models and other valuation techniques make up 100% of derivative liabilities and other financial instruments.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8"/>
                <w:szCs w:val="18"/>
                <w:b w:val="1"/>
                <w:bCs w:val="1"/>
                <w:color w:val="auto"/>
                <w:w w:val="94"/>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92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77"/>
              </w:rPr>
              <w:t>Assets</w:t>
            </w:r>
          </w:p>
        </w:tc>
        <w:tc>
          <w:tcPr>
            <w:tcW w:w="600" w:type="dxa"/>
            <w:vAlign w:val="bottom"/>
          </w:tcPr>
          <w:p>
            <w:pPr>
              <w:spacing w:after="0"/>
              <w:rPr>
                <w:sz w:val="15"/>
                <w:szCs w:val="15"/>
                <w:color w:val="auto"/>
              </w:rPr>
            </w:pPr>
          </w:p>
        </w:tc>
        <w:tc>
          <w:tcPr>
            <w:tcW w:w="12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Valuation</w:t>
            </w:r>
          </w:p>
        </w:tc>
        <w:tc>
          <w:tcPr>
            <w:tcW w:w="15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Unobservable</w:t>
            </w:r>
          </w:p>
        </w:tc>
        <w:tc>
          <w:tcPr>
            <w:tcW w:w="280" w:type="dxa"/>
            <w:vAlign w:val="bottom"/>
          </w:tcPr>
          <w:p>
            <w:pPr>
              <w:spacing w:after="0"/>
              <w:rPr>
                <w:sz w:val="15"/>
                <w:szCs w:val="15"/>
                <w:color w:val="auto"/>
              </w:rPr>
            </w:pPr>
          </w:p>
        </w:tc>
        <w:tc>
          <w:tcPr>
            <w:tcW w:w="1040" w:type="dxa"/>
            <w:vAlign w:val="bottom"/>
            <w:vMerge w:val="restart"/>
          </w:tcPr>
          <w:p>
            <w:pPr>
              <w:jc w:val="right"/>
              <w:ind w:right="396"/>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15"/>
                <w:szCs w:val="15"/>
                <w:color w:val="auto"/>
              </w:rPr>
            </w:pPr>
          </w:p>
        </w:tc>
        <w:tc>
          <w:tcPr>
            <w:tcW w:w="1180" w:type="dxa"/>
            <w:vAlign w:val="bottom"/>
            <w:vMerge w:val="restart"/>
          </w:tcPr>
          <w:p>
            <w:pPr>
              <w:jc w:val="center"/>
              <w:ind w:right="35"/>
              <w:spacing w:after="0"/>
              <w:rPr>
                <w:sz w:val="20"/>
                <w:szCs w:val="20"/>
                <w:color w:val="auto"/>
              </w:rPr>
            </w:pPr>
            <w:r>
              <w:rPr>
                <w:rFonts w:ascii="Arial" w:cs="Arial" w:eastAsia="Arial" w:hAnsi="Arial"/>
                <w:sz w:val="18"/>
                <w:szCs w:val="18"/>
                <w:b w:val="1"/>
                <w:bCs w:val="1"/>
                <w:color w:val="auto"/>
                <w:w w:val="94"/>
              </w:rPr>
              <w:t>High</w:t>
            </w:r>
          </w:p>
        </w:tc>
        <w:tc>
          <w:tcPr>
            <w:tcW w:w="200" w:type="dxa"/>
            <w:vAlign w:val="bottom"/>
          </w:tcPr>
          <w:p>
            <w:pPr>
              <w:spacing w:after="0"/>
              <w:rPr>
                <w:sz w:val="15"/>
                <w:szCs w:val="15"/>
                <w:color w:val="auto"/>
              </w:rPr>
            </w:pPr>
          </w:p>
        </w:tc>
        <w:tc>
          <w:tcPr>
            <w:tcW w:w="1140" w:type="dxa"/>
            <w:vAlign w:val="bottom"/>
          </w:tcPr>
          <w:p>
            <w:pPr>
              <w:jc w:val="center"/>
              <w:ind w:right="115"/>
              <w:spacing w:after="0" w:line="181"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07"/>
        </w:trPr>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Commodity Contracts   </w:t>
            </w:r>
            <w:r>
              <w:rPr>
                <w:rFonts w:ascii="Arial" w:cs="Arial" w:eastAsia="Arial" w:hAnsi="Arial"/>
                <w:sz w:val="16"/>
                <w:szCs w:val="16"/>
                <w:color w:val="auto"/>
              </w:rPr>
              <w:t>$</w:t>
            </w:r>
          </w:p>
        </w:tc>
        <w:tc>
          <w:tcPr>
            <w:tcW w:w="60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0"/>
              </w:rPr>
              <w:t>Discounted Cash</w:t>
            </w:r>
          </w:p>
        </w:tc>
        <w:tc>
          <w:tcPr>
            <w:tcW w:w="152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2"/>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Flow</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(per MWh)</w:t>
            </w: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line="166" w:lineRule="exact"/>
              <w:rPr>
                <w:sz w:val="20"/>
                <w:szCs w:val="20"/>
                <w:color w:val="auto"/>
              </w:rPr>
            </w:pPr>
            <w:r>
              <w:rPr>
                <w:rFonts w:ascii="Arial" w:cs="Arial" w:eastAsia="Arial" w:hAnsi="Arial"/>
                <w:sz w:val="16"/>
                <w:szCs w:val="16"/>
                <w:color w:val="auto"/>
                <w:w w:val="88"/>
              </w:rPr>
              <w:t>Forecast annual</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520" w:type="dxa"/>
            <w:vAlign w:val="bottom"/>
          </w:tcPr>
          <w:p>
            <w:pPr>
              <w:jc w:val="center"/>
              <w:spacing w:after="0" w:line="162" w:lineRule="exact"/>
              <w:rPr>
                <w:sz w:val="20"/>
                <w:szCs w:val="20"/>
                <w:color w:val="auto"/>
              </w:rPr>
            </w:pPr>
            <w:r>
              <w:rPr>
                <w:rFonts w:ascii="Arial" w:cs="Arial" w:eastAsia="Arial" w:hAnsi="Arial"/>
                <w:sz w:val="16"/>
                <w:szCs w:val="16"/>
                <w:color w:val="auto"/>
                <w:w w:val="92"/>
              </w:rPr>
              <w:t>generation levels of</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00" w:type="dxa"/>
            <w:vAlign w:val="bottom"/>
            <w:gridSpan w:val="2"/>
            <w:vMerge w:val="continue"/>
          </w:tcPr>
          <w:p>
            <w:pPr>
              <w:spacing w:after="0"/>
              <w:rPr>
                <w:sz w:val="13"/>
                <w:szCs w:val="13"/>
                <w:color w:val="auto"/>
              </w:rPr>
            </w:pPr>
          </w:p>
        </w:tc>
        <w:tc>
          <w:tcPr>
            <w:tcW w:w="600" w:type="dxa"/>
            <w:vAlign w:val="bottom"/>
            <w:vMerge w:val="restart"/>
          </w:tcPr>
          <w:p>
            <w:pPr>
              <w:ind w:left="180"/>
              <w:spacing w:after="0"/>
              <w:rPr>
                <w:sz w:val="20"/>
                <w:szCs w:val="20"/>
                <w:color w:val="auto"/>
              </w:rPr>
            </w:pPr>
            <w:r>
              <w:rPr>
                <w:rFonts w:ascii="Arial" w:cs="Arial" w:eastAsia="Arial" w:hAnsi="Arial"/>
                <w:sz w:val="16"/>
                <w:szCs w:val="16"/>
                <w:color w:val="auto"/>
              </w:rPr>
              <w:t>12</w:t>
            </w:r>
          </w:p>
        </w:tc>
        <w:tc>
          <w:tcPr>
            <w:tcW w:w="1200" w:type="dxa"/>
            <w:vAlign w:val="bottom"/>
            <w:vMerge w:val="restart"/>
          </w:tcPr>
          <w:p>
            <w:pPr>
              <w:ind w:left="920"/>
              <w:spacing w:after="0"/>
              <w:rPr>
                <w:sz w:val="20"/>
                <w:szCs w:val="20"/>
                <w:color w:val="auto"/>
              </w:rPr>
            </w:pPr>
            <w:r>
              <w:rPr>
                <w:rFonts w:ascii="Arial" w:cs="Arial" w:eastAsia="Arial" w:hAnsi="Arial"/>
                <w:sz w:val="16"/>
                <w:szCs w:val="16"/>
                <w:color w:val="auto"/>
              </w:rPr>
              <w:t>—</w:t>
            </w:r>
          </w:p>
        </w:tc>
        <w:tc>
          <w:tcPr>
            <w:tcW w:w="1240" w:type="dxa"/>
            <w:vAlign w:val="bottom"/>
            <w:vMerge w:val="continue"/>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6"/>
                <w:szCs w:val="16"/>
                <w:color w:val="auto"/>
                <w:w w:val="91"/>
              </w:rPr>
              <w:t>certain DG solar</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60,801 MWh</w:t>
            </w: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121,602 MWh</w:t>
            </w: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115,622 MWh</w:t>
            </w:r>
          </w:p>
        </w:tc>
        <w:tc>
          <w:tcPr>
            <w:tcW w:w="0" w:type="dxa"/>
            <w:vAlign w:val="bottom"/>
          </w:tcPr>
          <w:p>
            <w:pPr>
              <w:spacing w:after="0"/>
              <w:rPr>
                <w:sz w:val="1"/>
                <w:szCs w:val="1"/>
                <w:color w:val="auto"/>
              </w:rPr>
            </w:pPr>
          </w:p>
        </w:tc>
      </w:tr>
      <w:tr>
        <w:trPr>
          <w:trHeight w:val="210"/>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auto"/>
              </w:rPr>
              <w:t>Instruments</w:t>
            </w:r>
          </w:p>
        </w:tc>
        <w:tc>
          <w:tcPr>
            <w:tcW w:w="6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Flow</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facilities</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the impact on the fair value measurements to increases/(decreases) in significant unobservable inputs as of June 30,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Significant Unobservable Input</w:t>
            </w:r>
          </w:p>
        </w:tc>
        <w:tc>
          <w:tcPr>
            <w:tcW w:w="1440" w:type="dxa"/>
            <w:vAlign w:val="bottom"/>
            <w:vMerge w:val="restart"/>
          </w:tcPr>
          <w:p>
            <w:pPr>
              <w:jc w:val="center"/>
              <w:ind w:left="730"/>
              <w:spacing w:after="0"/>
              <w:rPr>
                <w:sz w:val="20"/>
                <w:szCs w:val="20"/>
                <w:color w:val="auto"/>
              </w:rPr>
            </w:pPr>
            <w:r>
              <w:rPr>
                <w:rFonts w:ascii="Arial" w:cs="Arial" w:eastAsia="Arial" w:hAnsi="Arial"/>
                <w:sz w:val="18"/>
                <w:szCs w:val="18"/>
                <w:b w:val="1"/>
                <w:bCs w:val="1"/>
                <w:color w:val="auto"/>
                <w:w w:val="87"/>
              </w:rPr>
              <w:t>Position</w:t>
            </w:r>
          </w:p>
        </w:tc>
        <w:tc>
          <w:tcPr>
            <w:tcW w:w="3060" w:type="dxa"/>
            <w:vAlign w:val="bottom"/>
            <w:vMerge w:val="restart"/>
          </w:tcPr>
          <w:p>
            <w:pPr>
              <w:jc w:val="center"/>
              <w:ind w:left="610"/>
              <w:spacing w:after="0"/>
              <w:rPr>
                <w:sz w:val="20"/>
                <w:szCs w:val="20"/>
                <w:color w:val="auto"/>
              </w:rPr>
            </w:pPr>
            <w:r>
              <w:rPr>
                <w:rFonts w:ascii="Arial" w:cs="Arial" w:eastAsia="Arial" w:hAnsi="Arial"/>
                <w:sz w:val="18"/>
                <w:szCs w:val="18"/>
                <w:b w:val="1"/>
                <w:bCs w:val="1"/>
                <w:color w:val="auto"/>
                <w:w w:val="94"/>
              </w:rPr>
              <w:t>Change In Input</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Impact on Fair Value</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3060" w:type="dxa"/>
            <w:vAlign w:val="bottom"/>
            <w:tcBorders>
              <w:bottom w:val="single" w:sz="8" w:color="auto"/>
            </w:tcBorders>
            <w:vMerge w:val="continue"/>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 Power</w:t>
            </w:r>
          </w:p>
        </w:tc>
        <w:tc>
          <w:tcPr>
            <w:tcW w:w="14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3"/>
              </w:rPr>
              <w:t>Sell</w:t>
            </w:r>
          </w:p>
        </w:tc>
        <w:tc>
          <w:tcPr>
            <w:tcW w:w="30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8"/>
              </w:rPr>
              <w:t>Increase/(Decrease)</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30"/>
        </w:trPr>
        <w:tc>
          <w:tcPr>
            <w:tcW w:w="4080" w:type="dxa"/>
            <w:vAlign w:val="bottom"/>
          </w:tcPr>
          <w:p>
            <w:pPr>
              <w:jc w:val="center"/>
              <w:spacing w:after="0"/>
              <w:rPr>
                <w:sz w:val="20"/>
                <w:szCs w:val="20"/>
                <w:color w:val="auto"/>
              </w:rPr>
            </w:pPr>
            <w:r>
              <w:rPr>
                <w:rFonts w:ascii="Arial" w:cs="Arial" w:eastAsia="Arial" w:hAnsi="Arial"/>
                <w:sz w:val="18"/>
                <w:szCs w:val="18"/>
                <w:color w:val="auto"/>
                <w:w w:val="88"/>
              </w:rPr>
              <w:t>Forecast Generation Levels</w:t>
            </w:r>
          </w:p>
        </w:tc>
        <w:tc>
          <w:tcPr>
            <w:tcW w:w="1440" w:type="dxa"/>
            <w:vAlign w:val="bottom"/>
          </w:tcPr>
          <w:p>
            <w:pPr>
              <w:jc w:val="center"/>
              <w:ind w:left="710"/>
              <w:spacing w:after="0"/>
              <w:rPr>
                <w:sz w:val="20"/>
                <w:szCs w:val="20"/>
                <w:color w:val="auto"/>
              </w:rPr>
            </w:pPr>
            <w:r>
              <w:rPr>
                <w:rFonts w:ascii="Arial" w:cs="Arial" w:eastAsia="Arial" w:hAnsi="Arial"/>
                <w:sz w:val="18"/>
                <w:szCs w:val="18"/>
                <w:color w:val="auto"/>
                <w:w w:val="93"/>
              </w:rPr>
              <w:t>Sell</w:t>
            </w:r>
          </w:p>
        </w:tc>
        <w:tc>
          <w:tcPr>
            <w:tcW w:w="3060" w:type="dxa"/>
            <w:vAlign w:val="bottom"/>
          </w:tcPr>
          <w:p>
            <w:pPr>
              <w:jc w:val="center"/>
              <w:ind w:left="610"/>
              <w:spacing w:after="0"/>
              <w:rPr>
                <w:sz w:val="20"/>
                <w:szCs w:val="20"/>
                <w:color w:val="auto"/>
              </w:rPr>
            </w:pPr>
            <w:r>
              <w:rPr>
                <w:rFonts w:ascii="Arial" w:cs="Arial" w:eastAsia="Arial" w:hAnsi="Arial"/>
                <w:sz w:val="18"/>
                <w:szCs w:val="18"/>
                <w:color w:val="auto"/>
                <w:w w:val="88"/>
              </w:rPr>
              <w:t>Increase/(Decrease)</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782"/>
        </w:trPr>
        <w:tc>
          <w:tcPr>
            <w:tcW w:w="4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60" w:type="dxa"/>
            <w:vAlign w:val="bottom"/>
          </w:tcPr>
          <w:p>
            <w:pPr>
              <w:jc w:val="right"/>
              <w:ind w:right="2770"/>
              <w:spacing w:after="0"/>
              <w:rPr>
                <w:sz w:val="20"/>
                <w:szCs w:val="20"/>
                <w:color w:val="auto"/>
              </w:rPr>
            </w:pPr>
            <w:r>
              <w:rPr>
                <w:rFonts w:ascii="Arial" w:cs="Arial" w:eastAsia="Arial" w:hAnsi="Arial"/>
                <w:sz w:val="18"/>
                <w:szCs w:val="18"/>
                <w:color w:val="231F20"/>
                <w:w w:val="89"/>
              </w:rPr>
              <w:t>22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2" w:name="page23"/>
    <w:bookmarkEnd w:id="22"/>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2023, the non-performance reserve was a $26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w:t>
      </w:r>
      <w:r>
        <w:rPr>
          <w:rFonts w:ascii="Arial" w:cs="Arial" w:eastAsia="Arial" w:hAnsi="Arial"/>
          <w:sz w:val="18"/>
          <w:szCs w:val="18"/>
          <w:color w:val="231F20"/>
        </w:rPr>
        <w:t>Company’s</w:t>
      </w:r>
      <w:r>
        <w:rPr>
          <w:rFonts w:ascii="Arial" w:cs="Arial" w:eastAsia="Arial" w:hAnsi="Arial"/>
          <w:sz w:val="18"/>
          <w:szCs w:val="18"/>
          <w:color w:val="auto"/>
        </w:rPr>
        <w:t xml:space="preserve"> 2022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the Company’s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June 30,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2023, the Company had energy-related derivative instruments extending through 2033. At June 30, 2023,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4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 Volume</w:t>
            </w: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0"/>
              </w:rPr>
              <w:t>December 31, 2022</w:t>
            </w:r>
          </w:p>
        </w:tc>
      </w:tr>
      <w:tr>
        <w:trPr>
          <w:trHeight w:val="145"/>
        </w:trPr>
        <w:tc>
          <w:tcPr>
            <w:tcW w:w="20" w:type="dxa"/>
            <w:vAlign w:val="bottom"/>
          </w:tcPr>
          <w:p>
            <w:pPr>
              <w:spacing w:after="0"/>
              <w:rPr>
                <w:sz w:val="12"/>
                <w:szCs w:val="12"/>
                <w:color w:val="auto"/>
              </w:rPr>
            </w:pPr>
          </w:p>
        </w:tc>
        <w:tc>
          <w:tcPr>
            <w:tcW w:w="740" w:type="dxa"/>
            <w:vAlign w:val="bottom"/>
          </w:tcPr>
          <w:p>
            <w:pPr>
              <w:spacing w:after="0" w:line="145" w:lineRule="exact"/>
              <w:rPr>
                <w:sz w:val="20"/>
                <w:szCs w:val="20"/>
                <w:color w:val="auto"/>
              </w:rPr>
            </w:pPr>
            <w:r>
              <w:rPr>
                <w:rFonts w:ascii="Arial" w:cs="Arial" w:eastAsia="Arial" w:hAnsi="Arial"/>
                <w:sz w:val="14"/>
                <w:szCs w:val="14"/>
                <w:b w:val="1"/>
                <w:bCs w:val="1"/>
                <w:color w:val="auto"/>
                <w:w w:val="93"/>
              </w:rPr>
              <w:t>Commodity</w:t>
            </w:r>
          </w:p>
        </w:tc>
        <w:tc>
          <w:tcPr>
            <w:tcW w:w="3240" w:type="dxa"/>
            <w:vAlign w:val="bottom"/>
            <w:gridSpan w:val="3"/>
          </w:tcPr>
          <w:p>
            <w:pPr>
              <w:ind w:left="1180"/>
              <w:spacing w:after="0" w:line="145" w:lineRule="exact"/>
              <w:rPr>
                <w:sz w:val="20"/>
                <w:szCs w:val="20"/>
                <w:color w:val="auto"/>
              </w:rPr>
            </w:pPr>
            <w:r>
              <w:rPr>
                <w:rFonts w:ascii="Arial" w:cs="Arial" w:eastAsia="Arial" w:hAnsi="Arial"/>
                <w:sz w:val="14"/>
                <w:szCs w:val="14"/>
                <w:b w:val="1"/>
                <w:bCs w:val="1"/>
                <w:color w:val="auto"/>
              </w:rPr>
              <w:t>Units</w:t>
            </w:r>
          </w:p>
        </w:tc>
        <w:tc>
          <w:tcPr>
            <w:tcW w:w="3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gridSpan w:val="2"/>
          </w:tcPr>
          <w:p>
            <w:pPr>
              <w:ind w:left="160"/>
              <w:spacing w:after="0" w:line="145" w:lineRule="exact"/>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Power</w:t>
            </w:r>
          </w:p>
        </w:tc>
        <w:tc>
          <w:tcPr>
            <w:tcW w:w="32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MWh</w:t>
            </w:r>
          </w:p>
        </w:tc>
        <w:tc>
          <w:tcPr>
            <w:tcW w:w="3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Interest</w:t>
            </w:r>
          </w:p>
        </w:tc>
        <w:tc>
          <w:tcPr>
            <w:tcW w:w="3240" w:type="dxa"/>
            <w:vAlign w:val="bottom"/>
            <w:gridSpan w:val="3"/>
          </w:tcPr>
          <w:p>
            <w:pPr>
              <w:ind w:left="1180"/>
              <w:spacing w:after="0"/>
              <w:rPr>
                <w:sz w:val="20"/>
                <w:szCs w:val="20"/>
                <w:color w:val="auto"/>
              </w:rPr>
            </w:pPr>
            <w:r>
              <w:rPr>
                <w:rFonts w:ascii="Arial" w:cs="Arial" w:eastAsia="Arial" w:hAnsi="Arial"/>
                <w:sz w:val="18"/>
                <w:szCs w:val="18"/>
                <w:color w:val="auto"/>
              </w:rPr>
              <w:t>Dollars</w:t>
            </w:r>
          </w:p>
        </w:tc>
        <w:tc>
          <w:tcPr>
            <w:tcW w:w="4800" w:type="dxa"/>
            <w:vAlign w:val="bottom"/>
            <w:gridSpan w:val="2"/>
          </w:tcPr>
          <w:p>
            <w:pPr>
              <w:jc w:val="right"/>
              <w:ind w:right="116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9"/>
              <w:spacing w:after="0"/>
              <w:rPr>
                <w:sz w:val="20"/>
                <w:szCs w:val="20"/>
                <w:color w:val="auto"/>
              </w:rPr>
            </w:pPr>
            <w:r>
              <w:rPr>
                <w:rFonts w:ascii="Arial" w:cs="Arial" w:eastAsia="Arial" w:hAnsi="Arial"/>
                <w:sz w:val="18"/>
                <w:szCs w:val="18"/>
                <w:color w:val="auto"/>
                <w:w w:val="88"/>
              </w:rPr>
              <w:t>1,667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7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60" w:type="dxa"/>
            <w:vAlign w:val="bottom"/>
          </w:tcPr>
          <w:p>
            <w:pPr>
              <w:jc w:val="right"/>
              <w:ind w:right="1650"/>
              <w:spacing w:after="0"/>
              <w:rPr>
                <w:sz w:val="20"/>
                <w:szCs w:val="20"/>
                <w:color w:val="auto"/>
              </w:rPr>
            </w:pPr>
            <w:r>
              <w:rPr>
                <w:rFonts w:ascii="Arial" w:cs="Arial" w:eastAsia="Arial" w:hAnsi="Arial"/>
                <w:sz w:val="18"/>
                <w:szCs w:val="18"/>
                <w:color w:val="231F20"/>
              </w:rPr>
              <w:t>23</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81"/>
        </w:trPr>
        <w:tc>
          <w:tcPr>
            <w:tcW w:w="4540" w:type="dxa"/>
            <w:vAlign w:val="bottom"/>
          </w:tcPr>
          <w:p>
            <w:pPr>
              <w:spacing w:after="0"/>
              <w:rPr>
                <w:sz w:val="15"/>
                <w:szCs w:val="15"/>
                <w:color w:val="auto"/>
              </w:rPr>
            </w:pPr>
          </w:p>
        </w:tc>
        <w:tc>
          <w:tcPr>
            <w:tcW w:w="3300" w:type="dxa"/>
            <w:vAlign w:val="bottom"/>
            <w:tcBorders>
              <w:bottom w:val="single" w:sz="8" w:color="auto"/>
            </w:tcBorders>
            <w:gridSpan w:val="5"/>
          </w:tcPr>
          <w:p>
            <w:pPr>
              <w:jc w:val="right"/>
              <w:ind w:right="1035"/>
              <w:spacing w:after="0"/>
              <w:rPr>
                <w:sz w:val="20"/>
                <w:szCs w:val="20"/>
                <w:color w:val="auto"/>
              </w:rPr>
            </w:pPr>
            <w:r>
              <w:rPr>
                <w:rFonts w:ascii="Arial" w:cs="Arial" w:eastAsia="Arial" w:hAnsi="Arial"/>
                <w:sz w:val="14"/>
                <w:szCs w:val="14"/>
                <w:b w:val="1"/>
                <w:bCs w:val="1"/>
                <w:color w:val="auto"/>
              </w:rPr>
              <w:t>Derivative Assets</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Derivative Liabilities</w:t>
            </w:r>
          </w:p>
        </w:tc>
      </w:tr>
      <w:tr>
        <w:trPr>
          <w:trHeight w:val="191"/>
        </w:trPr>
        <w:tc>
          <w:tcPr>
            <w:tcW w:w="454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4"/>
              </w:rPr>
              <w:t>June 30, 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4"/>
        </w:trPr>
        <w:tc>
          <w:tcPr>
            <w:tcW w:w="4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2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54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2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5"/>
              </w:rPr>
              <w:t>Total Derivatives Not Designated as Cash Flow Hedges</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26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level. As of June 30, 2023 and December 31, 2022, the amount of outstanding collateral paid or received was immaterial. The following tables summarize the offsetting of derivatives by counterparty: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7"/>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June 30, 2023</w:t>
            </w:r>
          </w:p>
        </w:tc>
        <w:tc>
          <w:tcPr>
            <w:tcW w:w="200" w:type="dxa"/>
            <w:vAlign w:val="bottom"/>
          </w:tcPr>
          <w:p>
            <w:pPr>
              <w:spacing w:after="0"/>
              <w:rPr>
                <w:sz w:val="11"/>
                <w:szCs w:val="11"/>
                <w:color w:val="auto"/>
              </w:rPr>
            </w:pPr>
          </w:p>
        </w:tc>
        <w:tc>
          <w:tcPr>
            <w:tcW w:w="2220" w:type="dxa"/>
            <w:vAlign w:val="bottom"/>
          </w:tcPr>
          <w:p>
            <w:pPr>
              <w:jc w:val="center"/>
              <w:ind w:right="136"/>
              <w:spacing w:after="0" w:line="129" w:lineRule="exact"/>
              <w:rPr>
                <w:sz w:val="20"/>
                <w:szCs w:val="20"/>
                <w:color w:val="auto"/>
              </w:rPr>
            </w:pPr>
            <w:r>
              <w:rPr>
                <w:rFonts w:ascii="Arial" w:cs="Arial" w:eastAsia="Arial" w:hAnsi="Arial"/>
                <w:sz w:val="14"/>
                <w:szCs w:val="14"/>
                <w:b w:val="1"/>
                <w:bCs w:val="1"/>
                <w:color w:val="auto"/>
                <w:w w:val="89"/>
              </w:rPr>
              <w:t>Gross Amounts of Recognized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Assets/Liabilities</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90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7"/>
          </w:tcPr>
          <w:p>
            <w:pPr>
              <w:jc w:val="center"/>
              <w:ind w:left="1076"/>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2022</w:t>
            </w:r>
          </w:p>
        </w:tc>
        <w:tc>
          <w:tcPr>
            <w:tcW w:w="200" w:type="dxa"/>
            <w:vAlign w:val="bottom"/>
          </w:tcPr>
          <w:p>
            <w:pPr>
              <w:spacing w:after="0"/>
              <w:rPr>
                <w:sz w:val="11"/>
                <w:szCs w:val="11"/>
                <w:color w:val="auto"/>
              </w:rPr>
            </w:pPr>
          </w:p>
        </w:tc>
        <w:tc>
          <w:tcPr>
            <w:tcW w:w="222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9"/>
              </w:rPr>
              <w:t>Gross Amounts of Recognized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44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Assets/Liabilities</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90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440" w:type="dxa"/>
            <w:vAlign w:val="bottom"/>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center"/>
              <w:ind w:right="156"/>
              <w:spacing w:after="0"/>
              <w:rPr>
                <w:sz w:val="20"/>
                <w:szCs w:val="20"/>
                <w:color w:val="auto"/>
              </w:rPr>
            </w:pPr>
            <w:r>
              <w:rPr>
                <w:rFonts w:ascii="Arial" w:cs="Arial" w:eastAsia="Arial" w:hAnsi="Arial"/>
                <w:sz w:val="18"/>
                <w:szCs w:val="18"/>
                <w:color w:val="231F20"/>
                <w:w w:val="89"/>
              </w:rPr>
              <w:t>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OCI (OCL) balance attributable to interest rate swaps designated as cash flow hedge derivatives, net of tax:</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OCI (OCL) beginning balance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8"/>
        </w:trPr>
        <w:tc>
          <w:tcPr>
            <w:tcW w:w="5500" w:type="dxa"/>
            <w:vAlign w:val="bottom"/>
          </w:tcPr>
          <w:p>
            <w:pPr>
              <w:ind w:left="140"/>
              <w:spacing w:after="0" w:line="189" w:lineRule="exact"/>
              <w:rPr>
                <w:sz w:val="20"/>
                <w:szCs w:val="20"/>
                <w:color w:val="auto"/>
              </w:rPr>
            </w:pPr>
            <w:r>
              <w:rPr>
                <w:rFonts w:ascii="Arial" w:cs="Arial" w:eastAsia="Arial" w:hAnsi="Arial"/>
                <w:sz w:val="18"/>
                <w:szCs w:val="18"/>
                <w:color w:val="auto"/>
                <w:w w:val="95"/>
              </w:rPr>
              <w:t>Reclassified from accumulated OCI (OCL) to income due to realization</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00"/>
              <w:spacing w:after="0"/>
              <w:rPr>
                <w:sz w:val="20"/>
                <w:szCs w:val="20"/>
                <w:color w:val="auto"/>
              </w:rPr>
            </w:pPr>
            <w:r>
              <w:rPr>
                <w:rFonts w:ascii="Arial" w:cs="Arial" w:eastAsia="Arial" w:hAnsi="Arial"/>
                <w:sz w:val="18"/>
                <w:szCs w:val="18"/>
                <w:color w:val="auto"/>
              </w:rPr>
              <w:t>of previously deferred amounts</w:t>
            </w: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line="169" w:lineRule="exact"/>
              <w:rPr>
                <w:sz w:val="20"/>
                <w:szCs w:val="20"/>
                <w:color w:val="auto"/>
              </w:rPr>
            </w:pPr>
            <w:r>
              <w:rPr>
                <w:rFonts w:ascii="Arial" w:cs="Arial" w:eastAsia="Arial" w:hAnsi="Arial"/>
                <w:sz w:val="18"/>
                <w:szCs w:val="18"/>
                <w:color w:val="auto"/>
                <w:w w:val="92"/>
              </w:rPr>
              <w:t>Accumulated OCI ending balance, net of income tax expense of $3, $1, $3</w:t>
            </w:r>
          </w:p>
        </w:tc>
        <w:tc>
          <w:tcPr>
            <w:tcW w:w="9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$1, respectively</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OCI attributable to noncontrolling interests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Accumulated OCI attributable to Clearway Energy, Inc.</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Gains expected to be realized from OCI during the next 12 months, net of</w:t>
            </w:r>
          </w:p>
        </w:tc>
        <w:tc>
          <w:tcPr>
            <w:tcW w:w="960" w:type="dxa"/>
            <w:vAlign w:val="bottom"/>
            <w:vMerge w:val="restart"/>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of $2</w:t>
            </w:r>
          </w:p>
        </w:tc>
        <w:tc>
          <w:tcPr>
            <w:tcW w:w="96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Amounts reclassified from accumulated OCI (OCL) into income are recorded to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Mark-to-market gains/(losses) related to the Company’s derivatives are recorded in the consolidated statements of income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189"/>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ind w:left="7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42424"/>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242424"/>
              </w:rPr>
              <w:t>22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242424"/>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242424"/>
              </w:rPr>
              <w:t>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312"/>
        </w:trPr>
        <w:tc>
          <w:tcPr>
            <w:tcW w:w="5460" w:type="dxa"/>
            <w:vAlign w:val="bottom"/>
          </w:tcPr>
          <w:p>
            <w:pPr>
              <w:ind w:left="20"/>
              <w:spacing w:after="0"/>
              <w:rPr>
                <w:sz w:val="20"/>
                <w:szCs w:val="20"/>
                <w:color w:val="auto"/>
              </w:rPr>
            </w:pPr>
            <w:r>
              <w:rPr>
                <w:rFonts w:ascii="Arial" w:cs="Arial" w:eastAsia="Arial" w:hAnsi="Arial"/>
                <w:sz w:val="18"/>
                <w:szCs w:val="18"/>
                <w:color w:val="auto"/>
                <w:w w:val="92"/>
              </w:rPr>
              <w:t xml:space="preserve">Commodity Contracts (Mark-to-market for economic hedging activities) </w:t>
            </w:r>
            <w:r>
              <w:rPr>
                <w:rFonts w:ascii="Arial" w:cs="Arial" w:eastAsia="Arial" w:hAnsi="Arial"/>
                <w:sz w:val="23"/>
                <w:szCs w:val="23"/>
                <w:color w:val="auto"/>
                <w:w w:val="92"/>
                <w:vertAlign w:val="superscript"/>
              </w:rPr>
              <w:t>(a)</w:t>
            </w:r>
          </w:p>
        </w:tc>
        <w:tc>
          <w:tcPr>
            <w:tcW w:w="3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242424"/>
              </w:rPr>
              <w:t>32</w:t>
            </w:r>
          </w:p>
        </w:tc>
        <w:tc>
          <w:tcPr>
            <w:tcW w:w="40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242424"/>
              </w:rPr>
              <w:t>50</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8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49" w:lineRule="exact"/>
        <w:rPr>
          <w:sz w:val="20"/>
          <w:szCs w:val="20"/>
          <w:color w:val="auto"/>
        </w:rPr>
      </w:pPr>
    </w:p>
    <w:p>
      <w:pPr>
        <w:jc w:val="both"/>
        <w:ind w:left="80" w:firstLine="9"/>
        <w:spacing w:after="0"/>
        <w:tabs>
          <w:tab w:leader="none" w:pos="247" w:val="left"/>
        </w:tabs>
        <w:numPr>
          <w:ilvl w:val="0"/>
          <w:numId w:val="16"/>
        </w:numPr>
        <w:rPr>
          <w:rFonts w:ascii="Arial" w:cs="Arial" w:eastAsia="Arial" w:hAnsi="Arial"/>
          <w:sz w:val="19"/>
          <w:szCs w:val="19"/>
          <w:color w:val="auto"/>
          <w:vertAlign w:val="superscript"/>
        </w:rPr>
      </w:pPr>
      <w:r>
        <w:rPr>
          <w:rFonts w:ascii="Arial" w:cs="Arial" w:eastAsia="Arial" w:hAnsi="Arial"/>
          <w:sz w:val="12"/>
          <w:szCs w:val="12"/>
          <w:color w:val="auto"/>
        </w:rPr>
        <w:t>Relates to long-term commodity contracts at Elbow Creek, Mesquite Star, Mt. Storm, Langford and Mesquite Sky. During the six months ended June 30, 2022, the commodity contract for Langford, which previously met the NPNS exception, no longer qualified for NPNS treatment and, accordingly, is accounted for as a derivative and marked to fair value through operating revenues.</w:t>
      </w: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2022 Form 10-K. The Company’s borrowings, including short-term and long-term portions,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June 30, 2023 interest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4"/>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12"/>
                <w:szCs w:val="12"/>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June 30, 2023</w:t>
            </w: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3"/>
              </w:rPr>
              <w:t>Outstanding at June 30,</w:t>
            </w:r>
          </w:p>
        </w:tc>
        <w:tc>
          <w:tcPr>
            <w:tcW w:w="0" w:type="dxa"/>
            <w:vAlign w:val="bottom"/>
          </w:tcPr>
          <w:p>
            <w:pPr>
              <w:spacing w:after="0"/>
              <w:rPr>
                <w:sz w:val="1"/>
                <w:szCs w:val="1"/>
                <w:color w:val="auto"/>
              </w:rPr>
            </w:pPr>
          </w:p>
        </w:tc>
      </w:tr>
      <w:tr>
        <w:trPr>
          <w:trHeight w:val="189"/>
        </w:trPr>
        <w:tc>
          <w:tcPr>
            <w:tcW w:w="52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ind w:right="460"/>
              <w:spacing w:after="0" w:line="189" w:lineRule="exact"/>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21"/>
                <w:szCs w:val="21"/>
                <w:b w:val="1"/>
                <w:bCs w:val="1"/>
                <w:color w:val="auto"/>
                <w:vertAlign w:val="superscript"/>
              </w:rPr>
              <w:t>(a)</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 Senior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4.750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2031 Senior Notes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925</w:t>
            </w:r>
          </w:p>
        </w:tc>
        <w:tc>
          <w:tcPr>
            <w:tcW w:w="1760" w:type="dxa"/>
            <w:vAlign w:val="bottom"/>
            <w:gridSpan w:val="2"/>
          </w:tcPr>
          <w:p>
            <w:pPr>
              <w:jc w:val="center"/>
              <w:ind w:left="1179"/>
              <w:spacing w:after="0"/>
              <w:rPr>
                <w:sz w:val="20"/>
                <w:szCs w:val="20"/>
                <w:color w:val="auto"/>
              </w:rPr>
            </w:pPr>
            <w:r>
              <w:rPr>
                <w:rFonts w:ascii="Arial" w:cs="Arial" w:eastAsia="Arial" w:hAnsi="Arial"/>
                <w:sz w:val="16"/>
                <w:szCs w:val="16"/>
                <w:color w:val="auto"/>
                <w:w w:val="94"/>
              </w:rPr>
              <w:t>3.750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2032 Senior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3.750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240" w:type="dxa"/>
            <w:vAlign w:val="bottom"/>
          </w:tcPr>
          <w:p>
            <w:pPr>
              <w:ind w:left="20"/>
              <w:spacing w:after="0" w:line="166" w:lineRule="exact"/>
              <w:rPr>
                <w:sz w:val="20"/>
                <w:szCs w:val="20"/>
                <w:color w:val="auto"/>
              </w:rPr>
            </w:pPr>
            <w:r>
              <w:rPr>
                <w:rFonts w:ascii="Arial" w:cs="Arial" w:eastAsia="Arial" w:hAnsi="Arial"/>
                <w:sz w:val="16"/>
                <w:szCs w:val="16"/>
                <w:color w:val="auto"/>
                <w:w w:val="95"/>
              </w:rPr>
              <w:t>Clearway Energy LLC and Clearway Energy Operating LLC Revolving Credit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S+1.850</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6"/>
                <w:szCs w:val="16"/>
                <w:color w:val="242424"/>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242424"/>
              </w:rPr>
              <w:t>188</w:t>
            </w:r>
          </w:p>
        </w:tc>
        <w:tc>
          <w:tcPr>
            <w:tcW w:w="0" w:type="dxa"/>
            <w:vAlign w:val="bottom"/>
          </w:tcPr>
          <w:p>
            <w:pPr>
              <w:spacing w:after="0"/>
              <w:rPr>
                <w:sz w:val="1"/>
                <w:szCs w:val="1"/>
                <w:color w:val="auto"/>
              </w:rPr>
            </w:pPr>
          </w:p>
        </w:tc>
      </w:tr>
      <w:tr>
        <w:trPr>
          <w:trHeight w:val="212"/>
        </w:trPr>
        <w:tc>
          <w:tcPr>
            <w:tcW w:w="524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Facility, due 2028 </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Non-recourse project-level debt: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Agua Caliente Solar LLC, due 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2.395-3.633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45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Asset Management LLC, due 2031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L+2.625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5.696-7.015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47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7.000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Borrego, due 2024 and 2038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640" w:type="dxa"/>
            <w:vAlign w:val="bottom"/>
          </w:tcPr>
          <w:p>
            <w:pPr>
              <w:jc w:val="center"/>
              <w:ind w:left="1020"/>
              <w:spacing w:after="0"/>
              <w:rPr>
                <w:sz w:val="20"/>
                <w:szCs w:val="20"/>
                <w:color w:val="auto"/>
              </w:rPr>
            </w:pPr>
            <w:r>
              <w:rPr>
                <w:rFonts w:ascii="Arial" w:cs="Arial" w:eastAsia="Arial" w:hAnsi="Arial"/>
                <w:sz w:val="16"/>
                <w:szCs w:val="16"/>
                <w:color w:val="auto"/>
                <w:w w:val="92"/>
              </w:rPr>
              <w:t>Various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Buckthorn Solar, due 2025</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S+2.100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22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Capistrano Wind Portfolio, due 2029 and 2031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S+2.100-S+2.150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34</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2027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82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Carlsbad Energy Holdings LLC, due 2038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w:t>
            </w:r>
          </w:p>
        </w:tc>
        <w:tc>
          <w:tcPr>
            <w:tcW w:w="1760" w:type="dxa"/>
            <w:vAlign w:val="bottom"/>
            <w:gridSpan w:val="2"/>
          </w:tcPr>
          <w:p>
            <w:pPr>
              <w:jc w:val="center"/>
              <w:ind w:left="1179"/>
              <w:spacing w:after="0"/>
              <w:rPr>
                <w:sz w:val="20"/>
                <w:szCs w:val="20"/>
                <w:color w:val="auto"/>
              </w:rPr>
            </w:pPr>
            <w:r>
              <w:rPr>
                <w:rFonts w:ascii="Arial" w:cs="Arial" w:eastAsia="Arial" w:hAnsi="Arial"/>
                <w:sz w:val="16"/>
                <w:szCs w:val="16"/>
                <w:color w:val="auto"/>
                <w:w w:val="94"/>
              </w:rPr>
              <w:t>4.120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Holdco, LLC, due 2038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4.210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6</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CVSR, due 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2.339-3.775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CVSR Holdco Notes, due 2037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4.680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Daggett 3, due 2023 and 2028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35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DG-CS Master Borrower LLC, due 2040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3.510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30</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Marsh Landing,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Mililani I, due 2027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5</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NIMH Solar, due 2024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S+2.150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16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Oahu Solar Holdings LLC, due 2026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11</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Rosie Class B LLC, due 2029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15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 Solar Holdings, due 2036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760" w:type="dxa"/>
            <w:vAlign w:val="bottom"/>
            <w:gridSpan w:val="2"/>
            <w:shd w:val="clear" w:color="auto" w:fill="CCEEFF"/>
          </w:tcPr>
          <w:p>
            <w:pPr>
              <w:jc w:val="center"/>
              <w:ind w:left="1179"/>
              <w:spacing w:after="0"/>
              <w:rPr>
                <w:sz w:val="20"/>
                <w:szCs w:val="20"/>
                <w:color w:val="auto"/>
              </w:rPr>
            </w:pPr>
            <w:r>
              <w:rPr>
                <w:rFonts w:ascii="Arial" w:cs="Arial" w:eastAsia="Arial" w:hAnsi="Arial"/>
                <w:sz w:val="16"/>
                <w:szCs w:val="16"/>
                <w:color w:val="auto"/>
                <w:w w:val="94"/>
              </w:rPr>
              <w:t>3.590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15</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Viento Funding II, LLC, due 2029</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S+1.475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25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Waiawa, due 2028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S+1.600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Walnut Creek,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WCEP Holdings, LLC, due 2023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40" w:type="dxa"/>
            <w:vAlign w:val="bottom"/>
          </w:tcPr>
          <w:p>
            <w:pPr>
              <w:jc w:val="center"/>
              <w:ind w:left="1020"/>
              <w:spacing w:after="0"/>
              <w:rPr>
                <w:sz w:val="20"/>
                <w:szCs w:val="20"/>
                <w:color w:val="auto"/>
              </w:rPr>
            </w:pPr>
            <w:r>
              <w:rPr>
                <w:rFonts w:ascii="Arial" w:cs="Arial" w:eastAsia="Arial" w:hAnsi="Arial"/>
                <w:sz w:val="16"/>
                <w:szCs w:val="16"/>
                <w:color w:val="auto"/>
                <w:w w:val="92"/>
              </w:rPr>
              <w:t>Various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242424"/>
              </w:rPr>
              <w:t>250</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Subtotal non-recourse project-level debt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7,094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6,870</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Less net debt issuance costs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premiums </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6,708</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6,491</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88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30" w:lineRule="exact"/>
        <w:rPr>
          <w:sz w:val="20"/>
          <w:szCs w:val="20"/>
          <w:color w:val="auto"/>
        </w:rPr>
      </w:pPr>
    </w:p>
    <w:p>
      <w:pPr>
        <w:ind w:left="220" w:hanging="131"/>
        <w:spacing w:after="0"/>
        <w:tabs>
          <w:tab w:leader="none" w:pos="220" w:val="left"/>
        </w:tabs>
        <w:numPr>
          <w:ilvl w:val="0"/>
          <w:numId w:val="17"/>
        </w:numPr>
        <w:rPr>
          <w:rFonts w:ascii="Arial" w:cs="Arial" w:eastAsia="Arial" w:hAnsi="Arial"/>
          <w:sz w:val="16"/>
          <w:szCs w:val="16"/>
          <w:color w:val="auto"/>
          <w:vertAlign w:val="superscript"/>
        </w:rPr>
      </w:pPr>
      <w:r>
        <w:rPr>
          <w:rFonts w:ascii="Arial" w:cs="Arial" w:eastAsia="Arial" w:hAnsi="Arial"/>
          <w:sz w:val="11"/>
          <w:szCs w:val="11"/>
          <w:color w:val="auto"/>
        </w:rPr>
        <w:t>As of June 30, 2023, S+ equals SOFR plus x% and L+ equals 3 month LIBOR plus x%.</w:t>
      </w:r>
    </w:p>
    <w:p>
      <w:pPr>
        <w:spacing w:after="0" w:line="18" w:lineRule="exact"/>
        <w:rPr>
          <w:rFonts w:ascii="Arial" w:cs="Arial" w:eastAsia="Arial" w:hAnsi="Arial"/>
          <w:sz w:val="16"/>
          <w:szCs w:val="16"/>
          <w:color w:val="auto"/>
          <w:vertAlign w:val="superscript"/>
        </w:rPr>
      </w:pPr>
    </w:p>
    <w:p>
      <w:pPr>
        <w:ind w:left="240" w:hanging="151"/>
        <w:spacing w:after="0" w:line="197" w:lineRule="auto"/>
        <w:tabs>
          <w:tab w:leader="none" w:pos="24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Applicable rate is determined by the borrower leverage ratio, as defined in the credit agreement.</w:t>
      </w:r>
    </w:p>
    <w:p>
      <w:pPr>
        <w:spacing w:after="0" w:line="32" w:lineRule="exact"/>
        <w:rPr>
          <w:rFonts w:ascii="Arial" w:cs="Arial" w:eastAsia="Arial" w:hAnsi="Arial"/>
          <w:sz w:val="18"/>
          <w:szCs w:val="18"/>
          <w:color w:val="auto"/>
          <w:vertAlign w:val="superscript"/>
        </w:rPr>
      </w:pPr>
    </w:p>
    <w:p>
      <w:pPr>
        <w:ind w:left="240" w:hanging="151"/>
        <w:spacing w:after="0" w:line="186" w:lineRule="auto"/>
        <w:tabs>
          <w:tab w:leader="none" w:pos="240" w:val="left"/>
        </w:tabs>
        <w:numPr>
          <w:ilvl w:val="0"/>
          <w:numId w:val="17"/>
        </w:numPr>
        <w:rPr>
          <w:rFonts w:ascii="Arial" w:cs="Arial" w:eastAsia="Arial" w:hAnsi="Arial"/>
          <w:sz w:val="19"/>
          <w:szCs w:val="19"/>
          <w:color w:val="auto"/>
          <w:vertAlign w:val="superscript"/>
        </w:rPr>
      </w:pPr>
      <w:r>
        <w:rPr>
          <w:rFonts w:ascii="Arial" w:cs="Arial" w:eastAsia="Arial" w:hAnsi="Arial"/>
          <w:sz w:val="13"/>
          <w:szCs w:val="13"/>
          <w:color w:val="auto"/>
        </w:rPr>
        <w:t>Premiums relate to the 2028 Senior Notes.</w:t>
      </w:r>
    </w:p>
    <w:p>
      <w:pPr>
        <w:spacing w:after="0" w:line="14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2023, the Company was in compliance with all of the required covenants.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right="1980" w:firstLine="405"/>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six months ended June 30, 2023. </w:t>
      </w:r>
      <w:r>
        <w:rPr>
          <w:rFonts w:ascii="Arial" w:cs="Arial" w:eastAsia="Arial" w:hAnsi="Arial"/>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2023, the Company had no outstanding borrowings under the revolving credit facility and $188 million in letters of credit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Rosamond Central (Rosie Class B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30, 2023, Rosie Class B LLC amended its financing agreement to provide for (i) a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 (iv) an increase to the letter of credit sublimit to $41 million and (v) an extension of the maturity date of the term loan and construction loans to five years subsequent to term conversions.</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July 3, 2023, Rosie Class B LLC received total loan proceeds of $138 million, which was comprised of $115 million in construction loans and $28 million in tax equity bridge loans, net of $5 million in debt issuance costs that were deferred. Also on July 3, 2023, Rosie Class B LLC issued a loan to a consolidated subsidiary of Clearway Renew in the aggregate principal amount of $117 million in order to finance the construction of the BESS project. The loan bears interest at 9.00% and matures when the project reaches substantial completion, which is anticipated in the first half of 2024. The Company also contributed $20 million of the loan proceeds into Rosie Central BESS, as further described in Note 4, </w:t>
      </w:r>
      <w:r>
        <w:rPr>
          <w:rFonts w:ascii="Arial" w:cs="Arial" w:eastAsia="Arial" w:hAnsi="Arial"/>
          <w:sz w:val="18"/>
          <w:szCs w:val="18"/>
          <w:i w:val="1"/>
          <w:iCs w:val="1"/>
          <w:color w:val="auto"/>
        </w:rPr>
        <w:t>Investments Accounted for by 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and Variable Interest Entities</w:t>
      </w:r>
      <w:r>
        <w:rPr>
          <w:rFonts w:ascii="Arial" w:cs="Arial" w:eastAsia="Arial" w:hAnsi="Arial"/>
          <w:sz w:val="18"/>
          <w:szCs w:val="18"/>
          <w:color w:val="auto"/>
        </w:rPr>
        <w: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Waiawa</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2023, when the Waiawa solar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on October 3, 2022, the Company borrowed an additional $25 million in construction loans that was converted to a term loan in the amount of $47 million on March 30, 2023 that matures on March 30, 2028.</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Daggett 3</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On February 17, 2023, as part of the acquisition of Daggett 3,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Company assumed the project’s financing agreement, which included a $181 million construction loan that converts to a term loan upon the project reaching substantial completion, $229 million tax equity bridge loan and $75 million sponsor equity bridge loan. The sponsor equity bridge loan was repaid at acquisition date, along with $8 million in associated fees, utilizing all of the proceeds from the Company and cash equity investor, which were contributed back to the Company by CEG. The tax equity bridge loan will be repaid with the final proceeds received from the tax equity investor upon Daggett 3 reaching substantial completion, which is expected to occur in the second half of 2023, along with the $62 million that was contributed into escrow by the tax equity investor at acquisition date. Subsequent to the acquisition, the Company borrowed an additional $36 million in construction loans.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Company’s basic and diluted earnings per share is shown in the following tables: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2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2023</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21"/>
                <w:szCs w:val="21"/>
                <w:b w:val="1"/>
                <w:bCs w:val="1"/>
                <w:color w:val="auto"/>
                <w:vertAlign w:val="superscript"/>
              </w:rPr>
              <w:t>(a)</w:t>
            </w: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Common Class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Common Class</w:t>
            </w:r>
          </w:p>
        </w:tc>
        <w:tc>
          <w:tcPr>
            <w:tcW w:w="12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Common Class</w:t>
            </w:r>
          </w:p>
        </w:tc>
        <w:tc>
          <w:tcPr>
            <w:tcW w:w="10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Common Class</w:t>
            </w:r>
          </w:p>
        </w:tc>
        <w:tc>
          <w:tcPr>
            <w:tcW w:w="0" w:type="dxa"/>
            <w:vAlign w:val="bottom"/>
          </w:tcPr>
          <w:p>
            <w:pPr>
              <w:spacing w:after="0"/>
              <w:rPr>
                <w:sz w:val="1"/>
                <w:szCs w:val="1"/>
                <w:color w:val="auto"/>
              </w:rPr>
            </w:pPr>
          </w:p>
        </w:tc>
      </w:tr>
      <w:tr>
        <w:trPr>
          <w:trHeight w:val="212"/>
        </w:trPr>
        <w:tc>
          <w:tcPr>
            <w:tcW w:w="6720" w:type="dxa"/>
            <w:vAlign w:val="bottom"/>
            <w:tcBorders>
              <w:bottom w:val="single" w:sz="8" w:color="CCEEFF"/>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5"/>
        </w:trPr>
        <w:tc>
          <w:tcPr>
            <w:tcW w:w="67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3"/>
              </w:rPr>
              <w:t>Basic and diluted earnings per share attributable to Clearway Energy, Inc. common</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Clearway Energy, Inc.</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6"/>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weighted average common share — basic and diluted</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20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0" w:firstLine="9"/>
        <w:spacing w:after="0"/>
        <w:tabs>
          <w:tab w:leader="none" w:pos="241" w:val="left"/>
        </w:tabs>
        <w:numPr>
          <w:ilvl w:val="0"/>
          <w:numId w:val="18"/>
        </w:numPr>
        <w:rPr>
          <w:rFonts w:ascii="Arial" w:cs="Arial" w:eastAsia="Arial" w:hAnsi="Arial"/>
          <w:sz w:val="18"/>
          <w:szCs w:val="18"/>
          <w:color w:val="auto"/>
          <w:vertAlign w:val="superscript"/>
        </w:rPr>
      </w:pPr>
      <w:r>
        <w:rPr>
          <w:rFonts w:ascii="Arial" w:cs="Arial" w:eastAsia="Arial" w:hAnsi="Arial"/>
          <w:sz w:val="13"/>
          <w:szCs w:val="13"/>
          <w:color w:val="auto"/>
        </w:rPr>
        <w:t>Net income attributable to Clearway Energy, Inc. and basic and diluted earnings per share might not recalculate due to presenting amounts in millions rather than whole dollars.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-8890</wp:posOffset>
            </wp:positionV>
            <wp:extent cx="7080885"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0885" cy="265430"/>
                    </a:xfrm>
                    <a:prstGeom prst="rect">
                      <a:avLst/>
                    </a:prstGeom>
                    <a:noFill/>
                  </pic:spPr>
                </pic:pic>
              </a:graphicData>
            </a:graphic>
          </wp:anchor>
        </w:drawing>
      </w:r>
    </w:p>
    <w:p>
      <w:pPr>
        <w:ind w:left="260" w:hanging="161"/>
        <w:spacing w:after="0" w:line="233" w:lineRule="auto"/>
        <w:rPr>
          <w:sz w:val="20"/>
          <w:szCs w:val="20"/>
          <w:color w:val="auto"/>
        </w:rPr>
      </w:pPr>
      <w:r>
        <w:rPr>
          <w:rFonts w:ascii="Arial" w:cs="Arial" w:eastAsia="Arial" w:hAnsi="Arial"/>
          <w:sz w:val="18"/>
          <w:szCs w:val="18"/>
          <w:b w:val="1"/>
          <w:bCs w:val="1"/>
          <w:color w:val="auto"/>
        </w:rPr>
        <w:t>Basic and diluted earnings per share attributable to Clearway Energy, Inc. common stockholders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 attributable to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08088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Weighted average number of common shares outstanding — basic and diluted</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Earnings per weighted average common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3804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Borders>
              <w:top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2023</w:t>
            </w:r>
          </w:p>
        </w:tc>
        <w:tc>
          <w:tcPr>
            <w:tcW w:w="2300" w:type="dxa"/>
            <w:vAlign w:val="bottom"/>
            <w:tcBorders>
              <w:top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2022</w:t>
            </w:r>
          </w:p>
        </w:tc>
      </w:tr>
      <w:tr>
        <w:trPr>
          <w:trHeight w:val="135"/>
        </w:trPr>
        <w:tc>
          <w:tcPr>
            <w:tcW w:w="10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Common Class</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Common Class</w:t>
            </w:r>
          </w:p>
        </w:tc>
        <w:tc>
          <w:tcPr>
            <w:tcW w:w="1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Common Class</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Common Class</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200"/>
            <w:col w:w="4500"/>
          </w:cols>
          <w:pgMar w:left="320" w:top="1255" w:right="339" w:bottom="1440" w:gutter="0" w:footer="0" w:header="0"/>
          <w:type w:val="continuous"/>
        </w:sectPr>
      </w:pPr>
    </w:p>
    <w:p>
      <w:pPr>
        <w:spacing w:after="0" w:line="60" w:lineRule="exact"/>
        <w:rPr>
          <w:sz w:val="20"/>
          <w:szCs w:val="20"/>
          <w:color w:val="auto"/>
        </w:rPr>
      </w:pPr>
    </w:p>
    <w:p>
      <w:pPr>
        <w:ind w:left="80" w:right="260" w:firstLine="9"/>
        <w:spacing w:after="0"/>
        <w:tabs>
          <w:tab w:leader="none" w:pos="223"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Net income attributable to Clearway Energy, Inc. and basic and diluted earnings per share might not recalculate due to presenting values in millions rather than whole dollars.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10"/>
          </w:tcPr>
          <w:p>
            <w:pPr>
              <w:ind w:left="300"/>
              <w:spacing w:after="0"/>
              <w:rPr>
                <w:sz w:val="20"/>
                <w:szCs w:val="20"/>
                <w:color w:val="auto"/>
              </w:rPr>
            </w:pPr>
            <w:r>
              <w:rPr>
                <w:rFonts w:ascii="Arial" w:cs="Arial" w:eastAsia="Arial" w:hAnsi="Arial"/>
                <w:sz w:val="14"/>
                <w:szCs w:val="14"/>
                <w:b w:val="1"/>
                <w:bCs w:val="1"/>
                <w:color w:val="auto"/>
              </w:rPr>
              <w:t>Three months ended June 30, 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3"/>
          </w:tcPr>
          <w:p>
            <w:pPr>
              <w:jc w:val="right"/>
              <w:ind w:right="153"/>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1"/>
                <w:szCs w:val="11"/>
                <w:color w:val="auto"/>
              </w:rPr>
            </w:pPr>
          </w:p>
        </w:tc>
        <w:tc>
          <w:tcPr>
            <w:tcW w:w="120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0"/>
              </w:rPr>
              <w:t xml:space="preserve">Corporate </w:t>
            </w:r>
            <w:r>
              <w:rPr>
                <w:rFonts w:ascii="Arial" w:cs="Arial" w:eastAsia="Arial" w:hAnsi="Arial"/>
                <w:sz w:val="21"/>
                <w:szCs w:val="21"/>
                <w:b w:val="1"/>
                <w:bCs w:val="1"/>
                <w:color w:val="auto"/>
                <w:w w:val="90"/>
                <w:vertAlign w:val="superscript"/>
              </w:rPr>
              <w: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88"/>
        </w:trPr>
        <w:tc>
          <w:tcPr>
            <w:tcW w:w="6240" w:type="dxa"/>
            <w:vAlign w:val="bottom"/>
            <w:gridSpan w:val="5"/>
          </w:tcPr>
          <w:p>
            <w:pPr>
              <w:ind w:left="140"/>
              <w:spacing w:after="0" w:line="189" w:lineRule="exact"/>
              <w:rPr>
                <w:sz w:val="20"/>
                <w:szCs w:val="20"/>
                <w:color w:val="auto"/>
              </w:rPr>
            </w:pPr>
            <w:r>
              <w:rPr>
                <w:rFonts w:ascii="Arial" w:cs="Arial" w:eastAsia="Arial" w:hAnsi="Arial"/>
                <w:sz w:val="18"/>
                <w:szCs w:val="18"/>
                <w:color w:val="auto"/>
              </w:rPr>
              <w:t>Cost of operations, exclusive of depreciation, amortization and accretion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0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6"/>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rPr>
                <w:sz w:val="20"/>
                <w:szCs w:val="20"/>
                <w:color w:val="auto"/>
              </w:rPr>
            </w:pPr>
          </w:p>
        </w:tc>
        <w:tc>
          <w:tcPr>
            <w:tcW w:w="1020" w:type="dxa"/>
            <w:vAlign w:val="bottom"/>
            <w:gridSpan w:val="2"/>
          </w:tcPr>
          <w:p>
            <w:pPr>
              <w:jc w:val="right"/>
              <w:ind w:right="43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5080" w:type="dxa"/>
            <w:vAlign w:val="bottom"/>
            <w:gridSpan w:val="2"/>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20" w:type="dxa"/>
            <w:vAlign w:val="bottom"/>
            <w:gridSpan w:val="2"/>
          </w:tcPr>
          <w:p>
            <w:pPr>
              <w:jc w:val="right"/>
              <w:ind w:right="94"/>
              <w:spacing w:after="0" w:line="129" w:lineRule="exact"/>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1"/>
                <w:szCs w:val="11"/>
                <w:color w:val="auto"/>
              </w:rPr>
            </w:pPr>
          </w:p>
        </w:tc>
        <w:tc>
          <w:tcPr>
            <w:tcW w:w="1160" w:type="dxa"/>
            <w:vAlign w:val="bottom"/>
            <w:gridSpan w:val="3"/>
            <w:vMerge w:val="restart"/>
          </w:tcPr>
          <w:p>
            <w:pPr>
              <w:jc w:val="right"/>
              <w:ind w:right="135"/>
              <w:spacing w:after="0"/>
              <w:rPr>
                <w:sz w:val="20"/>
                <w:szCs w:val="20"/>
                <w:color w:val="auto"/>
              </w:rPr>
            </w:pPr>
            <w:r>
              <w:rPr>
                <w:rFonts w:ascii="Arial" w:cs="Arial" w:eastAsia="Arial" w:hAnsi="Arial"/>
                <w:sz w:val="14"/>
                <w:szCs w:val="14"/>
                <w:b w:val="1"/>
                <w:bCs w:val="1"/>
                <w:color w:val="auto"/>
              </w:rPr>
              <w:t>Renewables</w:t>
            </w:r>
          </w:p>
        </w:tc>
        <w:tc>
          <w:tcPr>
            <w:tcW w:w="100" w:type="dxa"/>
            <w:vAlign w:val="bottom"/>
          </w:tcPr>
          <w:p>
            <w:pPr>
              <w:spacing w:after="0"/>
              <w:rPr>
                <w:sz w:val="11"/>
                <w:szCs w:val="11"/>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9"/>
              </w:rPr>
              <w:t>Thermal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 xml:space="preserve">Corporate </w:t>
            </w:r>
            <w:r>
              <w:rPr>
                <w:rFonts w:ascii="Arial" w:cs="Arial" w:eastAsia="Arial" w:hAnsi="Arial"/>
                <w:sz w:val="21"/>
                <w:szCs w:val="21"/>
                <w:b w:val="1"/>
                <w:bCs w:val="1"/>
                <w:color w:val="auto"/>
                <w:w w:val="90"/>
                <w:vertAlign w:val="superscript"/>
              </w:rPr>
              <w: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99"/>
              </w:rPr>
              <w:t>Cost of operations, exclusive of depreciation, amortization and</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0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0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8"/>
          </w:tcPr>
          <w:p>
            <w:pPr>
              <w:jc w:val="right"/>
              <w:spacing w:after="0"/>
              <w:rPr>
                <w:sz w:val="20"/>
                <w:szCs w:val="20"/>
                <w:color w:val="auto"/>
              </w:rPr>
            </w:pPr>
            <w:r>
              <w:rPr>
                <w:rFonts w:ascii="Arial" w:cs="Arial" w:eastAsia="Arial" w:hAnsi="Arial"/>
                <w:sz w:val="14"/>
                <w:szCs w:val="14"/>
                <w:b w:val="1"/>
                <w:bCs w:val="1"/>
                <w:color w:val="auto"/>
              </w:rPr>
              <w:t>Six months ended June 30, 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3"/>
          </w:tcPr>
          <w:p>
            <w:pPr>
              <w:jc w:val="right"/>
              <w:ind w:right="175"/>
              <w:spacing w:after="0" w:line="129" w:lineRule="exact"/>
              <w:rPr>
                <w:sz w:val="20"/>
                <w:szCs w:val="20"/>
                <w:color w:val="auto"/>
              </w:rPr>
            </w:pPr>
            <w:r>
              <w:rPr>
                <w:rFonts w:ascii="Arial" w:cs="Arial" w:eastAsia="Arial" w:hAnsi="Arial"/>
                <w:sz w:val="14"/>
                <w:szCs w:val="14"/>
                <w:b w:val="1"/>
                <w:bCs w:val="1"/>
                <w:color w:val="auto"/>
              </w:rPr>
              <w:t>Conventional</w:t>
            </w:r>
          </w:p>
        </w:tc>
        <w:tc>
          <w:tcPr>
            <w:tcW w:w="120" w:type="dxa"/>
            <w:vAlign w:val="bottom"/>
          </w:tcPr>
          <w:p>
            <w:pPr>
              <w:spacing w:after="0"/>
              <w:rPr>
                <w:sz w:val="11"/>
                <w:szCs w:val="11"/>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Renewables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88"/>
              </w:rPr>
              <w:t xml:space="preserve">Corporate </w:t>
            </w:r>
            <w:r>
              <w:rPr>
                <w:rFonts w:ascii="Arial" w:cs="Arial" w:eastAsia="Arial" w:hAnsi="Arial"/>
                <w:sz w:val="21"/>
                <w:szCs w:val="21"/>
                <w:b w:val="1"/>
                <w:bCs w:val="1"/>
                <w:color w:val="auto"/>
                <w:w w:val="88"/>
                <w:vertAlign w:val="superscript"/>
              </w:rPr>
              <w: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ind w:right="4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188"/>
        </w:trPr>
        <w:tc>
          <w:tcPr>
            <w:tcW w:w="6240" w:type="dxa"/>
            <w:vAlign w:val="bottom"/>
            <w:gridSpan w:val="5"/>
          </w:tcPr>
          <w:p>
            <w:pPr>
              <w:ind w:left="140"/>
              <w:spacing w:after="0" w:line="189" w:lineRule="exact"/>
              <w:rPr>
                <w:sz w:val="20"/>
                <w:szCs w:val="20"/>
                <w:color w:val="auto"/>
              </w:rPr>
            </w:pPr>
            <w:r>
              <w:rPr>
                <w:rFonts w:ascii="Arial" w:cs="Arial" w:eastAsia="Arial" w:hAnsi="Arial"/>
                <w:sz w:val="18"/>
                <w:szCs w:val="18"/>
                <w:color w:val="auto"/>
              </w:rPr>
              <w:t>Cost of operations, exclusive of depreciation, amortization and accretion</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300"/>
              <w:spacing w:after="0"/>
              <w:rPr>
                <w:sz w:val="20"/>
                <w:szCs w:val="20"/>
                <w:color w:val="auto"/>
              </w:rPr>
            </w:pPr>
            <w:r>
              <w:rPr>
                <w:rFonts w:ascii="Arial" w:cs="Arial" w:eastAsia="Arial" w:hAnsi="Arial"/>
                <w:sz w:val="18"/>
                <w:szCs w:val="18"/>
                <w:color w:val="auto"/>
              </w:rPr>
              <w:t>shown separately below</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7"/>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(losses) of unconsolidated affiliates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spacing w:after="0"/>
              <w:rPr>
                <w:sz w:val="20"/>
                <w:szCs w:val="20"/>
                <w:color w:val="auto"/>
              </w:rPr>
            </w:pPr>
          </w:p>
        </w:tc>
        <w:tc>
          <w:tcPr>
            <w:tcW w:w="1040" w:type="dxa"/>
            <w:vAlign w:val="bottom"/>
            <w:gridSpan w:val="2"/>
          </w:tcPr>
          <w:p>
            <w:pPr>
              <w:jc w:val="center"/>
              <w:ind w:right="3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60" w:type="dxa"/>
            <w:vAlign w:val="bottom"/>
            <w:gridSpan w:val="2"/>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20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5060" w:type="dxa"/>
            <w:vAlign w:val="bottom"/>
            <w:gridSpan w:val="2"/>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8"/>
          </w:tcPr>
          <w:p>
            <w:pPr>
              <w:jc w:val="right"/>
              <w:ind w:right="248"/>
              <w:spacing w:after="0"/>
              <w:rPr>
                <w:sz w:val="20"/>
                <w:szCs w:val="20"/>
                <w:color w:val="auto"/>
              </w:rPr>
            </w:pPr>
            <w:r>
              <w:rPr>
                <w:rFonts w:ascii="Arial" w:cs="Arial" w:eastAsia="Arial" w:hAnsi="Arial"/>
                <w:sz w:val="14"/>
                <w:szCs w:val="14"/>
                <w:b w:val="1"/>
                <w:bCs w:val="1"/>
                <w:color w:val="auto"/>
                <w:w w:val="94"/>
              </w:rPr>
              <w:t>Six months ended June 30, 2022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40" w:type="dxa"/>
            <w:vAlign w:val="bottom"/>
            <w:gridSpan w:val="2"/>
          </w:tcPr>
          <w:p>
            <w:pPr>
              <w:jc w:val="center"/>
              <w:ind w:right="54"/>
              <w:spacing w:after="0" w:line="129" w:lineRule="exact"/>
              <w:rPr>
                <w:sz w:val="20"/>
                <w:szCs w:val="20"/>
                <w:color w:val="auto"/>
              </w:rPr>
            </w:pPr>
            <w:r>
              <w:rPr>
                <w:rFonts w:ascii="Arial" w:cs="Arial" w:eastAsia="Arial" w:hAnsi="Arial"/>
                <w:sz w:val="14"/>
                <w:szCs w:val="14"/>
                <w:b w:val="1"/>
                <w:bCs w:val="1"/>
                <w:color w:val="auto"/>
                <w:w w:val="92"/>
              </w:rPr>
              <w:t>Conventional</w:t>
            </w:r>
          </w:p>
        </w:tc>
        <w:tc>
          <w:tcPr>
            <w:tcW w:w="100" w:type="dxa"/>
            <w:vAlign w:val="bottom"/>
          </w:tcPr>
          <w:p>
            <w:pPr>
              <w:spacing w:after="0"/>
              <w:rPr>
                <w:sz w:val="11"/>
                <w:szCs w:val="11"/>
                <w:color w:val="auto"/>
              </w:rPr>
            </w:pPr>
          </w:p>
        </w:tc>
        <w:tc>
          <w:tcPr>
            <w:tcW w:w="1160" w:type="dxa"/>
            <w:vAlign w:val="bottom"/>
            <w:gridSpan w:val="3"/>
            <w:vMerge w:val="restart"/>
          </w:tcPr>
          <w:p>
            <w:pPr>
              <w:jc w:val="right"/>
              <w:ind w:right="136"/>
              <w:spacing w:after="0"/>
              <w:rPr>
                <w:sz w:val="20"/>
                <w:szCs w:val="20"/>
                <w:color w:val="auto"/>
              </w:rPr>
            </w:pPr>
            <w:r>
              <w:rPr>
                <w:rFonts w:ascii="Arial" w:cs="Arial" w:eastAsia="Arial" w:hAnsi="Arial"/>
                <w:sz w:val="14"/>
                <w:szCs w:val="14"/>
                <w:b w:val="1"/>
                <w:bCs w:val="1"/>
                <w:color w:val="auto"/>
              </w:rPr>
              <w:t>Renewables</w:t>
            </w:r>
          </w:p>
        </w:tc>
        <w:tc>
          <w:tcPr>
            <w:tcW w:w="100" w:type="dxa"/>
            <w:vAlign w:val="bottom"/>
          </w:tcPr>
          <w:p>
            <w:pPr>
              <w:spacing w:after="0"/>
              <w:rPr>
                <w:sz w:val="11"/>
                <w:szCs w:val="11"/>
                <w:color w:val="auto"/>
              </w:rPr>
            </w:pPr>
          </w:p>
        </w:tc>
        <w:tc>
          <w:tcPr>
            <w:tcW w:w="8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99"/>
              </w:rPr>
              <w:t>Thermal</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21"/>
                <w:szCs w:val="21"/>
                <w:b w:val="1"/>
                <w:bCs w:val="1"/>
                <w:color w:val="auto"/>
                <w:vertAlign w:val="superscript"/>
              </w:rPr>
              <w: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4"/>
                <w:szCs w:val="14"/>
                <w:b w:val="1"/>
                <w:bCs w:val="1"/>
                <w:color w:val="auto"/>
                <w:w w:val="94"/>
              </w:rPr>
              <w:t>Generation</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70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900" w:type="dxa"/>
            <w:vAlign w:val="bottom"/>
            <w:gridSpan w:val="2"/>
            <w:shd w:val="clear" w:color="auto" w:fill="CCEEFF"/>
          </w:tcPr>
          <w:p>
            <w:pPr>
              <w:jc w:val="right"/>
              <w:ind w:right="59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w:t>
            </w: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88"/>
        </w:trPr>
        <w:tc>
          <w:tcPr>
            <w:tcW w:w="506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98"/>
              </w:rPr>
              <w:t>Cost of operations, exclusive of depreciation, amortization and</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300"/>
              <w:spacing w:after="0"/>
              <w:rPr>
                <w:sz w:val="20"/>
                <w:szCs w:val="20"/>
                <w:color w:val="auto"/>
              </w:rPr>
            </w:pPr>
            <w:r>
              <w:rPr>
                <w:rFonts w:ascii="Arial" w:cs="Arial" w:eastAsia="Arial" w:hAnsi="Arial"/>
                <w:sz w:val="18"/>
                <w:szCs w:val="18"/>
                <w:color w:val="auto"/>
              </w:rPr>
              <w:t>accretion shown separately below</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Development costs</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7"/>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700" w:type="dxa"/>
            <w:vAlign w:val="bottom"/>
            <w:gridSpan w:val="2"/>
          </w:tcPr>
          <w:p>
            <w:pPr>
              <w:jc w:val="right"/>
              <w:ind w:right="39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9"/>
              </w:rPr>
              <w:t>17</w:t>
            </w:r>
          </w:p>
        </w:tc>
        <w:tc>
          <w:tcPr>
            <w:tcW w:w="68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6"/>
          <w:szCs w:val="16"/>
          <w:color w:val="auto"/>
        </w:rPr>
        <w:t xml:space="preserve"> Includes eliminations.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3380" w:type="dxa"/>
            <w:vAlign w:val="bottom"/>
            <w:gridSpan w:val="5"/>
          </w:tcPr>
          <w:p>
            <w:pPr>
              <w:jc w:val="right"/>
              <w:ind w:right="697"/>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43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189"/>
        </w:trPr>
        <w:tc>
          <w:tcPr>
            <w:tcW w:w="4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1,374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1,276</w:t>
            </w:r>
          </w:p>
        </w:tc>
      </w:tr>
      <w:tr>
        <w:trPr>
          <w:trHeight w:val="24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224</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r>
    </w:tbl>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six months ended June 30,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six months ended June 30,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95" w:lineRule="auto"/>
        <w:tabs>
          <w:tab w:leader="none" w:pos="1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Maintenance LLC, or RENOM, a wholly-owned subsidiary of CEG, which provides operation and maintenance, or O&amp;M, services to these subsidiaries. The Company incurred total expenses for these services of $19 million and $15 million for the three months ended June 30, 2023 and 2022, respectively. The Company incurred total expenses for these services of $36 million and $30 million for the six months ended June 30, 2023 and 2022, respectively. There was a balance of $11 million and $14 million due to RENOM as of June 30, 2023 and December 31,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$6 million and $5 million for the three months ended June 30, 2023, and 2022, respectively. The Company incurred expenses under these agreements of $10 million and $8 million for the six months ended June 30, 2023 and 2022, respectively. There was a balance of $2 million and $3 million due to CEG as of June 30, 2023 and December 31, 2022,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color w:val="auto"/>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$2 million and $1 million for each of the three months ended June 30, 2023, and 2022, respectively. The Company incurred net expenses under these agreements of $3 million and $2 million for the six months ended June 30, 2023 and 2022, respectively.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2022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such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In response to motions for partial summary judgment filed by each party, the court denied Georgetown’s motion in its entirety, granted Buckthorn Westex’s motion with respect to the fraud by nondisclosure claim and denied Buckthorn Westex’s motion with respect to the breach of contract claim. The case is scheduled to proceed to trial in October 2023. Buckthorn Westex believes the allegations of Georgetown are meritless, and Buckthorn Westex is vigorously defending its rights under the PPA.</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six months ended June 30, 2023 and 2022. Also refer to the Company’s 2022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77" w:lineRule="auto"/>
        <w:tabs>
          <w:tab w:leader="none" w:pos="1304"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980" w:right="80"/>
        <w:spacing w:after="0" w:line="277"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auto"/>
        </w:rPr>
      </w:pPr>
    </w:p>
    <w:p>
      <w:pPr>
        <w:ind w:left="980" w:right="80"/>
        <w:spacing w:after="0" w:line="277" w:lineRule="auto"/>
        <w:tabs>
          <w:tab w:leader="none" w:pos="1304"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231F20"/>
        </w:rPr>
      </w:pPr>
    </w:p>
    <w:p>
      <w:pPr>
        <w:ind w:left="980" w:right="80"/>
        <w:spacing w:after="0" w:line="277"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Arial" w:cs="Arial" w:eastAsia="Arial" w:hAnsi="Arial"/>
          <w:sz w:val="18"/>
          <w:szCs w:val="18"/>
          <w:color w:val="231F20"/>
        </w:rPr>
        <w:t>The majority</w:t>
      </w:r>
      <w:r>
        <w:rPr>
          <w:rFonts w:ascii="Arial" w:cs="Arial" w:eastAsia="Arial" w:hAnsi="Arial"/>
          <w:sz w:val="18"/>
          <w:szCs w:val="18"/>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Arial" w:cs="Arial" w:eastAsia="Arial" w:hAnsi="Arial"/>
          <w:sz w:val="18"/>
          <w:szCs w:val="18"/>
          <w:color w:val="231F20"/>
        </w:rPr>
        <w:t>as of</w:t>
      </w:r>
      <w:r>
        <w:rPr>
          <w:rFonts w:ascii="Arial" w:cs="Arial" w:eastAsia="Arial" w:hAnsi="Arial"/>
          <w:sz w:val="18"/>
          <w:szCs w:val="18"/>
          <w:color w:val="auto"/>
        </w:rPr>
        <w:t xml:space="preserve"> June 30, 2023 </w:t>
      </w:r>
      <w:r>
        <w:rPr>
          <w:rFonts w:ascii="Arial" w:cs="Arial" w:eastAsia="Arial" w:hAnsi="Arial"/>
          <w:sz w:val="18"/>
          <w:szCs w:val="18"/>
          <w:color w:val="231F20"/>
        </w:rPr>
        <w:t>based on</w:t>
      </w:r>
      <w:r>
        <w:rPr>
          <w:rFonts w:ascii="Arial" w:cs="Arial" w:eastAsia="Arial" w:hAnsi="Arial"/>
          <w:sz w:val="18"/>
          <w:szCs w:val="18"/>
          <w:color w:val="auto"/>
        </w:rPr>
        <w:t xml:space="preserve"> </w:t>
      </w:r>
      <w:r>
        <w:rPr>
          <w:rFonts w:ascii="Arial" w:cs="Arial" w:eastAsia="Arial" w:hAnsi="Arial"/>
          <w:sz w:val="18"/>
          <w:szCs w:val="18"/>
          <w:color w:val="231F20"/>
        </w:rPr>
        <w:t>CAFD.</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2023, the Company’s operating assets are comprised of the following projects:</w:t>
      </w:r>
    </w:p>
    <w:p>
      <w:pPr>
        <w:spacing w:after="0" w:line="7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1880" w:type="dxa"/>
            <w:vAlign w:val="bottom"/>
          </w:tcPr>
          <w:p>
            <w:pPr>
              <w:ind w:left="96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88"/>
              <w:spacing w:after="0"/>
              <w:rPr>
                <w:sz w:val="20"/>
                <w:szCs w:val="20"/>
                <w:color w:val="auto"/>
              </w:rPr>
            </w:pPr>
            <w:r>
              <w:rPr>
                <w:rFonts w:ascii="Arial" w:cs="Arial" w:eastAsia="Arial" w:hAnsi="Arial"/>
                <w:sz w:val="14"/>
                <w:szCs w:val="14"/>
                <w:b w:val="1"/>
                <w:bCs w:val="1"/>
                <w:color w:val="auto"/>
                <w:w w:val="94"/>
              </w:rPr>
              <w:t>Net Capacity</w:t>
            </w:r>
          </w:p>
        </w:tc>
        <w:tc>
          <w:tcPr>
            <w:tcW w:w="26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1440" w:type="dxa"/>
            <w:vAlign w:val="bottom"/>
            <w:vMerge w:val="continue"/>
          </w:tcPr>
          <w:p>
            <w:pPr>
              <w:spacing w:after="0"/>
              <w:rPr>
                <w:sz w:val="20"/>
                <w:szCs w:val="20"/>
                <w:color w:val="auto"/>
              </w:rPr>
            </w:pPr>
          </w:p>
        </w:tc>
        <w:tc>
          <w:tcPr>
            <w:tcW w:w="1880" w:type="dxa"/>
            <w:vAlign w:val="bottom"/>
          </w:tcPr>
          <w:p>
            <w:pPr>
              <w:ind w:left="96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Arial" w:cs="Arial" w:eastAsia="Arial" w:hAnsi="Arial"/>
                <w:sz w:val="14"/>
                <w:szCs w:val="14"/>
                <w:b w:val="1"/>
                <w:bCs w:val="1"/>
                <w:color w:val="auto"/>
                <w:w w:val="94"/>
              </w:rPr>
              <w:t xml:space="preserve">(MW) </w:t>
            </w:r>
            <w:r>
              <w:rPr>
                <w:rFonts w:ascii="Arial" w:cs="Arial" w:eastAsia="Arial" w:hAnsi="Arial"/>
                <w:sz w:val="21"/>
                <w:szCs w:val="21"/>
                <w:b w:val="1"/>
                <w:bCs w:val="1"/>
                <w:color w:val="auto"/>
                <w:w w:val="94"/>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Conventional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Carlsbad</w:t>
            </w:r>
          </w:p>
        </w:tc>
        <w:tc>
          <w:tcPr>
            <w:tcW w:w="23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Diego Gas &amp; Electric</w:t>
            </w:r>
          </w:p>
        </w:tc>
        <w:tc>
          <w:tcPr>
            <w:tcW w:w="218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89"/>
              </w:rPr>
              <w:t>2038</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El Segundo</w:t>
            </w:r>
          </w:p>
        </w:tc>
        <w:tc>
          <w:tcPr>
            <w:tcW w:w="2380" w:type="dxa"/>
            <w:vAlign w:val="bottom"/>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2980" w:type="dxa"/>
            <w:vAlign w:val="bottom"/>
          </w:tcPr>
          <w:p>
            <w:pPr>
              <w:ind w:left="100"/>
              <w:spacing w:after="0"/>
              <w:rPr>
                <w:sz w:val="20"/>
                <w:szCs w:val="20"/>
                <w:color w:val="auto"/>
              </w:rPr>
            </w:pPr>
            <w:r>
              <w:rPr>
                <w:rFonts w:ascii="Arial" w:cs="Arial" w:eastAsia="Arial" w:hAnsi="Arial"/>
                <w:sz w:val="14"/>
                <w:szCs w:val="14"/>
                <w:color w:val="auto"/>
              </w:rPr>
              <w:t>SCE</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3"/>
              </w:rPr>
              <w:t>2023 - 2026</w:t>
            </w:r>
          </w:p>
        </w:tc>
      </w:tr>
      <w:tr>
        <w:trPr>
          <w:trHeight w:val="20"/>
        </w:trPr>
        <w:tc>
          <w:tcPr>
            <w:tcW w:w="2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GenConn Devon</w:t>
            </w:r>
          </w:p>
        </w:tc>
        <w:tc>
          <w:tcPr>
            <w:tcW w:w="23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50 %</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29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Connecticut Light &amp; Power</w:t>
            </w:r>
          </w:p>
        </w:tc>
        <w:tc>
          <w:tcPr>
            <w:tcW w:w="218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89"/>
              </w:rPr>
              <w:t>2040</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GenConn Middletown</w:t>
            </w:r>
          </w:p>
        </w:tc>
        <w:tc>
          <w:tcPr>
            <w:tcW w:w="2380" w:type="dxa"/>
            <w:vAlign w:val="bottom"/>
          </w:tcPr>
          <w:p>
            <w:pPr>
              <w:jc w:val="right"/>
              <w:ind w:right="388"/>
              <w:spacing w:after="0"/>
              <w:rPr>
                <w:sz w:val="20"/>
                <w:szCs w:val="20"/>
                <w:color w:val="auto"/>
              </w:rPr>
            </w:pPr>
            <w:r>
              <w:rPr>
                <w:rFonts w:ascii="Arial" w:cs="Arial" w:eastAsia="Arial" w:hAnsi="Arial"/>
                <w:sz w:val="14"/>
                <w:szCs w:val="14"/>
                <w:color w:val="auto"/>
              </w:rPr>
              <w:t>50 %</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2980" w:type="dxa"/>
            <w:vAlign w:val="bottom"/>
          </w:tcPr>
          <w:p>
            <w:pPr>
              <w:ind w:left="100"/>
              <w:spacing w:after="0"/>
              <w:rPr>
                <w:sz w:val="20"/>
                <w:szCs w:val="20"/>
                <w:color w:val="auto"/>
              </w:rPr>
            </w:pPr>
            <w:r>
              <w:rPr>
                <w:rFonts w:ascii="Arial" w:cs="Arial" w:eastAsia="Arial" w:hAnsi="Arial"/>
                <w:sz w:val="14"/>
                <w:szCs w:val="14"/>
                <w:color w:val="auto"/>
              </w:rPr>
              <w:t>Connecticut Light &amp; Power</w:t>
            </w:r>
          </w:p>
        </w:tc>
        <w:tc>
          <w:tcPr>
            <w:tcW w:w="2180" w:type="dxa"/>
            <w:vAlign w:val="bottom"/>
          </w:tcPr>
          <w:p>
            <w:pPr>
              <w:jc w:val="center"/>
              <w:ind w:left="1028"/>
              <w:spacing w:after="0"/>
              <w:rPr>
                <w:sz w:val="20"/>
                <w:szCs w:val="20"/>
                <w:color w:val="auto"/>
              </w:rPr>
            </w:pPr>
            <w:r>
              <w:rPr>
                <w:rFonts w:ascii="Arial" w:cs="Arial" w:eastAsia="Arial" w:hAnsi="Arial"/>
                <w:sz w:val="14"/>
                <w:szCs w:val="14"/>
                <w:color w:val="auto"/>
                <w:w w:val="89"/>
              </w:rPr>
              <w:t>2041</w:t>
            </w:r>
          </w:p>
        </w:tc>
      </w:tr>
      <w:tr>
        <w:trPr>
          <w:trHeight w:val="20"/>
        </w:trPr>
        <w:tc>
          <w:tcPr>
            <w:tcW w:w="2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3"/>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Marsh Landing</w:t>
            </w:r>
          </w:p>
        </w:tc>
        <w:tc>
          <w:tcPr>
            <w:tcW w:w="238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Various</w:t>
            </w:r>
          </w:p>
        </w:tc>
        <w:tc>
          <w:tcPr>
            <w:tcW w:w="2180" w:type="dxa"/>
            <w:vAlign w:val="bottom"/>
            <w:tcBorders>
              <w:bottom w:val="single" w:sz="8" w:color="CCEEFF"/>
            </w:tcBorders>
            <w:shd w:val="clear" w:color="auto" w:fill="CCEEFF"/>
          </w:tcPr>
          <w:p>
            <w:pPr>
              <w:jc w:val="center"/>
              <w:ind w:left="1048"/>
              <w:spacing w:after="0"/>
              <w:rPr>
                <w:sz w:val="20"/>
                <w:szCs w:val="20"/>
                <w:color w:val="auto"/>
              </w:rPr>
            </w:pPr>
            <w:r>
              <w:rPr>
                <w:rFonts w:ascii="Arial" w:cs="Arial" w:eastAsia="Arial" w:hAnsi="Arial"/>
                <w:sz w:val="14"/>
                <w:szCs w:val="14"/>
                <w:color w:val="auto"/>
                <w:w w:val="93"/>
              </w:rPr>
              <w:t>2023 - 2030</w:t>
            </w:r>
          </w:p>
        </w:tc>
      </w:tr>
      <w:tr>
        <w:trPr>
          <w:trHeight w:val="182"/>
        </w:trPr>
        <w:tc>
          <w:tcPr>
            <w:tcW w:w="2940" w:type="dxa"/>
            <w:vAlign w:val="bottom"/>
          </w:tcPr>
          <w:p>
            <w:pPr>
              <w:ind w:left="120"/>
              <w:spacing w:after="0"/>
              <w:rPr>
                <w:sz w:val="20"/>
                <w:szCs w:val="20"/>
                <w:color w:val="auto"/>
              </w:rPr>
            </w:pPr>
            <w:r>
              <w:rPr>
                <w:rFonts w:ascii="Arial" w:cs="Arial" w:eastAsia="Arial" w:hAnsi="Arial"/>
                <w:sz w:val="14"/>
                <w:szCs w:val="14"/>
                <w:color w:val="auto"/>
              </w:rPr>
              <w:t>Walnut Creek</w:t>
            </w:r>
          </w:p>
        </w:tc>
        <w:tc>
          <w:tcPr>
            <w:tcW w:w="2380" w:type="dxa"/>
            <w:vAlign w:val="bottom"/>
          </w:tcPr>
          <w:p>
            <w:pPr>
              <w:jc w:val="right"/>
              <w:ind w:right="388"/>
              <w:spacing w:after="0"/>
              <w:rPr>
                <w:sz w:val="20"/>
                <w:szCs w:val="20"/>
                <w:color w:val="auto"/>
              </w:rPr>
            </w:pPr>
            <w:r>
              <w:rPr>
                <w:rFonts w:ascii="Arial" w:cs="Arial" w:eastAsia="Arial" w:hAnsi="Arial"/>
                <w:sz w:val="14"/>
                <w:szCs w:val="14"/>
                <w:color w:val="auto"/>
              </w:rPr>
              <w:t>100 %</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2980" w:type="dxa"/>
            <w:vAlign w:val="bottom"/>
          </w:tcPr>
          <w:p>
            <w:pPr>
              <w:ind w:left="100"/>
              <w:spacing w:after="0"/>
              <w:rPr>
                <w:sz w:val="20"/>
                <w:szCs w:val="20"/>
                <w:color w:val="auto"/>
              </w:rPr>
            </w:pPr>
            <w:r>
              <w:rPr>
                <w:rFonts w:ascii="Arial" w:cs="Arial" w:eastAsia="Arial" w:hAnsi="Arial"/>
                <w:sz w:val="14"/>
                <w:szCs w:val="14"/>
                <w:color w:val="auto"/>
              </w:rPr>
              <w:t>SCE</w:t>
            </w:r>
          </w:p>
        </w:tc>
        <w:tc>
          <w:tcPr>
            <w:tcW w:w="2180" w:type="dxa"/>
            <w:vAlign w:val="bottom"/>
          </w:tcPr>
          <w:p>
            <w:pPr>
              <w:jc w:val="center"/>
              <w:ind w:left="1048"/>
              <w:spacing w:after="0"/>
              <w:rPr>
                <w:sz w:val="20"/>
                <w:szCs w:val="20"/>
                <w:color w:val="auto"/>
              </w:rPr>
            </w:pPr>
            <w:r>
              <w:rPr>
                <w:rFonts w:ascii="Arial" w:cs="Arial" w:eastAsia="Arial" w:hAnsi="Arial"/>
                <w:sz w:val="14"/>
                <w:szCs w:val="14"/>
                <w:color w:val="auto"/>
                <w:w w:val="93"/>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ind w:left="460"/>
              <w:spacing w:after="0"/>
              <w:rPr>
                <w:sz w:val="20"/>
                <w:szCs w:val="20"/>
                <w:color w:val="auto"/>
              </w:rPr>
            </w:pPr>
            <w:r>
              <w:rPr>
                <w:rFonts w:ascii="Arial" w:cs="Arial" w:eastAsia="Arial" w:hAnsi="Arial"/>
                <w:sz w:val="16"/>
                <w:szCs w:val="16"/>
                <w:b w:val="1"/>
                <w:bCs w:val="1"/>
                <w:i w:val="1"/>
                <w:iCs w:val="1"/>
                <w:color w:val="auto"/>
              </w:rPr>
              <w:t>Total Conventional</w:t>
            </w:r>
          </w:p>
        </w:tc>
        <w:tc>
          <w:tcPr>
            <w:tcW w:w="16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2,472</w:t>
            </w:r>
          </w:p>
        </w:tc>
        <w:tc>
          <w:tcPr>
            <w:tcW w:w="3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192"/>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Agua Caliente</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2039</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Alpine</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302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2033</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Avenal</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2031</w:t>
            </w: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Avra Valley</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3020" w:type="dxa"/>
            <w:vAlign w:val="bottom"/>
          </w:tcPr>
          <w:p>
            <w:pPr>
              <w:ind w:left="120"/>
              <w:spacing w:after="0"/>
              <w:rPr>
                <w:sz w:val="20"/>
                <w:szCs w:val="20"/>
                <w:color w:val="auto"/>
              </w:rPr>
            </w:pPr>
            <w:r>
              <w:rPr>
                <w:rFonts w:ascii="Arial" w:cs="Arial" w:eastAsia="Arial" w:hAnsi="Arial"/>
                <w:sz w:val="14"/>
                <w:szCs w:val="14"/>
                <w:color w:val="auto"/>
              </w:rPr>
              <w:t>Tucson Electric Power</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2032</w:t>
            </w:r>
          </w:p>
        </w:tc>
      </w:tr>
      <w:tr>
        <w:trPr>
          <w:trHeight w:val="186"/>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Blythe</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2029</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Borrego</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3020" w:type="dxa"/>
            <w:vAlign w:val="bottom"/>
          </w:tcPr>
          <w:p>
            <w:pPr>
              <w:ind w:left="120"/>
              <w:spacing w:after="0"/>
              <w:rPr>
                <w:sz w:val="20"/>
                <w:szCs w:val="20"/>
                <w:color w:val="auto"/>
              </w:rPr>
            </w:pPr>
            <w:r>
              <w:rPr>
                <w:rFonts w:ascii="Arial" w:cs="Arial" w:eastAsia="Arial" w:hAnsi="Arial"/>
                <w:sz w:val="14"/>
                <w:szCs w:val="14"/>
                <w:color w:val="auto"/>
              </w:rPr>
              <w:t>San Diego Gas and Electric</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2038</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120"/>
              <w:spacing w:after="0" w:line="216"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City of Georgetown, TX</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2043</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CVSR</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302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2038</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Desert Sunlight 250</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2034</w:t>
            </w: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Desert Sunlight 300</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25 %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3020" w:type="dxa"/>
            <w:vAlign w:val="bottom"/>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2039</w:t>
            </w:r>
          </w:p>
        </w:tc>
      </w:tr>
      <w:tr>
        <w:trPr>
          <w:trHeight w:val="186"/>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Kansas South</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PG&amp;E</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2033</w:t>
            </w:r>
          </w:p>
        </w:tc>
      </w:tr>
      <w:tr>
        <w:trPr>
          <w:trHeight w:val="203"/>
        </w:trPr>
        <w:tc>
          <w:tcPr>
            <w:tcW w:w="3340" w:type="dxa"/>
            <w:vAlign w:val="bottom"/>
          </w:tcPr>
          <w:p>
            <w:pPr>
              <w:ind w:left="120"/>
              <w:spacing w:after="0" w:line="203" w:lineRule="exact"/>
              <w:rPr>
                <w:sz w:val="20"/>
                <w:szCs w:val="20"/>
                <w:color w:val="auto"/>
              </w:rPr>
            </w:pPr>
            <w:r>
              <w:rPr>
                <w:rFonts w:ascii="Arial" w:cs="Arial" w:eastAsia="Arial" w:hAnsi="Arial"/>
                <w:sz w:val="14"/>
                <w:szCs w:val="14"/>
                <w:color w:val="auto"/>
              </w:rPr>
              <w:t xml:space="preserve">Mililani I </w:t>
            </w:r>
            <w:r>
              <w:rPr>
                <w:rFonts w:ascii="Arial" w:cs="Arial" w:eastAsia="Arial" w:hAnsi="Arial"/>
                <w:sz w:val="21"/>
                <w:szCs w:val="21"/>
                <w:color w:val="auto"/>
                <w:vertAlign w:val="superscript"/>
              </w:rPr>
              <w:t>(b) (c)</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2042</w:t>
            </w:r>
          </w:p>
        </w:tc>
      </w:tr>
      <w:tr>
        <w:trPr>
          <w:trHeight w:val="216"/>
        </w:trPr>
        <w:tc>
          <w:tcPr>
            <w:tcW w:w="3340" w:type="dxa"/>
            <w:vAlign w:val="bottom"/>
            <w:shd w:val="clear" w:color="auto" w:fill="CCEEFF"/>
          </w:tcPr>
          <w:p>
            <w:pPr>
              <w:ind w:left="120"/>
              <w:spacing w:after="0" w:line="216"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shd w:val="clear" w:color="auto" w:fill="CCEEFF"/>
          </w:tcPr>
          <w:p>
            <w:pPr>
              <w:jc w:val="center"/>
              <w:ind w:left="1008"/>
              <w:spacing w:after="0"/>
              <w:rPr>
                <w:sz w:val="20"/>
                <w:szCs w:val="20"/>
                <w:color w:val="auto"/>
              </w:rPr>
            </w:pPr>
            <w:r>
              <w:rPr>
                <w:rFonts w:ascii="Arial" w:cs="Arial" w:eastAsia="Arial" w:hAnsi="Arial"/>
                <w:sz w:val="14"/>
                <w:szCs w:val="14"/>
                <w:color w:val="auto"/>
                <w:w w:val="89"/>
              </w:rPr>
              <w:t>2041</w:t>
            </w:r>
          </w:p>
        </w:tc>
      </w:tr>
      <w:tr>
        <w:trPr>
          <w:trHeight w:val="182"/>
        </w:trPr>
        <w:tc>
          <w:tcPr>
            <w:tcW w:w="3340" w:type="dxa"/>
            <w:vAlign w:val="bottom"/>
          </w:tcPr>
          <w:p>
            <w:pPr>
              <w:ind w:left="120"/>
              <w:spacing w:after="0"/>
              <w:rPr>
                <w:sz w:val="20"/>
                <w:szCs w:val="20"/>
                <w:color w:val="auto"/>
              </w:rPr>
            </w:pPr>
            <w:r>
              <w:rPr>
                <w:rFonts w:ascii="Arial" w:cs="Arial" w:eastAsia="Arial" w:hAnsi="Arial"/>
                <w:sz w:val="14"/>
                <w:szCs w:val="14"/>
                <w:color w:val="auto"/>
              </w:rPr>
              <w:t>Roadrunner</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tcPr>
          <w:p>
            <w:pPr>
              <w:ind w:left="120"/>
              <w:spacing w:after="0"/>
              <w:rPr>
                <w:sz w:val="20"/>
                <w:szCs w:val="20"/>
                <w:color w:val="auto"/>
              </w:rPr>
            </w:pPr>
            <w:r>
              <w:rPr>
                <w:rFonts w:ascii="Arial" w:cs="Arial" w:eastAsia="Arial" w:hAnsi="Arial"/>
                <w:sz w:val="14"/>
                <w:szCs w:val="14"/>
                <w:color w:val="auto"/>
              </w:rPr>
              <w:t>El Paso Electric</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2031</w:t>
            </w:r>
          </w:p>
        </w:tc>
      </w:tr>
      <w:tr>
        <w:trPr>
          <w:trHeight w:val="20"/>
        </w:trPr>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3"/>
              </w:rPr>
              <w:t>2035 - 2047</w:t>
            </w: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TA High Desert</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020" w:type="dxa"/>
            <w:vAlign w:val="bottom"/>
          </w:tcPr>
          <w:p>
            <w:pPr>
              <w:ind w:left="120"/>
              <w:spacing w:after="0"/>
              <w:rPr>
                <w:sz w:val="20"/>
                <w:szCs w:val="20"/>
                <w:color w:val="auto"/>
              </w:rPr>
            </w:pPr>
            <w:r>
              <w:rPr>
                <w:rFonts w:ascii="Arial" w:cs="Arial" w:eastAsia="Arial" w:hAnsi="Arial"/>
                <w:sz w:val="14"/>
                <w:szCs w:val="14"/>
                <w:color w:val="auto"/>
              </w:rPr>
              <w:t>SCE</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w w:val="89"/>
              </w:rPr>
              <w:t>2033</w:t>
            </w:r>
          </w:p>
        </w:tc>
      </w:tr>
      <w:tr>
        <w:trPr>
          <w:trHeight w:val="186"/>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Utah Solar Portfolio</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530</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PacifiCorp</w:t>
            </w:r>
          </w:p>
        </w:tc>
        <w:tc>
          <w:tcPr>
            <w:tcW w:w="2160" w:type="dxa"/>
            <w:vAlign w:val="bottom"/>
            <w:tcBorders>
              <w:bottom w:val="single" w:sz="8" w:color="CCEEFF"/>
            </w:tcBorders>
            <w:shd w:val="clear" w:color="auto" w:fill="CCEEFF"/>
          </w:tcPr>
          <w:p>
            <w:pPr>
              <w:jc w:val="center"/>
              <w:ind w:left="1008"/>
              <w:spacing w:after="0"/>
              <w:rPr>
                <w:sz w:val="20"/>
                <w:szCs w:val="20"/>
                <w:color w:val="auto"/>
              </w:rPr>
            </w:pPr>
            <w:r>
              <w:rPr>
                <w:rFonts w:ascii="Arial" w:cs="Arial" w:eastAsia="Arial" w:hAnsi="Arial"/>
                <w:sz w:val="14"/>
                <w:szCs w:val="14"/>
                <w:color w:val="auto"/>
                <w:w w:val="89"/>
              </w:rPr>
              <w:t>2036</w:t>
            </w:r>
          </w:p>
        </w:tc>
      </w:tr>
      <w:tr>
        <w:trPr>
          <w:trHeight w:val="203"/>
        </w:trPr>
        <w:tc>
          <w:tcPr>
            <w:tcW w:w="33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4"/>
                <w:szCs w:val="14"/>
                <w:color w:val="auto"/>
              </w:rPr>
              <w:t xml:space="preserve">Waiawa </w:t>
            </w:r>
            <w:r>
              <w:rPr>
                <w:rFonts w:ascii="Arial" w:cs="Arial" w:eastAsia="Arial" w:hAnsi="Arial"/>
                <w:sz w:val="21"/>
                <w:szCs w:val="21"/>
                <w:color w:val="auto"/>
                <w:vertAlign w:val="superscript"/>
              </w:rPr>
              <w:t>(b) (c)</w:t>
            </w:r>
          </w:p>
        </w:tc>
        <w:tc>
          <w:tcPr>
            <w:tcW w:w="16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50 %</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3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Hawaiian Electric Company</w:t>
            </w:r>
          </w:p>
        </w:tc>
        <w:tc>
          <w:tcPr>
            <w:tcW w:w="2160" w:type="dxa"/>
            <w:vAlign w:val="bottom"/>
            <w:tcBorders>
              <w:bottom w:val="single" w:sz="8" w:color="CCEEFF"/>
            </w:tcBorders>
          </w:tcPr>
          <w:p>
            <w:pPr>
              <w:jc w:val="center"/>
              <w:ind w:left="1008"/>
              <w:spacing w:after="0"/>
              <w:rPr>
                <w:sz w:val="20"/>
                <w:szCs w:val="20"/>
                <w:color w:val="auto"/>
              </w:rPr>
            </w:pPr>
            <w:r>
              <w:rPr>
                <w:rFonts w:ascii="Arial" w:cs="Arial" w:eastAsia="Arial" w:hAnsi="Arial"/>
                <w:sz w:val="14"/>
                <w:szCs w:val="14"/>
                <w:color w:val="auto"/>
                <w:w w:val="89"/>
              </w:rPr>
              <w:t>2043</w:t>
            </w:r>
          </w:p>
        </w:tc>
      </w:tr>
      <w:tr>
        <w:trPr>
          <w:trHeight w:val="196"/>
        </w:trPr>
        <w:tc>
          <w:tcPr>
            <w:tcW w:w="3340" w:type="dxa"/>
            <w:vAlign w:val="bottom"/>
            <w:shd w:val="clear" w:color="auto" w:fill="CCEEFF"/>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Utility Scale Solar </w:t>
            </w:r>
            <w:r>
              <w:rPr>
                <w:rFonts w:ascii="Arial" w:cs="Arial" w:eastAsia="Arial" w:hAnsi="Arial"/>
                <w:sz w:val="21"/>
                <w:szCs w:val="21"/>
                <w:b w:val="1"/>
                <w:bCs w:val="1"/>
                <w:i w:val="1"/>
                <w:iCs w:val="1"/>
                <w:color w:val="auto"/>
                <w:vertAlign w:val="superscript"/>
              </w:rPr>
              <w:t>(d)</w:t>
            </w:r>
          </w:p>
        </w:tc>
        <w:tc>
          <w:tcPr>
            <w:tcW w:w="16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1,652</w:t>
            </w:r>
          </w:p>
        </w:tc>
        <w:tc>
          <w:tcPr>
            <w:tcW w:w="30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5"/>
        </w:trPr>
        <w:tc>
          <w:tcPr>
            <w:tcW w:w="3340" w:type="dxa"/>
            <w:vAlign w:val="bottom"/>
            <w:shd w:val="clear" w:color="auto" w:fill="CCEEFF"/>
          </w:tcPr>
          <w:p>
            <w:pPr>
              <w:ind w:left="120"/>
              <w:spacing w:after="0" w:line="206"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Arial" w:cs="Arial" w:eastAsia="Arial" w:hAnsi="Arial"/>
                <w:sz w:val="14"/>
                <w:szCs w:val="14"/>
                <w:color w:val="auto"/>
                <w:w w:val="93"/>
              </w:rPr>
              <w:t>2030 - 2044</w:t>
            </w:r>
          </w:p>
        </w:tc>
      </w:tr>
      <w:tr>
        <w:trPr>
          <w:trHeight w:val="186"/>
        </w:trPr>
        <w:tc>
          <w:tcPr>
            <w:tcW w:w="3340" w:type="dxa"/>
            <w:vAlign w:val="bottom"/>
          </w:tcPr>
          <w:p>
            <w:pPr>
              <w:ind w:left="120"/>
              <w:spacing w:after="0"/>
              <w:rPr>
                <w:sz w:val="20"/>
                <w:szCs w:val="20"/>
                <w:color w:val="auto"/>
              </w:rPr>
            </w:pPr>
            <w:r>
              <w:rPr>
                <w:rFonts w:ascii="Arial" w:cs="Arial" w:eastAsia="Arial" w:hAnsi="Arial"/>
                <w:sz w:val="14"/>
                <w:szCs w:val="14"/>
                <w:color w:val="auto"/>
              </w:rPr>
              <w:t>Solar Power Partners (SPP) Projects</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3020" w:type="dxa"/>
            <w:vAlign w:val="bottom"/>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Pr>
          <w:p>
            <w:pPr>
              <w:jc w:val="center"/>
              <w:ind w:left="1028"/>
              <w:spacing w:after="0"/>
              <w:rPr>
                <w:sz w:val="20"/>
                <w:szCs w:val="20"/>
                <w:color w:val="auto"/>
              </w:rPr>
            </w:pPr>
            <w:r>
              <w:rPr>
                <w:rFonts w:ascii="Arial" w:cs="Arial" w:eastAsia="Arial" w:hAnsi="Arial"/>
                <w:sz w:val="14"/>
                <w:szCs w:val="14"/>
                <w:color w:val="auto"/>
                <w:w w:val="93"/>
              </w:rPr>
              <w:t>2026 - 2037</w:t>
            </w:r>
          </w:p>
        </w:tc>
      </w:tr>
      <w:tr>
        <w:trPr>
          <w:trHeight w:val="200"/>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DG Projects</w:t>
            </w:r>
          </w:p>
        </w:tc>
        <w:tc>
          <w:tcPr>
            <w:tcW w:w="16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100 %</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Various</w:t>
            </w:r>
          </w:p>
        </w:tc>
        <w:tc>
          <w:tcPr>
            <w:tcW w:w="2160" w:type="dxa"/>
            <w:vAlign w:val="bottom"/>
            <w:tcBorders>
              <w:bottom w:val="single" w:sz="8" w:color="CCEEFF"/>
            </w:tcBorders>
            <w:shd w:val="clear" w:color="auto" w:fill="CCEEFF"/>
          </w:tcPr>
          <w:p>
            <w:pPr>
              <w:jc w:val="center"/>
              <w:ind w:left="1028"/>
              <w:spacing w:after="0"/>
              <w:rPr>
                <w:sz w:val="20"/>
                <w:szCs w:val="20"/>
                <w:color w:val="auto"/>
              </w:rPr>
            </w:pPr>
            <w:r>
              <w:rPr>
                <w:rFonts w:ascii="Arial" w:cs="Arial" w:eastAsia="Arial" w:hAnsi="Arial"/>
                <w:sz w:val="14"/>
                <w:szCs w:val="14"/>
                <w:color w:val="auto"/>
                <w:w w:val="93"/>
              </w:rPr>
              <w:t>2023 - 2039</w:t>
            </w:r>
          </w:p>
        </w:tc>
      </w:tr>
      <w:tr>
        <w:trPr>
          <w:trHeight w:val="272"/>
        </w:trPr>
        <w:tc>
          <w:tcPr>
            <w:tcW w:w="3340" w:type="dxa"/>
            <w:vAlign w:val="bottom"/>
          </w:tcPr>
          <w:p>
            <w:pPr>
              <w:ind w:left="460"/>
              <w:spacing w:after="0"/>
              <w:rPr>
                <w:sz w:val="20"/>
                <w:szCs w:val="20"/>
                <w:color w:val="auto"/>
              </w:rPr>
            </w:pPr>
            <w:r>
              <w:rPr>
                <w:rFonts w:ascii="Arial" w:cs="Arial" w:eastAsia="Arial" w:hAnsi="Arial"/>
                <w:sz w:val="16"/>
                <w:szCs w:val="16"/>
                <w:b w:val="1"/>
                <w:bCs w:val="1"/>
                <w:i w:val="1"/>
                <w:iCs w:val="1"/>
                <w:color w:val="auto"/>
              </w:rPr>
              <w:t xml:space="preserve">Total Distributed Solar </w:t>
            </w:r>
            <w:r>
              <w:rPr>
                <w:rFonts w:ascii="Arial" w:cs="Arial" w:eastAsia="Arial" w:hAnsi="Arial"/>
                <w:sz w:val="21"/>
                <w:szCs w:val="21"/>
                <w:b w:val="1"/>
                <w:bCs w:val="1"/>
                <w:i w:val="1"/>
                <w:iCs w:val="1"/>
                <w:color w:val="auto"/>
                <w:vertAlign w:val="superscript"/>
              </w:rPr>
              <w:t>(d)</w:t>
            </w:r>
          </w:p>
        </w:tc>
        <w:tc>
          <w:tcPr>
            <w:tcW w:w="16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3020" w:type="dxa"/>
            <w:vAlign w:val="bottom"/>
          </w:tcPr>
          <w:p>
            <w:pPr>
              <w:spacing w:after="0"/>
              <w:rPr>
                <w:sz w:val="23"/>
                <w:szCs w:val="23"/>
                <w:color w:val="auto"/>
              </w:rPr>
            </w:pPr>
          </w:p>
        </w:tc>
        <w:tc>
          <w:tcPr>
            <w:tcW w:w="2160" w:type="dxa"/>
            <w:vAlign w:val="bottom"/>
          </w:tcPr>
          <w:p>
            <w:pPr>
              <w:spacing w:after="0"/>
              <w:rPr>
                <w:sz w:val="23"/>
                <w:szCs w:val="23"/>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tbl>
      <w:tblPr>
        <w:tblLayout w:type="fixed"/>
        <w:tblInd w:w="15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Projects</w:t>
            </w:r>
          </w:p>
        </w:tc>
        <w:tc>
          <w:tcPr>
            <w:tcW w:w="1860" w:type="dxa"/>
            <w:vAlign w:val="bottom"/>
          </w:tcPr>
          <w:p>
            <w:pPr>
              <w:ind w:left="940"/>
              <w:spacing w:after="0"/>
              <w:rPr>
                <w:sz w:val="20"/>
                <w:szCs w:val="20"/>
                <w:color w:val="auto"/>
              </w:rPr>
            </w:pPr>
            <w:r>
              <w:rPr>
                <w:rFonts w:ascii="Arial" w:cs="Arial" w:eastAsia="Arial" w:hAnsi="Arial"/>
                <w:sz w:val="14"/>
                <w:szCs w:val="14"/>
                <w:b w:val="1"/>
                <w:bCs w:val="1"/>
                <w:color w:val="auto"/>
              </w:rPr>
              <w:t>Percentage</w:t>
            </w:r>
          </w:p>
        </w:tc>
        <w:tc>
          <w:tcPr>
            <w:tcW w:w="1940" w:type="dxa"/>
            <w:vAlign w:val="bottom"/>
          </w:tcPr>
          <w:p>
            <w:pPr>
              <w:jc w:val="center"/>
              <w:ind w:right="568"/>
              <w:spacing w:after="0"/>
              <w:rPr>
                <w:sz w:val="20"/>
                <w:szCs w:val="20"/>
                <w:color w:val="auto"/>
              </w:rPr>
            </w:pPr>
            <w:r>
              <w:rPr>
                <w:rFonts w:ascii="Arial" w:cs="Arial" w:eastAsia="Arial" w:hAnsi="Arial"/>
                <w:sz w:val="14"/>
                <w:szCs w:val="14"/>
                <w:b w:val="1"/>
                <w:bCs w:val="1"/>
                <w:color w:val="auto"/>
                <w:w w:val="96"/>
              </w:rPr>
              <w:t>Net Capacity</w:t>
            </w:r>
          </w:p>
        </w:tc>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1860" w:type="dxa"/>
            <w:vAlign w:val="bottom"/>
          </w:tcPr>
          <w:p>
            <w:pPr>
              <w:ind w:left="940"/>
              <w:spacing w:after="0"/>
              <w:rPr>
                <w:sz w:val="20"/>
                <w:szCs w:val="20"/>
                <w:color w:val="auto"/>
              </w:rPr>
            </w:pPr>
            <w:r>
              <w:rPr>
                <w:rFonts w:ascii="Arial" w:cs="Arial" w:eastAsia="Arial" w:hAnsi="Arial"/>
                <w:sz w:val="14"/>
                <w:szCs w:val="14"/>
                <w:b w:val="1"/>
                <w:bCs w:val="1"/>
                <w:color w:val="auto"/>
              </w:rPr>
              <w:t>Ownership</w:t>
            </w:r>
          </w:p>
        </w:tc>
        <w:tc>
          <w:tcPr>
            <w:tcW w:w="1940" w:type="dxa"/>
            <w:vAlign w:val="bottom"/>
          </w:tcPr>
          <w:p>
            <w:pPr>
              <w:jc w:val="center"/>
              <w:ind w:right="568"/>
              <w:spacing w:after="0" w:line="234" w:lineRule="exact"/>
              <w:rPr>
                <w:sz w:val="20"/>
                <w:szCs w:val="20"/>
                <w:color w:val="auto"/>
              </w:rPr>
            </w:pPr>
            <w:r>
              <w:rPr>
                <w:rFonts w:ascii="Arial" w:cs="Arial" w:eastAsia="Arial" w:hAnsi="Arial"/>
                <w:sz w:val="14"/>
                <w:szCs w:val="14"/>
                <w:b w:val="1"/>
                <w:bCs w:val="1"/>
                <w:color w:val="auto"/>
                <w:w w:val="97"/>
              </w:rPr>
              <w:t xml:space="preserve">(MW) </w:t>
            </w:r>
            <w:r>
              <w:rPr>
                <w:rFonts w:ascii="Arial" w:cs="Arial" w:eastAsia="Arial" w:hAnsi="Arial"/>
                <w:sz w:val="21"/>
                <w:szCs w:val="21"/>
                <w:b w:val="1"/>
                <w:bCs w:val="1"/>
                <w:color w:val="auto"/>
                <w:w w:val="97"/>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Wind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Alta I</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412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II</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6"/>
        </w:trPr>
        <w:tc>
          <w:tcPr>
            <w:tcW w:w="3280" w:type="dxa"/>
            <w:vAlign w:val="bottom"/>
          </w:tcPr>
          <w:p>
            <w:pPr>
              <w:ind w:left="120"/>
              <w:spacing w:after="0"/>
              <w:rPr>
                <w:sz w:val="20"/>
                <w:szCs w:val="20"/>
                <w:color w:val="auto"/>
              </w:rPr>
            </w:pPr>
            <w:r>
              <w:rPr>
                <w:rFonts w:ascii="Arial" w:cs="Arial" w:eastAsia="Arial" w:hAnsi="Arial"/>
                <w:sz w:val="14"/>
                <w:szCs w:val="14"/>
                <w:color w:val="auto"/>
              </w:rPr>
              <w:t>Alta III</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412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Alta IV</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Alta V</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168</w:t>
            </w:r>
          </w:p>
        </w:tc>
        <w:tc>
          <w:tcPr>
            <w:tcW w:w="412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shd w:val="clear" w:color="auto" w:fill="CCEEFF"/>
          </w:tcPr>
          <w:p>
            <w:pPr>
              <w:ind w:left="120"/>
              <w:spacing w:after="0" w:line="189"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SCE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21"/>
                <w:szCs w:val="21"/>
                <w:color w:val="auto"/>
                <w:vertAlign w:val="superscript"/>
              </w:rPr>
              <w:t>(b)</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90</w:t>
            </w:r>
          </w:p>
        </w:tc>
        <w:tc>
          <w:tcPr>
            <w:tcW w:w="4120" w:type="dxa"/>
            <w:vAlign w:val="bottom"/>
          </w:tcPr>
          <w:p>
            <w:pPr>
              <w:ind w:left="140"/>
              <w:spacing w:after="0"/>
              <w:rPr>
                <w:sz w:val="20"/>
                <w:szCs w:val="20"/>
                <w:color w:val="auto"/>
              </w:rPr>
            </w:pPr>
            <w:r>
              <w:rPr>
                <w:rFonts w:ascii="Arial" w:cs="Arial" w:eastAsia="Arial" w:hAnsi="Arial"/>
                <w:sz w:val="14"/>
                <w:szCs w:val="14"/>
                <w:color w:val="auto"/>
              </w:rPr>
              <w:t>SCE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Black Rock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Toyota and AEP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186"/>
        </w:trPr>
        <w:tc>
          <w:tcPr>
            <w:tcW w:w="3280" w:type="dxa"/>
            <w:vAlign w:val="bottom"/>
          </w:tcPr>
          <w:p>
            <w:pPr>
              <w:ind w:left="120"/>
              <w:spacing w:after="0"/>
              <w:rPr>
                <w:sz w:val="20"/>
                <w:szCs w:val="20"/>
                <w:color w:val="auto"/>
              </w:rPr>
            </w:pPr>
            <w:r>
              <w:rPr>
                <w:rFonts w:ascii="Arial" w:cs="Arial" w:eastAsia="Arial" w:hAnsi="Arial"/>
                <w:sz w:val="14"/>
                <w:szCs w:val="14"/>
                <w:color w:val="auto"/>
              </w:rPr>
              <w:t>Buffalo Bear</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4120" w:type="dxa"/>
            <w:vAlign w:val="bottom"/>
          </w:tcPr>
          <w:p>
            <w:pPr>
              <w:ind w:left="140"/>
              <w:spacing w:after="0"/>
              <w:rPr>
                <w:sz w:val="20"/>
                <w:szCs w:val="20"/>
                <w:color w:val="auto"/>
              </w:rPr>
            </w:pPr>
            <w:r>
              <w:rPr>
                <w:rFonts w:ascii="Arial" w:cs="Arial" w:eastAsia="Arial" w:hAnsi="Arial"/>
                <w:sz w:val="14"/>
                <w:szCs w:val="14"/>
                <w:color w:val="auto"/>
              </w:rPr>
              <w:t>Western Farmers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Capistrano Wind Portfolio</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2030 - 2033</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21"/>
                <w:szCs w:val="21"/>
                <w:color w:val="auto"/>
                <w:vertAlign w:val="superscript"/>
              </w:rPr>
              <w:t>(b)</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122</w:t>
            </w:r>
          </w:p>
        </w:tc>
        <w:tc>
          <w:tcPr>
            <w:tcW w:w="4120" w:type="dxa"/>
            <w:vAlign w:val="bottom"/>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Elkhorn Ridge</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66.7 %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Forward</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29</w:t>
            </w:r>
          </w:p>
        </w:tc>
        <w:tc>
          <w:tcPr>
            <w:tcW w:w="4120" w:type="dxa"/>
            <w:vAlign w:val="bottom"/>
          </w:tcPr>
          <w:p>
            <w:pPr>
              <w:ind w:left="140"/>
              <w:spacing w:after="0"/>
              <w:rPr>
                <w:sz w:val="20"/>
                <w:szCs w:val="20"/>
                <w:color w:val="auto"/>
              </w:rPr>
            </w:pPr>
            <w:r>
              <w:rPr>
                <w:rFonts w:ascii="Arial" w:cs="Arial" w:eastAsia="Arial" w:hAnsi="Arial"/>
                <w:sz w:val="14"/>
                <w:szCs w:val="14"/>
                <w:color w:val="auto"/>
              </w:rPr>
              <w:t>Constellation NewEnergy, Inc.</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Goat Wind</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Dow Pipeline Company</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line="216"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21"/>
                <w:szCs w:val="21"/>
                <w:color w:val="auto"/>
                <w:vertAlign w:val="superscript"/>
              </w:rPr>
              <w:t>(b)</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160</w:t>
            </w:r>
          </w:p>
        </w:tc>
        <w:tc>
          <w:tcPr>
            <w:tcW w:w="4120" w:type="dxa"/>
            <w:vAlign w:val="bottom"/>
          </w:tcPr>
          <w:p>
            <w:pPr>
              <w:ind w:left="140"/>
              <w:spacing w:after="0"/>
              <w:rPr>
                <w:sz w:val="20"/>
                <w:szCs w:val="20"/>
                <w:color w:val="auto"/>
              </w:rPr>
            </w:pPr>
            <w:r>
              <w:rPr>
                <w:rFonts w:ascii="Arial" w:cs="Arial" w:eastAsia="Arial" w:hAnsi="Arial"/>
                <w:sz w:val="14"/>
                <w:szCs w:val="14"/>
                <w:color w:val="auto"/>
              </w:rPr>
              <w:t>Goldman Sachs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Laredo Ridge</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Nebraska Public Power District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6"/>
        </w:trPr>
        <w:tc>
          <w:tcPr>
            <w:tcW w:w="3280" w:type="dxa"/>
            <w:vAlign w:val="bottom"/>
          </w:tcPr>
          <w:p>
            <w:pPr>
              <w:ind w:left="120"/>
              <w:spacing w:after="0"/>
              <w:rPr>
                <w:sz w:val="20"/>
                <w:szCs w:val="20"/>
                <w:color w:val="auto"/>
              </w:rPr>
            </w:pPr>
            <w:r>
              <w:rPr>
                <w:rFonts w:ascii="Arial" w:cs="Arial" w:eastAsia="Arial" w:hAnsi="Arial"/>
                <w:sz w:val="14"/>
                <w:szCs w:val="14"/>
                <w:color w:val="auto"/>
              </w:rPr>
              <w:t>Lookout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c>
          <w:tcPr>
            <w:tcW w:w="4120" w:type="dxa"/>
            <w:vAlign w:val="bottom"/>
          </w:tcPr>
          <w:p>
            <w:pPr>
              <w:ind w:left="140"/>
              <w:spacing w:after="0"/>
              <w:rPr>
                <w:sz w:val="20"/>
                <w:szCs w:val="20"/>
                <w:color w:val="auto"/>
              </w:rPr>
            </w:pPr>
            <w:r>
              <w:rPr>
                <w:rFonts w:ascii="Arial" w:cs="Arial" w:eastAsia="Arial" w:hAnsi="Arial"/>
                <w:sz w:val="14"/>
                <w:szCs w:val="14"/>
                <w:color w:val="auto"/>
              </w:rPr>
              <w:t>Southern Maryland Electric Cooperative</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20"/>
              <w:spacing w:after="0" w:line="206" w:lineRule="exact"/>
              <w:rPr>
                <w:sz w:val="20"/>
                <w:szCs w:val="20"/>
                <w:color w:val="auto"/>
              </w:rPr>
            </w:pPr>
            <w:r>
              <w:rPr>
                <w:rFonts w:ascii="Arial" w:cs="Arial" w:eastAsia="Arial" w:hAnsi="Arial"/>
                <w:sz w:val="14"/>
                <w:szCs w:val="14"/>
                <w:color w:val="auto"/>
              </w:rPr>
              <w:t xml:space="preserve">Mesquite Sky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2033 - 2036</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21"/>
                <w:szCs w:val="21"/>
                <w:color w:val="auto"/>
                <w:vertAlign w:val="superscript"/>
              </w:rPr>
              <w:t>(b)</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50 %</w:t>
            </w:r>
          </w:p>
        </w:tc>
        <w:tc>
          <w:tcPr>
            <w:tcW w:w="1060" w:type="dxa"/>
            <w:vAlign w:val="bottom"/>
          </w:tcPr>
          <w:p>
            <w:pPr>
              <w:jc w:val="right"/>
              <w:spacing w:after="0"/>
              <w:rPr>
                <w:sz w:val="20"/>
                <w:szCs w:val="20"/>
                <w:color w:val="auto"/>
              </w:rPr>
            </w:pPr>
            <w:r>
              <w:rPr>
                <w:rFonts w:ascii="Arial" w:cs="Arial" w:eastAsia="Arial" w:hAnsi="Arial"/>
                <w:sz w:val="14"/>
                <w:szCs w:val="14"/>
                <w:color w:val="auto"/>
              </w:rPr>
              <w:t>210</w:t>
            </w:r>
          </w:p>
        </w:tc>
        <w:tc>
          <w:tcPr>
            <w:tcW w:w="4120" w:type="dxa"/>
            <w:vAlign w:val="bottom"/>
          </w:tcPr>
          <w:p>
            <w:pPr>
              <w:ind w:left="140"/>
              <w:spacing w:after="0"/>
              <w:rPr>
                <w:sz w:val="20"/>
                <w:szCs w:val="20"/>
                <w:color w:val="auto"/>
              </w:rPr>
            </w:pPr>
            <w:r>
              <w:rPr>
                <w:rFonts w:ascii="Arial" w:cs="Arial" w:eastAsia="Arial" w:hAnsi="Arial"/>
                <w:sz w:val="14"/>
                <w:szCs w:val="14"/>
                <w:color w:val="auto"/>
              </w:rPr>
              <w:t>Various</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Mt. Storm</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Citigroup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Ocotillo</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4120" w:type="dxa"/>
            <w:vAlign w:val="bottom"/>
          </w:tcPr>
          <w:p>
            <w:pPr>
              <w:ind w:left="140"/>
              <w:spacing w:after="0"/>
              <w:rPr>
                <w:sz w:val="20"/>
                <w:szCs w:val="20"/>
                <w:color w:val="auto"/>
              </w:rPr>
            </w:pPr>
            <w:r>
              <w:rPr>
                <w:rFonts w:ascii="Arial" w:cs="Arial" w:eastAsia="Arial" w:hAnsi="Arial"/>
                <w:sz w:val="14"/>
                <w:szCs w:val="14"/>
                <w:color w:val="auto"/>
              </w:rPr>
              <w:t>N/A</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Odin</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99.9 %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Missouri River Energy Services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35"/>
        </w:trPr>
        <w:tc>
          <w:tcPr>
            <w:tcW w:w="3280" w:type="dxa"/>
            <w:vAlign w:val="bottom"/>
            <w:vMerge w:val="restart"/>
          </w:tcPr>
          <w:p>
            <w:pPr>
              <w:ind w:left="1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21"/>
                <w:szCs w:val="21"/>
                <w:color w:val="auto"/>
                <w:vertAlign w:val="superscript"/>
              </w:rPr>
              <w:t>(b)</w:t>
            </w:r>
          </w:p>
        </w:tc>
        <w:tc>
          <w:tcPr>
            <w:tcW w:w="1700" w:type="dxa"/>
            <w:vAlign w:val="bottom"/>
            <w:vMerge w:val="restart"/>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4120" w:type="dxa"/>
            <w:vAlign w:val="bottom"/>
          </w:tcPr>
          <w:p>
            <w:pPr>
              <w:ind w:left="140"/>
              <w:spacing w:after="0" w:line="135" w:lineRule="exact"/>
              <w:rPr>
                <w:sz w:val="20"/>
                <w:szCs w:val="20"/>
                <w:color w:val="auto"/>
              </w:rPr>
            </w:pPr>
            <w:r>
              <w:rPr>
                <w:rFonts w:ascii="Arial" w:cs="Arial" w:eastAsia="Arial" w:hAnsi="Arial"/>
                <w:sz w:val="14"/>
                <w:szCs w:val="14"/>
                <w:color w:val="auto"/>
                <w:w w:val="97"/>
              </w:rPr>
              <w:t>Maryland Department of General Services and University System</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120" w:type="dxa"/>
            <w:vAlign w:val="bottom"/>
          </w:tcPr>
          <w:p>
            <w:pPr>
              <w:ind w:left="140"/>
              <w:spacing w:after="0"/>
              <w:rPr>
                <w:sz w:val="20"/>
                <w:szCs w:val="20"/>
                <w:color w:val="auto"/>
              </w:rPr>
            </w:pPr>
            <w:r>
              <w:rPr>
                <w:rFonts w:ascii="Arial" w:cs="Arial" w:eastAsia="Arial" w:hAnsi="Arial"/>
                <w:sz w:val="14"/>
                <w:szCs w:val="14"/>
                <w:color w:val="auto"/>
              </w:rPr>
              <w:t>of Maryland</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line="203"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21"/>
                <w:szCs w:val="21"/>
                <w:color w:val="auto"/>
                <w:vertAlign w:val="superscript"/>
              </w:rPr>
              <w:t>(b) (e)</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86"/>
        </w:trPr>
        <w:tc>
          <w:tcPr>
            <w:tcW w:w="3280" w:type="dxa"/>
            <w:vAlign w:val="bottom"/>
          </w:tcPr>
          <w:p>
            <w:pPr>
              <w:ind w:left="120"/>
              <w:spacing w:after="0"/>
              <w:rPr>
                <w:sz w:val="20"/>
                <w:szCs w:val="20"/>
                <w:color w:val="auto"/>
              </w:rPr>
            </w:pPr>
            <w:r>
              <w:rPr>
                <w:rFonts w:ascii="Arial" w:cs="Arial" w:eastAsia="Arial" w:hAnsi="Arial"/>
                <w:sz w:val="14"/>
                <w:szCs w:val="14"/>
                <w:color w:val="auto"/>
              </w:rPr>
              <w:t>San Juan Mesa</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75 %</w:t>
            </w:r>
          </w:p>
        </w:tc>
        <w:tc>
          <w:tcPr>
            <w:tcW w:w="1060" w:type="dxa"/>
            <w:vAlign w:val="bottom"/>
          </w:tcPr>
          <w:p>
            <w:pPr>
              <w:jc w:val="right"/>
              <w:spacing w:after="0"/>
              <w:rPr>
                <w:sz w:val="20"/>
                <w:szCs w:val="20"/>
                <w:color w:val="auto"/>
              </w:rPr>
            </w:pPr>
            <w:r>
              <w:rPr>
                <w:rFonts w:ascii="Arial" w:cs="Arial" w:eastAsia="Arial" w:hAnsi="Arial"/>
                <w:sz w:val="14"/>
                <w:szCs w:val="14"/>
                <w:color w:val="auto"/>
              </w:rPr>
              <w:t>90</w:t>
            </w:r>
          </w:p>
        </w:tc>
        <w:tc>
          <w:tcPr>
            <w:tcW w:w="4120" w:type="dxa"/>
            <w:vAlign w:val="bottom"/>
          </w:tcPr>
          <w:p>
            <w:pPr>
              <w:ind w:left="14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Sleeping Bear</w:t>
            </w:r>
          </w:p>
        </w:tc>
        <w:tc>
          <w:tcPr>
            <w:tcW w:w="1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Public Service Company of Oklahoma</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82"/>
        </w:trPr>
        <w:tc>
          <w:tcPr>
            <w:tcW w:w="3280" w:type="dxa"/>
            <w:vAlign w:val="bottom"/>
          </w:tcPr>
          <w:p>
            <w:pPr>
              <w:ind w:left="120"/>
              <w:spacing w:after="0"/>
              <w:rPr>
                <w:sz w:val="20"/>
                <w:szCs w:val="20"/>
                <w:color w:val="auto"/>
              </w:rPr>
            </w:pPr>
            <w:r>
              <w:rPr>
                <w:rFonts w:ascii="Arial" w:cs="Arial" w:eastAsia="Arial" w:hAnsi="Arial"/>
                <w:sz w:val="14"/>
                <w:szCs w:val="14"/>
                <w:color w:val="auto"/>
              </w:rPr>
              <w:t>South Trent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4120" w:type="dxa"/>
            <w:vAlign w:val="bottom"/>
          </w:tcPr>
          <w:p>
            <w:pPr>
              <w:ind w:left="140"/>
              <w:spacing w:after="0"/>
              <w:rPr>
                <w:sz w:val="20"/>
                <w:szCs w:val="20"/>
                <w:color w:val="auto"/>
              </w:rPr>
            </w:pPr>
            <w:r>
              <w:rPr>
                <w:rFonts w:ascii="Arial" w:cs="Arial" w:eastAsia="Arial" w:hAnsi="Arial"/>
                <w:sz w:val="14"/>
                <w:szCs w:val="14"/>
                <w:color w:val="auto"/>
              </w:rPr>
              <w:t>AEP Energy Partners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Spanish Fork</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line="230"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21"/>
                <w:szCs w:val="21"/>
                <w:color w:val="auto"/>
                <w:vertAlign w:val="superscript"/>
              </w:rPr>
              <w:t>(b)</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90.1 %</w:t>
            </w: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4120" w:type="dxa"/>
            <w:vAlign w:val="bottom"/>
          </w:tcPr>
          <w:p>
            <w:pPr>
              <w:ind w:left="140"/>
              <w:spacing w:after="0"/>
              <w:rPr>
                <w:sz w:val="20"/>
                <w:szCs w:val="20"/>
                <w:color w:val="auto"/>
              </w:rPr>
            </w:pPr>
            <w:r>
              <w:rPr>
                <w:rFonts w:ascii="Arial" w:cs="Arial" w:eastAsia="Arial" w:hAnsi="Arial"/>
                <w:sz w:val="14"/>
                <w:szCs w:val="14"/>
                <w:color w:val="auto"/>
              </w:rPr>
              <w:t>Platte River Power Authority</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90.1 %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86"/>
        </w:trPr>
        <w:tc>
          <w:tcPr>
            <w:tcW w:w="3280" w:type="dxa"/>
            <w:vAlign w:val="bottom"/>
          </w:tcPr>
          <w:p>
            <w:pPr>
              <w:ind w:left="120"/>
              <w:spacing w:after="0"/>
              <w:rPr>
                <w:sz w:val="20"/>
                <w:szCs w:val="20"/>
                <w:color w:val="auto"/>
              </w:rPr>
            </w:pPr>
            <w:r>
              <w:rPr>
                <w:rFonts w:ascii="Arial" w:cs="Arial" w:eastAsia="Arial" w:hAnsi="Arial"/>
                <w:sz w:val="14"/>
                <w:szCs w:val="14"/>
                <w:color w:val="auto"/>
              </w:rPr>
              <w:t>Taloga</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Pr>
          <w:p>
            <w:pPr>
              <w:jc w:val="right"/>
              <w:spacing w:after="0"/>
              <w:rPr>
                <w:sz w:val="20"/>
                <w:szCs w:val="20"/>
                <w:color w:val="auto"/>
              </w:rPr>
            </w:pPr>
            <w:r>
              <w:rPr>
                <w:rFonts w:ascii="Arial" w:cs="Arial" w:eastAsia="Arial" w:hAnsi="Arial"/>
                <w:sz w:val="14"/>
                <w:szCs w:val="14"/>
                <w:color w:val="auto"/>
              </w:rPr>
              <w:t>130</w:t>
            </w:r>
          </w:p>
        </w:tc>
        <w:tc>
          <w:tcPr>
            <w:tcW w:w="4120" w:type="dxa"/>
            <w:vAlign w:val="bottom"/>
          </w:tcPr>
          <w:p>
            <w:pPr>
              <w:ind w:left="140"/>
              <w:spacing w:after="0"/>
              <w:rPr>
                <w:sz w:val="20"/>
                <w:szCs w:val="20"/>
                <w:color w:val="auto"/>
              </w:rPr>
            </w:pPr>
            <w:r>
              <w:rPr>
                <w:rFonts w:ascii="Arial" w:cs="Arial" w:eastAsia="Arial" w:hAnsi="Arial"/>
                <w:sz w:val="14"/>
                <w:szCs w:val="14"/>
                <w:color w:val="auto"/>
              </w:rPr>
              <w:t>Oklahoma Gas &amp; Electric</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120"/>
              <w:spacing w:after="0" w:line="206"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21"/>
                <w:szCs w:val="21"/>
                <w:color w:val="auto"/>
                <w:vertAlign w:val="superscript"/>
              </w:rPr>
              <w:t>(b)</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460"/>
              <w:spacing w:after="0" w:line="196" w:lineRule="exact"/>
              <w:rPr>
                <w:sz w:val="20"/>
                <w:szCs w:val="20"/>
                <w:color w:val="auto"/>
              </w:rPr>
            </w:pPr>
            <w:r>
              <w:rPr>
                <w:rFonts w:ascii="Arial" w:cs="Arial" w:eastAsia="Arial" w:hAnsi="Arial"/>
                <w:sz w:val="16"/>
                <w:szCs w:val="16"/>
                <w:b w:val="1"/>
                <w:bCs w:val="1"/>
                <w:i w:val="1"/>
                <w:iCs w:val="1"/>
                <w:color w:val="auto"/>
              </w:rPr>
              <w:t xml:space="preserve">Total Wind </w:t>
            </w:r>
            <w:r>
              <w:rPr>
                <w:rFonts w:ascii="Arial" w:cs="Arial" w:eastAsia="Arial" w:hAnsi="Arial"/>
                <w:sz w:val="21"/>
                <w:szCs w:val="21"/>
                <w:b w:val="1"/>
                <w:bCs w:val="1"/>
                <w:i w:val="1"/>
                <w:iCs w:val="1"/>
                <w:color w:val="auto"/>
                <w:vertAlign w:val="superscript"/>
              </w:rPr>
              <w:t>(d)</w:t>
            </w:r>
          </w:p>
        </w:tc>
        <w:tc>
          <w:tcPr>
            <w:tcW w:w="17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w:t>
            </w:r>
          </w:p>
        </w:tc>
        <w:tc>
          <w:tcPr>
            <w:tcW w:w="41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net generation capacity</w:t>
            </w:r>
          </w:p>
        </w:tc>
        <w:tc>
          <w:tcPr>
            <w:tcW w:w="17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8,114</w:t>
            </w:r>
          </w:p>
        </w:tc>
        <w:tc>
          <w:tcPr>
            <w:tcW w:w="4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93" w:lineRule="exact"/>
        <w:rPr>
          <w:sz w:val="20"/>
          <w:szCs w:val="20"/>
          <w:color w:val="auto"/>
        </w:rPr>
      </w:pPr>
    </w:p>
    <w:p>
      <w:pPr>
        <w:ind w:left="240" w:hanging="151"/>
        <w:spacing w:after="0"/>
        <w:tabs>
          <w:tab w:leader="none" w:pos="24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June 30, 2023.</w:t>
      </w:r>
    </w:p>
    <w:p>
      <w:pPr>
        <w:spacing w:after="0" w:line="59" w:lineRule="exact"/>
        <w:rPr>
          <w:rFonts w:ascii="Arial" w:cs="Arial" w:eastAsia="Arial" w:hAnsi="Arial"/>
          <w:sz w:val="18"/>
          <w:szCs w:val="18"/>
          <w:color w:val="auto"/>
          <w:vertAlign w:val="superscript"/>
        </w:rPr>
      </w:pPr>
    </w:p>
    <w:p>
      <w:pPr>
        <w:ind w:left="80" w:firstLine="9"/>
        <w:spacing w:after="0" w:line="232" w:lineRule="auto"/>
        <w:tabs>
          <w:tab w:leader="none" w:pos="249"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 xml:space="preserve">Projects are part of tax equity arrangements and ownership percentage is based on cash to be distributed, as further described in Note 4, </w:t>
      </w:r>
      <w:r>
        <w:rPr>
          <w:rFonts w:ascii="Arial" w:cs="Arial" w:eastAsia="Arial" w:hAnsi="Arial"/>
          <w:sz w:val="12"/>
          <w:szCs w:val="12"/>
          <w:i w:val="1"/>
          <w:iCs w:val="1"/>
          <w:color w:val="auto"/>
        </w:rPr>
        <w:t>Investments Accounted for by the Equity Method and</w:t>
      </w:r>
      <w:r>
        <w:rPr>
          <w:rFonts w:ascii="Arial" w:cs="Arial" w:eastAsia="Arial" w:hAnsi="Arial"/>
          <w:sz w:val="12"/>
          <w:szCs w:val="12"/>
          <w:color w:val="auto"/>
        </w:rPr>
        <w:t xml:space="preserve"> </w:t>
      </w:r>
      <w:r>
        <w:rPr>
          <w:rFonts w:ascii="Arial" w:cs="Arial" w:eastAsia="Arial" w:hAnsi="Arial"/>
          <w:sz w:val="12"/>
          <w:szCs w:val="12"/>
          <w:i w:val="1"/>
          <w:iCs w:val="1"/>
          <w:color w:val="auto"/>
        </w:rPr>
        <w:t>Variable Interest Entities.</w:t>
      </w:r>
    </w:p>
    <w:p>
      <w:pPr>
        <w:spacing w:after="0" w:line="29" w:lineRule="exact"/>
        <w:rPr>
          <w:rFonts w:ascii="Arial" w:cs="Arial" w:eastAsia="Arial" w:hAnsi="Arial"/>
          <w:sz w:val="19"/>
          <w:szCs w:val="19"/>
          <w:color w:val="auto"/>
          <w:vertAlign w:val="superscript"/>
        </w:rPr>
      </w:pPr>
    </w:p>
    <w:p>
      <w:pPr>
        <w:ind w:left="260" w:hanging="171"/>
        <w:spacing w:after="0"/>
        <w:tabs>
          <w:tab w:leader="none" w:pos="260"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Includes storage capacity that matches the facility’s rated generating capacity.</w:t>
      </w:r>
    </w:p>
    <w:p>
      <w:pPr>
        <w:spacing w:after="0" w:line="87" w:lineRule="exact"/>
        <w:rPr>
          <w:rFonts w:ascii="Arial" w:cs="Arial" w:eastAsia="Arial" w:hAnsi="Arial"/>
          <w:sz w:val="21"/>
          <w:szCs w:val="21"/>
          <w:color w:val="auto"/>
          <w:vertAlign w:val="superscript"/>
        </w:rPr>
      </w:pPr>
    </w:p>
    <w:p>
      <w:pPr>
        <w:jc w:val="both"/>
        <w:ind w:left="80" w:firstLine="9"/>
        <w:spacing w:after="0" w:line="236" w:lineRule="auto"/>
        <w:tabs>
          <w:tab w:leader="none" w:pos="268"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Typical average capacity factors are 25% for solar facilities and 25-45% for wind facilities. For the six months ended June 30, 2023, the Company's solar and wind facilities had weighted-average capacity factors of 27% and 31%, respectively. For the six months ended June 30, 2022, the Company’s solar and wind facilities had weighted-average capacity factors of 30% and 35%, respectively. The weight-average capacity factors can vary based on seasonality and weather conditions.</w:t>
      </w:r>
    </w:p>
    <w:p>
      <w:pPr>
        <w:spacing w:after="0" w:line="28" w:lineRule="exact"/>
        <w:rPr>
          <w:rFonts w:ascii="Arial" w:cs="Arial" w:eastAsia="Arial" w:hAnsi="Arial"/>
          <w:sz w:val="21"/>
          <w:szCs w:val="21"/>
          <w:color w:val="auto"/>
          <w:vertAlign w:val="superscript"/>
        </w:rPr>
      </w:pPr>
    </w:p>
    <w:p>
      <w:pPr>
        <w:ind w:left="260" w:hanging="171"/>
        <w:spacing w:after="0"/>
        <w:tabs>
          <w:tab w:leader="none" w:pos="260" w:val="left"/>
        </w:tabs>
        <w:numPr>
          <w:ilvl w:val="0"/>
          <w:numId w:val="22"/>
        </w:numPr>
        <w:rPr>
          <w:rFonts w:ascii="Arial" w:cs="Arial" w:eastAsia="Arial" w:hAnsi="Arial"/>
          <w:sz w:val="20"/>
          <w:szCs w:val="20"/>
          <w:color w:val="auto"/>
          <w:vertAlign w:val="superscript"/>
        </w:rPr>
      </w:pPr>
      <w:r>
        <w:rPr>
          <w:rFonts w:ascii="Arial" w:cs="Arial" w:eastAsia="Arial" w:hAnsi="Arial"/>
          <w:sz w:val="13"/>
          <w:szCs w:val="13"/>
          <w:color w:val="auto"/>
        </w:rPr>
        <w:t>Rattlesnake has a deliverable capacity of 144 MW.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88"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will be co-located at the Rosamond Central solar facility. Clearway Renew indirectly owns the Class A membership interests. The Company’s investment consists of $10 million contributed into Rosie Central BESS, funded through contributions from the Company and its cash equity investor in Rosie TargetCo LLC, which consolidates Rosie Class B LLC. On July 3, 2023, Rosie Class B LLC contributed an additional $20 million into Rosie Central BESS. Additionally, on June 30, 2023, Rosamond Central entered into an asset purchase agreement with Rosie Central BESS to acquire the BESS project assets at mechanical completion for a purchase price of $360 million, of which $72 million is payable at mechanical completion with the remaining $288 million payable at substantial completion. The Company will fund $17 million of the purchase price at mechanical completion and $67 million of the purchase price at substantial completion. See Note 4, </w:t>
      </w:r>
      <w:r>
        <w:rPr>
          <w:rFonts w:ascii="Arial" w:cs="Arial" w:eastAsia="Arial" w:hAnsi="Arial"/>
          <w:sz w:val="16"/>
          <w:szCs w:val="16"/>
          <w:i w:val="1"/>
          <w:iCs w:val="1"/>
          <w:color w:val="auto"/>
        </w:rPr>
        <w:t>Investments Accounted for by the</w:t>
      </w:r>
      <w:r>
        <w:rPr>
          <w:rFonts w:ascii="Arial" w:cs="Arial" w:eastAsia="Arial" w:hAnsi="Arial"/>
          <w:sz w:val="16"/>
          <w:szCs w:val="16"/>
          <w:color w:val="auto"/>
        </w:rPr>
        <w:t xml:space="preserve"> </w:t>
      </w:r>
      <w:r>
        <w:rPr>
          <w:rFonts w:ascii="Arial" w:cs="Arial" w:eastAsia="Arial" w:hAnsi="Arial"/>
          <w:sz w:val="16"/>
          <w:szCs w:val="16"/>
          <w:i w:val="1"/>
          <w:iCs w:val="1"/>
          <w:color w:val="auto"/>
        </w:rPr>
        <w:t>Equity Method and Variable Interest Entities</w:t>
      </w:r>
      <w:r>
        <w:rPr>
          <w:rFonts w:ascii="Arial" w:cs="Arial" w:eastAsia="Arial" w:hAnsi="Arial"/>
          <w:sz w:val="16"/>
          <w:szCs w:val="16"/>
          <w:color w:val="auto"/>
        </w:rPr>
        <w:t>, for further discussion of the transactions.</w:t>
      </w:r>
    </w:p>
    <w:p>
      <w:pPr>
        <w:spacing w:after="0" w:line="11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May 19, 2023, the Company, through an indirect subsidiary, entered into an agreement with Clearway Renew to acquire Cedar Creek Holdco LLC, which is the indirect owner of the Cedar Creek wind project, a 160 MW project located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spacing w:after="0" w:line="138"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May 3, 2023, the Company entered into an agreement with Clearway Renew to repower the Cedro Hill wind project, which is included in the Capistrano Wind Portfolio and is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spacing w:after="0" w:line="103"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On February 17, 2023, the Company, through its indirect subsidiary, Daggett Solar Investment LLC, acquired the Class A membership interests in Daggett TargetCo LLC, the indirect owner of the Daggett 3 solar project, a 300 MW solar project with matching storage capacity that is currently under construction,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See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for further discussion of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Financing Activities</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On March 15, 2023, Clearway Energy Operating LLC refinanced the Amended and Restated Credit Agreement.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of the amendment.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ind w:left="660" w:hanging="328"/>
        <w:spacing w:after="0" w:line="308" w:lineRule="auto"/>
        <w:tabs>
          <w:tab w:leader="none" w:pos="660" w:val="left"/>
        </w:tabs>
        <w:numPr>
          <w:ilvl w:val="0"/>
          <w:numId w:val="25"/>
        </w:numPr>
        <w:rPr>
          <w:rFonts w:ascii="Arial" w:cs="Arial" w:eastAsia="Arial" w:hAnsi="Arial"/>
          <w:sz w:val="15"/>
          <w:szCs w:val="15"/>
          <w:b w:val="1"/>
          <w:bCs w:val="1"/>
          <w:i w:val="1"/>
          <w:iCs w:val="1"/>
          <w:color w:val="auto"/>
        </w:rPr>
      </w:pPr>
      <w:r>
        <w:rPr>
          <w:rFonts w:ascii="Arial" w:cs="Arial" w:eastAsia="Arial" w:hAnsi="Arial"/>
          <w:sz w:val="17"/>
          <w:szCs w:val="17"/>
          <w:color w:val="auto"/>
        </w:rPr>
        <w:t xml:space="preserve">In connection with the 2022 Drop Down of Waiawa and the 2023 Drop Down of Daggett 3, the Company assumed non-recourse project-level debt.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for further discussion of the non-recourse project-level debt associated with each project.</w:t>
      </w:r>
    </w:p>
    <w:p>
      <w:pPr>
        <w:spacing w:after="0" w:line="92" w:lineRule="exact"/>
        <w:rPr>
          <w:rFonts w:ascii="Arial" w:cs="Arial" w:eastAsia="Arial" w:hAnsi="Arial"/>
          <w:sz w:val="15"/>
          <w:szCs w:val="15"/>
          <w:b w:val="1"/>
          <w:bCs w:val="1"/>
          <w:i w:val="1"/>
          <w:iCs w:val="1"/>
          <w:color w:val="auto"/>
        </w:rPr>
      </w:pPr>
    </w:p>
    <w:p>
      <w:pPr>
        <w:jc w:val="both"/>
        <w:ind w:left="660" w:hanging="328"/>
        <w:spacing w:after="0" w:line="259" w:lineRule="auto"/>
        <w:tabs>
          <w:tab w:leader="none" w:pos="66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8"/>
          <w:szCs w:val="18"/>
          <w:color w:val="auto"/>
        </w:rPr>
        <w:t xml:space="preserve">On June 30, 2023, Rosie Class B LLC amended its financing agreement. On July 3, 2023, the Company received total loan proceeds of $138 million under the refinancing. Also on July 3, 2023, Rosie Class B LLC issued a loan to a consolidated subsidiary of Clearway Renew in the aggregate principal amount of $117 million in order to finance the construction of the BESS project.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 of the project financing activities.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environmental matters are further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2022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7"/>
          </w:tcPr>
          <w:p>
            <w:pPr>
              <w:jc w:val="right"/>
              <w:ind w:right="61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333333"/>
                <w:w w:val="79"/>
              </w:rPr>
              <w:t>$</w:t>
            </w:r>
          </w:p>
        </w:tc>
        <w:tc>
          <w:tcPr>
            <w:tcW w:w="780" w:type="dxa"/>
            <w:vAlign w:val="bottom"/>
          </w:tcPr>
          <w:p>
            <w:pPr>
              <w:jc w:val="right"/>
              <w:spacing w:after="0"/>
              <w:rPr>
                <w:sz w:val="20"/>
                <w:szCs w:val="20"/>
                <w:color w:val="auto"/>
              </w:rPr>
            </w:pPr>
            <w:r>
              <w:rPr>
                <w:rFonts w:ascii="Arial" w:cs="Arial" w:eastAsia="Arial" w:hAnsi="Arial"/>
                <w:sz w:val="18"/>
                <w:szCs w:val="18"/>
                <w:color w:val="333333"/>
              </w:rPr>
              <w:t>379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333333"/>
              </w:rPr>
              <w:t>$</w:t>
            </w:r>
          </w:p>
        </w:tc>
        <w:tc>
          <w:tcPr>
            <w:tcW w:w="760" w:type="dxa"/>
            <w:vAlign w:val="bottom"/>
          </w:tcPr>
          <w:p>
            <w:pPr>
              <w:jc w:val="right"/>
              <w:spacing w:after="0"/>
              <w:rPr>
                <w:sz w:val="20"/>
                <w:szCs w:val="20"/>
                <w:color w:val="auto"/>
              </w:rPr>
            </w:pPr>
            <w:r>
              <w:rPr>
                <w:rFonts w:ascii="Arial" w:cs="Arial" w:eastAsia="Arial" w:hAnsi="Arial"/>
                <w:sz w:val="18"/>
                <w:szCs w:val="18"/>
                <w:color w:val="333333"/>
              </w:rPr>
              <w:t>683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333333"/>
              </w:rPr>
              <w:t>$</w:t>
            </w:r>
          </w:p>
        </w:tc>
        <w:tc>
          <w:tcPr>
            <w:tcW w:w="760" w:type="dxa"/>
            <w:vAlign w:val="bottom"/>
          </w:tcPr>
          <w:p>
            <w:pPr>
              <w:jc w:val="right"/>
              <w:spacing w:after="0"/>
              <w:rPr>
                <w:sz w:val="20"/>
                <w:szCs w:val="20"/>
                <w:color w:val="auto"/>
              </w:rPr>
            </w:pPr>
            <w:r>
              <w:rPr>
                <w:rFonts w:ascii="Arial" w:cs="Arial" w:eastAsia="Arial" w:hAnsi="Arial"/>
                <w:sz w:val="18"/>
                <w:szCs w:val="18"/>
                <w:color w:val="333333"/>
              </w:rPr>
              <w:t>791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33333"/>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406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694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33333"/>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Operations and maintenance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33333"/>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250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33333"/>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 and integration costs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Development costs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Gain on sale of business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1,406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1,353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33333"/>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Derivative interest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33333"/>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33333"/>
              </w:rPr>
              <w:t>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(43)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(32)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(137)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(77)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1,276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(1,222)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33333"/>
              </w:rPr>
              <w:t>84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80" w:type="dxa"/>
            <w:vAlign w:val="bottom"/>
            <w:gridSpan w:val="2"/>
          </w:tcPr>
          <w:p>
            <w:pPr>
              <w:ind w:left="120"/>
              <w:spacing w:after="0" w:line="168" w:lineRule="exact"/>
              <w:rPr>
                <w:sz w:val="20"/>
                <w:szCs w:val="20"/>
                <w:color w:val="auto"/>
              </w:rPr>
            </w:pPr>
            <w:r>
              <w:rPr>
                <w:rFonts w:ascii="Arial" w:cs="Arial" w:eastAsia="Arial" w:hAnsi="Arial"/>
                <w:sz w:val="18"/>
                <w:szCs w:val="18"/>
                <w:color w:val="auto"/>
                <w:w w:val="94"/>
              </w:rPr>
              <w:t>Less: Net income attributable to noncontrolling interests and</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333333"/>
              </w:rPr>
              <w:t>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Clearway Energy,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9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Business metrics:</w:t>
            </w: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140"/>
              <w:spacing w:after="0" w:line="236" w:lineRule="exact"/>
              <w:rPr>
                <w:sz w:val="20"/>
                <w:szCs w:val="20"/>
                <w:color w:val="auto"/>
              </w:rPr>
            </w:pPr>
            <w:r>
              <w:rPr>
                <w:rFonts w:ascii="Arial" w:cs="Arial" w:eastAsia="Arial" w:hAnsi="Arial"/>
                <w:sz w:val="18"/>
                <w:szCs w:val="18"/>
                <w:color w:val="auto"/>
              </w:rPr>
              <w:t xml:space="preserve">Solar MWh generated/sold (in thousands) </w:t>
            </w:r>
            <w:r>
              <w:rPr>
                <w:rFonts w:ascii="Arial" w:cs="Arial" w:eastAsia="Arial" w:hAnsi="Arial"/>
                <w:sz w:val="23"/>
                <w:szCs w:val="23"/>
                <w:color w:val="auto"/>
                <w:vertAlign w:val="superscript"/>
              </w:rPr>
              <w:t>(a)</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1,544</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1,538</w:t>
            </w:r>
          </w:p>
        </w:tc>
        <w:tc>
          <w:tcPr>
            <w:tcW w:w="152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2,410</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Wind MWh generated/sold (in thousands) </w:t>
            </w:r>
            <w:r>
              <w:rPr>
                <w:rFonts w:ascii="Arial" w:cs="Arial" w:eastAsia="Arial" w:hAnsi="Arial"/>
                <w:sz w:val="23"/>
                <w:szCs w:val="23"/>
                <w:color w:val="auto"/>
                <w:vertAlign w:val="superscript"/>
              </w:rPr>
              <w:t>(a)</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2,433</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2,878</w:t>
            </w:r>
          </w:p>
        </w:tc>
        <w:tc>
          <w:tcPr>
            <w:tcW w:w="1520" w:type="dxa"/>
            <w:vAlign w:val="bottom"/>
            <w:gridSpan w:val="2"/>
          </w:tcPr>
          <w:p>
            <w:pPr>
              <w:jc w:val="right"/>
              <w:ind w:right="117"/>
              <w:spacing w:after="0"/>
              <w:rPr>
                <w:sz w:val="20"/>
                <w:szCs w:val="20"/>
                <w:color w:val="auto"/>
              </w:rPr>
            </w:pPr>
            <w:r>
              <w:rPr>
                <w:rFonts w:ascii="Arial" w:cs="Arial" w:eastAsia="Arial" w:hAnsi="Arial"/>
                <w:sz w:val="18"/>
                <w:szCs w:val="18"/>
                <w:color w:val="auto"/>
              </w:rPr>
              <w:t>5,177</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14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7,587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ind w:left="20"/>
              <w:spacing w:after="0" w:line="257" w:lineRule="exact"/>
              <w:rPr>
                <w:sz w:val="20"/>
                <w:szCs w:val="20"/>
                <w:color w:val="auto"/>
              </w:rPr>
            </w:pPr>
            <w:r>
              <w:rPr>
                <w:rFonts w:ascii="Arial" w:cs="Arial" w:eastAsia="Arial" w:hAnsi="Arial"/>
                <w:sz w:val="18"/>
                <w:szCs w:val="18"/>
                <w:color w:val="auto"/>
              </w:rPr>
              <w:t xml:space="preserve">Thermal MWt sold (in thousands) </w:t>
            </w:r>
            <w:r>
              <w:rPr>
                <w:rFonts w:ascii="Arial" w:cs="Arial" w:eastAsia="Arial" w:hAnsi="Arial"/>
                <w:sz w:val="23"/>
                <w:szCs w:val="23"/>
                <w:color w:val="auto"/>
                <w:vertAlign w:val="superscript"/>
              </w:rPr>
              <w:t>(b)</w:t>
            </w:r>
          </w:p>
        </w:tc>
        <w:tc>
          <w:tcPr>
            <w:tcW w:w="1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Borders>
              <w:top w:val="single" w:sz="8" w:color="CCEEFF"/>
            </w:tcBorders>
            <w:vMerge w:val="continue"/>
          </w:tcPr>
          <w:p>
            <w:pPr>
              <w:spacing w:after="0"/>
              <w:rPr>
                <w:sz w:val="18"/>
                <w:szCs w:val="18"/>
                <w:color w:val="auto"/>
              </w:rPr>
            </w:pPr>
          </w:p>
        </w:tc>
        <w:tc>
          <w:tcPr>
            <w:tcW w:w="14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3"/>
                <w:szCs w:val="23"/>
                <w:color w:val="auto"/>
                <w:vertAlign w:val="superscript"/>
              </w:rPr>
              <w:t>(b)</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(c)</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139</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289</w:t>
            </w:r>
          </w:p>
        </w:tc>
        <w:tc>
          <w:tcPr>
            <w:tcW w:w="1520" w:type="dxa"/>
            <w:vAlign w:val="bottom"/>
            <w:gridSpan w:val="2"/>
          </w:tcPr>
          <w:p>
            <w:pPr>
              <w:jc w:val="right"/>
              <w:ind w:right="117"/>
              <w:spacing w:after="0"/>
              <w:rPr>
                <w:sz w:val="20"/>
                <w:szCs w:val="20"/>
                <w:color w:val="auto"/>
              </w:rPr>
            </w:pPr>
            <w:r>
              <w:rPr>
                <w:rFonts w:ascii="Arial" w:cs="Arial" w:eastAsia="Arial" w:hAnsi="Arial"/>
                <w:sz w:val="18"/>
                <w:szCs w:val="18"/>
                <w:color w:val="auto"/>
              </w:rPr>
              <w:t>227</w:t>
            </w:r>
          </w:p>
        </w:tc>
        <w:tc>
          <w:tcPr>
            <w:tcW w:w="1560" w:type="dxa"/>
            <w:vAlign w:val="bottom"/>
            <w:gridSpan w:val="2"/>
          </w:tcPr>
          <w:p>
            <w:pPr>
              <w:jc w:val="right"/>
              <w:ind w:right="136"/>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88.3 %</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8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93" w:lineRule="exact"/>
        <w:rPr>
          <w:sz w:val="20"/>
          <w:szCs w:val="20"/>
          <w:color w:val="auto"/>
        </w:rPr>
      </w:pPr>
    </w:p>
    <w:p>
      <w:pPr>
        <w:ind w:left="240" w:hanging="151"/>
        <w:spacing w:after="0"/>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5" w:lineRule="exact"/>
        <w:rPr>
          <w:rFonts w:ascii="Arial" w:cs="Arial" w:eastAsia="Arial" w:hAnsi="Arial"/>
          <w:sz w:val="18"/>
          <w:szCs w:val="18"/>
          <w:color w:val="auto"/>
          <w:vertAlign w:val="superscript"/>
        </w:rPr>
      </w:pPr>
    </w:p>
    <w:p>
      <w:pPr>
        <w:ind w:left="260" w:hanging="171"/>
        <w:spacing w:after="0" w:line="186" w:lineRule="auto"/>
        <w:tabs>
          <w:tab w:leader="none" w:pos="260"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On May 1, 2022, the Company completed the sale of 100% of its interests in the Thermal Business to KKR.</w:t>
      </w:r>
    </w:p>
    <w:p>
      <w:pPr>
        <w:spacing w:after="0" w:line="6" w:lineRule="exact"/>
        <w:rPr>
          <w:rFonts w:ascii="Arial" w:cs="Arial" w:eastAsia="Arial" w:hAnsi="Arial"/>
          <w:sz w:val="19"/>
          <w:szCs w:val="19"/>
          <w:color w:val="auto"/>
          <w:vertAlign w:val="superscript"/>
        </w:rPr>
      </w:pPr>
    </w:p>
    <w:p>
      <w:pPr>
        <w:ind w:left="240" w:hanging="151"/>
        <w:spacing w:after="0" w:line="186" w:lineRule="auto"/>
        <w:tabs>
          <w:tab w:leader="none" w:pos="240"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Volumes generated in 2022 were not sold as the Conventional facilities sold only capacity rather than energy prior to 2023.</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300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2023 and 2022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$38 million during the three months ended June 30, 2023, compared to the same period in 2022, due to a combination of the drivers summarized in the table below:</w:t>
      </w:r>
    </w:p>
    <w:p>
      <w:pPr>
        <w:spacing w:after="0" w:line="49" w:lineRule="exact"/>
        <w:rPr>
          <w:sz w:val="20"/>
          <w:szCs w:val="20"/>
          <w:color w:val="auto"/>
        </w:rPr>
      </w:pPr>
    </w:p>
    <w:p>
      <w:pPr>
        <w:ind w:left="1012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20320</wp:posOffset>
            </wp:positionV>
            <wp:extent cx="883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340" w:type="dxa"/>
            <w:vAlign w:val="bottom"/>
          </w:tcPr>
          <w:p>
            <w:pPr>
              <w:ind w:left="160"/>
              <w:spacing w:after="0"/>
              <w:rPr>
                <w:sz w:val="20"/>
                <w:szCs w:val="20"/>
                <w:color w:val="auto"/>
              </w:rPr>
            </w:pPr>
            <w:r>
              <w:rPr>
                <w:rFonts w:ascii="Arial" w:cs="Arial" w:eastAsia="Arial" w:hAnsi="Arial"/>
                <w:sz w:val="18"/>
                <w:szCs w:val="18"/>
                <w:color w:val="auto"/>
                <w:w w:val="93"/>
              </w:rPr>
              <w:t>Decrease driven primarily by lower than average wind production in 2023, compared with higher</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than average wind production in 2022.</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w w:val="98"/>
              </w:rPr>
              <w:t>Increase driven primarily by the acquisition of the Capistrano Wind Portfolio in August 2022.</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7340" w:type="dxa"/>
            <w:vAlign w:val="bottom"/>
          </w:tcPr>
          <w:p>
            <w:pPr>
              <w:ind w:left="160"/>
              <w:spacing w:after="0" w:line="189" w:lineRule="exact"/>
              <w:rPr>
                <w:sz w:val="20"/>
                <w:szCs w:val="20"/>
                <w:color w:val="auto"/>
              </w:rPr>
            </w:pPr>
            <w:r>
              <w:rPr>
                <w:rFonts w:ascii="Arial" w:cs="Arial" w:eastAsia="Arial" w:hAnsi="Arial"/>
                <w:sz w:val="18"/>
                <w:szCs w:val="18"/>
                <w:color w:val="auto"/>
              </w:rPr>
              <w:t>Increase for solar acquisitions driven by Mililani I and Waiawa, which reached commercial</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8"/>
                <w:szCs w:val="18"/>
                <w:color w:val="auto"/>
                <w:w w:val="94"/>
              </w:rPr>
              <w:t>operations in July 2022 and January 2023, respectively, offset by the disposition of Kawailoa in</w:t>
            </w:r>
          </w:p>
        </w:tc>
        <w:tc>
          <w:tcPr>
            <w:tcW w:w="0" w:type="dxa"/>
            <w:vAlign w:val="bottom"/>
          </w:tcPr>
          <w:p>
            <w:pPr>
              <w:spacing w:after="0"/>
              <w:rPr>
                <w:sz w:val="1"/>
                <w:szCs w:val="1"/>
                <w:color w:val="auto"/>
              </w:rPr>
            </w:pPr>
          </w:p>
        </w:tc>
      </w:tr>
      <w:tr>
        <w:trPr>
          <w:trHeight w:val="229"/>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340" w:type="dxa"/>
            <w:vAlign w:val="bottom"/>
          </w:tcPr>
          <w:p>
            <w:pPr>
              <w:ind w:left="160"/>
              <w:spacing w:after="0"/>
              <w:rPr>
                <w:sz w:val="20"/>
                <w:szCs w:val="20"/>
                <w:color w:val="auto"/>
              </w:rPr>
            </w:pPr>
            <w:r>
              <w:rPr>
                <w:rFonts w:ascii="Arial" w:cs="Arial" w:eastAsia="Arial" w:hAnsi="Arial"/>
                <w:sz w:val="18"/>
                <w:szCs w:val="18"/>
                <w:color w:val="auto"/>
              </w:rPr>
              <w:t>August 2022.</w:t>
            </w: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340" w:type="dxa"/>
            <w:vAlign w:val="bottom"/>
          </w:tcPr>
          <w:p>
            <w:pPr>
              <w:ind w:left="160"/>
              <w:spacing w:after="0" w:line="189" w:lineRule="exact"/>
              <w:rPr>
                <w:sz w:val="20"/>
                <w:szCs w:val="20"/>
                <w:color w:val="auto"/>
              </w:rPr>
            </w:pPr>
            <w:r>
              <w:rPr>
                <w:rFonts w:ascii="Arial" w:cs="Arial" w:eastAsia="Arial" w:hAnsi="Arial"/>
                <w:sz w:val="18"/>
                <w:szCs w:val="18"/>
                <w:color w:val="auto"/>
                <w:w w:val="96"/>
              </w:rPr>
              <w:t>Increase driven by the sales-type lease revenue recognition of the Marsh Landing Black Start</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addition that commenced operations on May 31, 2023.</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8"/>
                <w:szCs w:val="18"/>
                <w:color w:val="auto"/>
                <w:w w:val="93"/>
              </w:rPr>
              <w:t>Increase at El Segundo facility primarily driven by higher availability due to the timing of the 2023</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annual planned maintenance outages.</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7340" w:type="dxa"/>
            <w:vAlign w:val="bottom"/>
          </w:tcPr>
          <w:p>
            <w:pPr>
              <w:ind w:left="160"/>
              <w:spacing w:after="0" w:line="189" w:lineRule="exact"/>
              <w:rPr>
                <w:sz w:val="20"/>
                <w:szCs w:val="20"/>
                <w:color w:val="auto"/>
              </w:rPr>
            </w:pPr>
            <w:r>
              <w:rPr>
                <w:rFonts w:ascii="Arial" w:cs="Arial" w:eastAsia="Arial" w:hAnsi="Arial"/>
                <w:sz w:val="18"/>
                <w:szCs w:val="18"/>
                <w:color w:val="auto"/>
                <w:w w:val="99"/>
              </w:rPr>
              <w:t>Decrease at Walnut Creek and Marsh Landing facilities primarily driven by lower prices for</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7340" w:type="dxa"/>
            <w:vAlign w:val="bottom"/>
          </w:tcPr>
          <w:p>
            <w:pPr>
              <w:ind w:left="160"/>
              <w:spacing w:after="0" w:line="176" w:lineRule="exact"/>
              <w:rPr>
                <w:sz w:val="20"/>
                <w:szCs w:val="20"/>
                <w:color w:val="auto"/>
              </w:rPr>
            </w:pPr>
            <w:r>
              <w:rPr>
                <w:rFonts w:ascii="Arial" w:cs="Arial" w:eastAsia="Arial" w:hAnsi="Arial"/>
                <w:sz w:val="18"/>
                <w:szCs w:val="18"/>
                <w:color w:val="auto"/>
                <w:w w:val="91"/>
              </w:rPr>
              <w:t>capacity revenue due to the expiring PPAs during the second quarter of 2023 and commencement</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of RA capacity revenue.</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8"/>
                <w:szCs w:val="18"/>
                <w:b w:val="1"/>
                <w:bCs w:val="1"/>
                <w:color w:val="auto"/>
              </w:rPr>
              <w:t>Thermal Segment</w:t>
            </w:r>
          </w:p>
        </w:tc>
        <w:tc>
          <w:tcPr>
            <w:tcW w:w="7340" w:type="dxa"/>
            <w:vAlign w:val="bottom"/>
          </w:tcPr>
          <w:p>
            <w:pPr>
              <w:ind w:left="160"/>
              <w:spacing w:after="0"/>
              <w:rPr>
                <w:sz w:val="20"/>
                <w:szCs w:val="20"/>
                <w:color w:val="auto"/>
              </w:rPr>
            </w:pPr>
            <w:r>
              <w:rPr>
                <w:rFonts w:ascii="Arial" w:cs="Arial" w:eastAsia="Arial" w:hAnsi="Arial"/>
                <w:sz w:val="18"/>
                <w:szCs w:val="18"/>
                <w:color w:val="auto"/>
              </w:rPr>
              <w:t>Decrease in revenue due to the sale of the Thermal business on May 1, 2022.</w:t>
            </w:r>
          </w:p>
        </w:tc>
        <w:tc>
          <w:tcPr>
            <w:tcW w:w="0" w:type="dxa"/>
            <w:vAlign w:val="bottom"/>
          </w:tcPr>
          <w:p>
            <w:pPr>
              <w:spacing w:after="0"/>
              <w:rPr>
                <w:sz w:val="1"/>
                <w:szCs w:val="1"/>
                <w:color w:val="auto"/>
              </w:rPr>
            </w:pPr>
          </w:p>
        </w:tc>
      </w:tr>
      <w:tr>
        <w:trPr>
          <w:trHeight w:val="180"/>
        </w:trPr>
        <w:tc>
          <w:tcPr>
            <w:tcW w:w="2480" w:type="dxa"/>
            <w:vAlign w:val="bottom"/>
          </w:tcPr>
          <w:p>
            <w:pPr>
              <w:spacing w:after="0" w:line="181" w:lineRule="exact"/>
              <w:rPr>
                <w:sz w:val="20"/>
                <w:szCs w:val="20"/>
                <w:color w:val="auto"/>
              </w:rPr>
            </w:pPr>
            <w:r>
              <w:rPr>
                <w:rFonts w:ascii="Arial" w:cs="Arial" w:eastAsia="Arial" w:hAnsi="Arial"/>
                <w:sz w:val="18"/>
                <w:szCs w:val="18"/>
                <w:b w:val="1"/>
                <w:bCs w:val="1"/>
                <w:color w:val="auto"/>
                <w:w w:val="99"/>
              </w:rPr>
              <w:t>Mark-to-market for economic</w:t>
            </w:r>
          </w:p>
        </w:tc>
        <w:tc>
          <w:tcPr>
            <w:tcW w:w="7340" w:type="dxa"/>
            <w:vAlign w:val="bottom"/>
          </w:tcPr>
          <w:p>
            <w:pPr>
              <w:ind w:left="160"/>
              <w:spacing w:after="0" w:line="181" w:lineRule="exact"/>
              <w:rPr>
                <w:sz w:val="20"/>
                <w:szCs w:val="20"/>
                <w:color w:val="auto"/>
              </w:rPr>
            </w:pPr>
            <w:r>
              <w:rPr>
                <w:rFonts w:ascii="Arial" w:cs="Arial" w:eastAsia="Arial" w:hAnsi="Arial"/>
                <w:sz w:val="18"/>
                <w:szCs w:val="18"/>
                <w:color w:val="auto"/>
                <w:w w:val="93"/>
              </w:rPr>
              <w:t>Increase primarily driven by decreases in forward power prices in the ERCOT and PJM markets.</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hedges</w:t>
            </w:r>
          </w:p>
        </w:tc>
        <w:tc>
          <w:tcPr>
            <w:tcW w:w="7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80" w:type="dxa"/>
            <w:vAlign w:val="bottom"/>
          </w:tcPr>
          <w:p>
            <w:pPr>
              <w:spacing w:after="0" w:line="184" w:lineRule="exact"/>
              <w:rPr>
                <w:sz w:val="20"/>
                <w:szCs w:val="20"/>
                <w:color w:val="auto"/>
              </w:rPr>
            </w:pPr>
            <w:r>
              <w:rPr>
                <w:rFonts w:ascii="Arial" w:cs="Arial" w:eastAsia="Arial" w:hAnsi="Arial"/>
                <w:sz w:val="18"/>
                <w:szCs w:val="18"/>
                <w:b w:val="1"/>
                <w:bCs w:val="1"/>
                <w:color w:val="auto"/>
              </w:rPr>
              <w:t>Contract amortization</w:t>
            </w:r>
          </w:p>
        </w:tc>
        <w:tc>
          <w:tcPr>
            <w:tcW w:w="7340" w:type="dxa"/>
            <w:vAlign w:val="bottom"/>
          </w:tcPr>
          <w:p>
            <w:pPr>
              <w:ind w:left="160"/>
              <w:spacing w:after="0" w:line="184" w:lineRule="exact"/>
              <w:rPr>
                <w:sz w:val="20"/>
                <w:szCs w:val="20"/>
                <w:color w:val="auto"/>
              </w:rPr>
            </w:pPr>
            <w:r>
              <w:rPr>
                <w:rFonts w:ascii="Arial" w:cs="Arial" w:eastAsia="Arial" w:hAnsi="Arial"/>
                <w:sz w:val="18"/>
                <w:szCs w:val="18"/>
                <w:color w:val="auto"/>
                <w:w w:val="91"/>
              </w:rPr>
              <w:t>Increase primarily driven by amortization of the intangible assets of PPAs related to the acquisition</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of the Capistrano Wind Portfolio in August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-2357120</wp:posOffset>
            </wp:positionV>
            <wp:extent cx="7132320"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713232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49" w:hanging="1049"/>
        <w:spacing w:after="0"/>
        <w:tabs>
          <w:tab w:leader="none" w:pos="10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(46)</w:t>
      </w:r>
    </w:p>
    <w:p>
      <w:pPr>
        <w:spacing w:after="0" w:line="46" w:lineRule="exact"/>
        <w:rPr>
          <w:rFonts w:ascii="Arial" w:cs="Arial" w:eastAsia="Arial" w:hAnsi="Arial"/>
          <w:sz w:val="16"/>
          <w:szCs w:val="16"/>
          <w:color w:val="auto"/>
        </w:rPr>
      </w:pPr>
    </w:p>
    <w:p>
      <w:pPr>
        <w:ind w:left="1109"/>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386" w:lineRule="exact"/>
        <w:rPr>
          <w:sz w:val="20"/>
          <w:szCs w:val="20"/>
          <w:color w:val="auto"/>
        </w:rPr>
      </w:pPr>
    </w:p>
    <w:p>
      <w:pPr>
        <w:ind w:left="1209"/>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ind w:left="1109"/>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left="1209"/>
        <w:spacing w:after="0"/>
        <w:rPr>
          <w:sz w:val="20"/>
          <w:szCs w:val="20"/>
          <w:color w:val="auto"/>
        </w:rPr>
      </w:pPr>
      <w:r>
        <w:rPr>
          <w:rFonts w:ascii="Arial" w:cs="Arial" w:eastAsia="Arial" w:hAnsi="Arial"/>
          <w:sz w:val="18"/>
          <w:szCs w:val="18"/>
          <w:color w:val="auto"/>
        </w:rPr>
        <w:t>6</w:t>
      </w:r>
    </w:p>
    <w:p>
      <w:pPr>
        <w:spacing w:after="0" w:line="387" w:lineRule="exact"/>
        <w:rPr>
          <w:sz w:val="20"/>
          <w:szCs w:val="20"/>
          <w:color w:val="auto"/>
        </w:rPr>
      </w:pPr>
    </w:p>
    <w:p>
      <w:pPr>
        <w:ind w:left="1049"/>
        <w:spacing w:after="0"/>
        <w:rPr>
          <w:sz w:val="20"/>
          <w:szCs w:val="20"/>
          <w:color w:val="auto"/>
        </w:rPr>
      </w:pPr>
      <w:r>
        <w:rPr>
          <w:rFonts w:ascii="Arial" w:cs="Arial" w:eastAsia="Arial" w:hAnsi="Arial"/>
          <w:sz w:val="16"/>
          <w:szCs w:val="16"/>
          <w:color w:val="auto"/>
        </w:rPr>
        <w:t>(15)</w:t>
      </w:r>
    </w:p>
    <w:p>
      <w:pPr>
        <w:spacing w:after="0" w:line="59" w:lineRule="exact"/>
        <w:rPr>
          <w:sz w:val="20"/>
          <w:szCs w:val="20"/>
          <w:color w:val="auto"/>
        </w:rPr>
      </w:pPr>
    </w:p>
    <w:p>
      <w:pPr>
        <w:ind w:left="1049"/>
        <w:spacing w:after="0"/>
        <w:rPr>
          <w:sz w:val="20"/>
          <w:szCs w:val="20"/>
          <w:color w:val="auto"/>
        </w:rPr>
      </w:pPr>
      <w:r>
        <w:rPr>
          <w:rFonts w:ascii="Arial" w:cs="Arial" w:eastAsia="Arial" w:hAnsi="Arial"/>
          <w:sz w:val="16"/>
          <w:szCs w:val="16"/>
          <w:color w:val="auto"/>
        </w:rPr>
        <w:t>(18)</w:t>
      </w:r>
    </w:p>
    <w:p>
      <w:pPr>
        <w:spacing w:after="0" w:line="221" w:lineRule="exact"/>
        <w:rPr>
          <w:sz w:val="20"/>
          <w:szCs w:val="20"/>
          <w:color w:val="auto"/>
        </w:rPr>
      </w:pPr>
    </w:p>
    <w:p>
      <w:pPr>
        <w:ind w:left="1109"/>
        <w:spacing w:after="0"/>
        <w:rPr>
          <w:sz w:val="20"/>
          <w:szCs w:val="20"/>
          <w:color w:val="auto"/>
        </w:rPr>
      </w:pPr>
      <w:r>
        <w:rPr>
          <w:rFonts w:ascii="Arial" w:cs="Arial" w:eastAsia="Arial" w:hAnsi="Arial"/>
          <w:sz w:val="18"/>
          <w:szCs w:val="18"/>
          <w:color w:val="auto"/>
        </w:rPr>
        <w:t>78</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8832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 w:lineRule="exact"/>
        <w:rPr>
          <w:sz w:val="20"/>
          <w:szCs w:val="20"/>
          <w:color w:val="auto"/>
        </w:rPr>
      </w:pPr>
    </w:p>
    <w:p>
      <w:pPr>
        <w:ind w:left="1109" w:hanging="1109"/>
        <w:spacing w:after="0"/>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883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328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40640</wp:posOffset>
            </wp:positionV>
            <wp:extent cx="883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31"/>
            <w:col w:w="1369"/>
          </w:cols>
          <w:pgMar w:left="320" w:top="1093"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Cost of fuels increased by $9 million during the three months ended June 30, 2023, compared to the same period in 2022, due to a $15 million increase for the Conventional segment primarily due to the associated costs of the sales-type lease recognition of the Marsh Landing Black Start addition that commenced operations on May 31, 2023, as further described in Note 2, </w:t>
      </w:r>
      <w:r>
        <w:rPr>
          <w:rFonts w:ascii="Arial" w:cs="Arial" w:eastAsia="Arial" w:hAnsi="Arial"/>
          <w:sz w:val="18"/>
          <w:szCs w:val="18"/>
          <w:i w:val="1"/>
          <w:iCs w:val="1"/>
          <w:color w:val="auto"/>
        </w:rPr>
        <w:t>Summary of Significant Accounting Policie</w:t>
      </w:r>
      <w:r>
        <w:rPr>
          <w:rFonts w:ascii="Arial" w:cs="Arial" w:eastAsia="Arial" w:hAnsi="Arial"/>
          <w:sz w:val="18"/>
          <w:szCs w:val="18"/>
          <w:color w:val="auto"/>
        </w:rPr>
        <w:t>s, offset by a $6 million decrease driven by the sale of the Thermal Business on May 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2022, the Company completed the sale of 100% of its interests in the Thermal Business to KKR, resulting in a gain on sale of business of approximately $1.29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affiliates decreased by $7 million during the three months ended June 30, 2023, compared to the same period in 2022, primarily due to the change in fair value of interest rate swaps, as well as lower wind production.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$8 million during the three months ended June 30, 2023, compared to the same period in 2022,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rPr>
              <w:t>Decrease in interest expense due to decreased principal balances of project-level debt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expense due to the sale of the Thermal Business on May 1, 2022</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9840" w:type="dxa"/>
            <w:vAlign w:val="bottom"/>
          </w:tcPr>
          <w:p>
            <w:pPr>
              <w:ind w:left="20"/>
              <w:spacing w:after="0" w:line="176" w:lineRule="exact"/>
              <w:rPr>
                <w:sz w:val="20"/>
                <w:szCs w:val="20"/>
                <w:color w:val="auto"/>
              </w:rPr>
            </w:pPr>
            <w:r>
              <w:rPr>
                <w:rFonts w:ascii="Arial" w:cs="Arial" w:eastAsia="Arial" w:hAnsi="Arial"/>
                <w:sz w:val="18"/>
                <w:szCs w:val="18"/>
                <w:color w:val="auto"/>
              </w:rPr>
              <w:t>Decrease in interest expense due to decreased principal balances of Corporate debt, which includes repayment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40" w:type="dxa"/>
            <w:vAlign w:val="bottom"/>
          </w:tcPr>
          <w:p>
            <w:pPr>
              <w:ind w:left="20"/>
              <w:spacing w:after="0" w:line="189" w:lineRule="exact"/>
              <w:rPr>
                <w:sz w:val="20"/>
                <w:szCs w:val="20"/>
                <w:color w:val="auto"/>
              </w:rPr>
            </w:pPr>
            <w:r>
              <w:rPr>
                <w:rFonts w:ascii="Arial" w:cs="Arial" w:eastAsia="Arial" w:hAnsi="Arial"/>
                <w:sz w:val="18"/>
                <w:szCs w:val="18"/>
                <w:color w:val="auto"/>
              </w:rPr>
              <w:t>of the outstanding borrowings under the Bridge Loan Agreement and the revolving credit facility on May 3,</w:t>
            </w:r>
          </w:p>
        </w:tc>
        <w:tc>
          <w:tcPr>
            <w:tcW w:w="2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98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June 30, 2023, the Company recorded an income tax expense of $22 million on pretax income of $106 million. For the same period in 2022, the Company recorded an income tax expense of $225 million on pretax income of $1.37 billion. The $203 million decrease in income tax expense is primarily driven by the sale of the Thermal Business on May 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 and Redeemable Noncontrolling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June 30, 2023, the Company had net income of $46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r>
      <w:tr>
        <w:trPr>
          <w:trHeight w:val="23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89"/>
              </w:rPr>
              <w:t>46</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200" w:type="dxa"/>
            <w:vAlign w:val="bottom"/>
          </w:tcPr>
          <w:p>
            <w:pPr>
              <w:spacing w:after="0"/>
              <w:rPr>
                <w:sz w:val="19"/>
                <w:szCs w:val="19"/>
                <w:color w:val="auto"/>
              </w:rPr>
            </w:pPr>
          </w:p>
        </w:tc>
        <w:tc>
          <w:tcPr>
            <w:tcW w:w="1200" w:type="dxa"/>
            <w:vAlign w:val="bottom"/>
          </w:tcPr>
          <w:p>
            <w:pPr>
              <w:jc w:val="center"/>
              <w:ind w:left="792"/>
              <w:spacing w:after="0"/>
              <w:rPr>
                <w:sz w:val="20"/>
                <w:szCs w:val="20"/>
                <w:color w:val="auto"/>
              </w:rPr>
            </w:pPr>
            <w:r>
              <w:rPr>
                <w:rFonts w:ascii="Arial" w:cs="Arial" w:eastAsia="Arial" w:hAnsi="Arial"/>
                <w:sz w:val="18"/>
                <w:szCs w:val="18"/>
                <w:color w:val="auto"/>
                <w:w w:val="79"/>
              </w:rPr>
              <w:t>11</w:t>
            </w:r>
          </w:p>
        </w:tc>
      </w:tr>
      <w:tr>
        <w:trPr>
          <w:trHeight w:val="23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3"/>
              </w:rPr>
              <w:t>(11)</w:t>
            </w:r>
          </w:p>
        </w:tc>
      </w:tr>
      <w:tr>
        <w:trPr>
          <w:trHeight w:val="230"/>
        </w:trPr>
        <w:tc>
          <w:tcPr>
            <w:tcW w:w="98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89"/>
              </w:rPr>
              <w:t>46</w:t>
            </w:r>
          </w:p>
        </w:tc>
      </w:tr>
      <w:tr>
        <w:trPr>
          <w:trHeight w:val="27"/>
        </w:trPr>
        <w:tc>
          <w:tcPr>
            <w:tcW w:w="9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June 30, 2022, the Company had net income of $579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4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231F20"/>
              </w:rPr>
              <w:t>40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9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Management’s Discussion of the Results of Operations for the Six Months Ended June 30, 2023 and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Operating revenues increased by $112 million during the six months ended June 30, 2023, compared to the same period in 2022, due to a combination of the drivers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72"/>
        </w:trPr>
        <w:tc>
          <w:tcPr>
            <w:tcW w:w="22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Renewables Segment</w:t>
            </w:r>
          </w:p>
        </w:tc>
        <w:tc>
          <w:tcPr>
            <w:tcW w:w="7820" w:type="dxa"/>
            <w:vAlign w:val="bottom"/>
            <w:gridSpan w:val="3"/>
            <w:shd w:val="clear" w:color="auto" w:fill="CCEEFF"/>
          </w:tcPr>
          <w:p>
            <w:pPr>
              <w:ind w:left="440"/>
              <w:spacing w:after="0" w:line="172" w:lineRule="exact"/>
              <w:rPr>
                <w:sz w:val="20"/>
                <w:szCs w:val="20"/>
                <w:color w:val="auto"/>
              </w:rPr>
            </w:pPr>
            <w:r>
              <w:rPr>
                <w:rFonts w:ascii="Arial" w:cs="Arial" w:eastAsia="Arial" w:hAnsi="Arial"/>
                <w:sz w:val="18"/>
                <w:szCs w:val="18"/>
                <w:color w:val="auto"/>
                <w:w w:val="98"/>
              </w:rPr>
              <w:t>Decrease driven primarily by lower than average wind production during the second quarter of</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spacing w:after="0"/>
              <w:rPr>
                <w:sz w:val="19"/>
                <w:szCs w:val="19"/>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2023, compared with higher than average wind production during the second quarter of 2022.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Decrease driven primarily by lower solar generation due to weather.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Increase driven primarily by the acquisition of the Capistrano Wind Portfolio in August 2022.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7820" w:type="dxa"/>
            <w:vAlign w:val="bottom"/>
            <w:gridSpan w:val="3"/>
          </w:tcPr>
          <w:p>
            <w:pPr>
              <w:ind w:left="440"/>
              <w:spacing w:after="0" w:line="176" w:lineRule="exact"/>
              <w:rPr>
                <w:sz w:val="20"/>
                <w:szCs w:val="20"/>
                <w:color w:val="auto"/>
              </w:rPr>
            </w:pPr>
            <w:r>
              <w:rPr>
                <w:rFonts w:ascii="Arial" w:cs="Arial" w:eastAsia="Arial" w:hAnsi="Arial"/>
                <w:sz w:val="18"/>
                <w:szCs w:val="18"/>
                <w:color w:val="auto"/>
              </w:rPr>
              <w:t>Increase for solar acquisitions driven by Mililani I and Waiawa, which reached commercial</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7820" w:type="dxa"/>
            <w:vAlign w:val="bottom"/>
            <w:gridSpan w:val="3"/>
          </w:tcPr>
          <w:p>
            <w:pPr>
              <w:ind w:left="440"/>
              <w:spacing w:after="0" w:line="176" w:lineRule="exact"/>
              <w:rPr>
                <w:sz w:val="20"/>
                <w:szCs w:val="20"/>
                <w:color w:val="auto"/>
              </w:rPr>
            </w:pPr>
            <w:r>
              <w:rPr>
                <w:rFonts w:ascii="Arial" w:cs="Arial" w:eastAsia="Arial" w:hAnsi="Arial"/>
                <w:sz w:val="18"/>
                <w:szCs w:val="18"/>
                <w:color w:val="auto"/>
                <w:w w:val="97"/>
              </w:rPr>
              <w:t>operations in July 2022 and January 2023, respectively, offset by the disposition of Kawailoa in</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August 2022.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Conventional Segment</w:t>
            </w:r>
          </w:p>
        </w:tc>
        <w:tc>
          <w:tcPr>
            <w:tcW w:w="736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color w:val="auto"/>
                <w:w w:val="99"/>
              </w:rPr>
              <w:t>Decrease at Walnut Creek and Marsh Landing facilities primarily driven by lower prices</w:t>
            </w:r>
          </w:p>
        </w:tc>
        <w:tc>
          <w:tcPr>
            <w:tcW w:w="46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for</w:t>
            </w: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spacing w:after="0"/>
              <w:rPr>
                <w:sz w:val="15"/>
                <w:szCs w:val="15"/>
                <w:color w:val="auto"/>
              </w:rPr>
            </w:pPr>
          </w:p>
        </w:tc>
        <w:tc>
          <w:tcPr>
            <w:tcW w:w="7820" w:type="dxa"/>
            <w:vAlign w:val="bottom"/>
            <w:gridSpan w:val="3"/>
            <w:shd w:val="clear" w:color="auto" w:fill="CCEEFF"/>
          </w:tcPr>
          <w:p>
            <w:pPr>
              <w:ind w:left="440"/>
              <w:spacing w:after="0" w:line="176" w:lineRule="exact"/>
              <w:rPr>
                <w:sz w:val="20"/>
                <w:szCs w:val="20"/>
                <w:color w:val="auto"/>
              </w:rPr>
            </w:pPr>
            <w:r>
              <w:rPr>
                <w:rFonts w:ascii="Arial" w:cs="Arial" w:eastAsia="Arial" w:hAnsi="Arial"/>
                <w:sz w:val="18"/>
                <w:szCs w:val="18"/>
                <w:color w:val="auto"/>
                <w:w w:val="94"/>
              </w:rPr>
              <w:t>capacity revenue due to the expiring PPAs during the second quarter of 2023 and commencement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 RA capacity revenue.</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93" w:right="339" w:bottom="1440" w:gutter="0" w:footer="0" w:header="0"/>
        </w:sectPr>
      </w:pPr>
    </w:p>
    <w:p>
      <w:pPr>
        <w:ind w:left="2660"/>
        <w:spacing w:after="0" w:line="234" w:lineRule="auto"/>
        <w:rPr>
          <w:sz w:val="20"/>
          <w:szCs w:val="20"/>
          <w:color w:val="auto"/>
        </w:rPr>
      </w:pPr>
      <w:r>
        <w:rPr>
          <w:rFonts w:ascii="Arial" w:cs="Arial" w:eastAsia="Arial" w:hAnsi="Arial"/>
          <w:sz w:val="18"/>
          <w:szCs w:val="18"/>
          <w:color w:val="auto"/>
        </w:rPr>
        <w:t>Decrease driven by outages at the Walnut Creek and Marsh Landing facilities during the first quarter of 2023, resulting in lower capacity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660"/>
        <w:spacing w:after="0" w:line="242" w:lineRule="auto"/>
        <w:rPr>
          <w:sz w:val="20"/>
          <w:szCs w:val="20"/>
          <w:color w:val="auto"/>
        </w:rPr>
      </w:pPr>
      <w:r>
        <w:rPr>
          <w:rFonts w:ascii="Arial" w:cs="Arial" w:eastAsia="Arial" w:hAnsi="Arial"/>
          <w:sz w:val="18"/>
          <w:szCs w:val="18"/>
          <w:color w:val="auto"/>
        </w:rPr>
        <w:t>Decrease primarily driven by longer planned maintenance outages at the El Segundo facility in 2023.</w:t>
      </w:r>
    </w:p>
    <w:p>
      <w:pPr>
        <w:spacing w:after="0" w:line="1" w:lineRule="exact"/>
        <w:rPr>
          <w:sz w:val="20"/>
          <w:szCs w:val="20"/>
          <w:color w:val="auto"/>
        </w:rPr>
      </w:pPr>
    </w:p>
    <w:p>
      <w:pPr>
        <w:ind w:left="2660"/>
        <w:spacing w:after="0" w:line="234" w:lineRule="auto"/>
        <w:rPr>
          <w:sz w:val="20"/>
          <w:szCs w:val="20"/>
          <w:color w:val="auto"/>
        </w:rPr>
      </w:pPr>
      <w:r>
        <w:rPr>
          <w:rFonts w:ascii="Arial" w:cs="Arial" w:eastAsia="Arial" w:hAnsi="Arial"/>
          <w:sz w:val="18"/>
          <w:szCs w:val="18"/>
          <w:color w:val="auto"/>
        </w:rPr>
        <w:t>Increase driven by the sales-type lease revenue recognition of the Marsh Landing Black Start addition that commenced operations on May 31, 2023.</w:t>
      </w:r>
    </w:p>
    <w:p>
      <w:pPr>
        <w:spacing w:after="0" w:line="10" w:lineRule="exact"/>
        <w:rPr>
          <w:sz w:val="20"/>
          <w:szCs w:val="20"/>
          <w:color w:val="auto"/>
        </w:rPr>
      </w:pPr>
    </w:p>
    <w:p>
      <w:pPr>
        <w:ind w:left="20"/>
        <w:spacing w:after="0"/>
        <w:tabs>
          <w:tab w:leader="none" w:pos="2640" w:val="left"/>
        </w:tabs>
        <w:rPr>
          <w:sz w:val="20"/>
          <w:szCs w:val="20"/>
          <w:color w:val="auto"/>
        </w:rPr>
      </w:pPr>
      <w:r>
        <w:rPr>
          <w:rFonts w:ascii="Arial" w:cs="Arial" w:eastAsia="Arial" w:hAnsi="Arial"/>
          <w:sz w:val="18"/>
          <w:szCs w:val="18"/>
          <w:b w:val="1"/>
          <w:bCs w:val="1"/>
          <w:color w:val="auto"/>
        </w:rPr>
        <w:t>Thermal Segment</w:t>
      </w:r>
      <w:r>
        <w:rPr>
          <w:sz w:val="20"/>
          <w:szCs w:val="20"/>
          <w:color w:val="auto"/>
        </w:rPr>
        <w:tab/>
      </w:r>
      <w:r>
        <w:rPr>
          <w:rFonts w:ascii="Arial" w:cs="Arial" w:eastAsia="Arial" w:hAnsi="Arial"/>
          <w:sz w:val="16"/>
          <w:szCs w:val="16"/>
          <w:color w:val="auto"/>
        </w:rPr>
        <w:t>Decrease primarily driven by the sale of the Thermal Business on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tabs>
          <w:tab w:leader="none" w:pos="2640" w:val="left"/>
        </w:tabs>
        <w:rPr>
          <w:sz w:val="20"/>
          <w:szCs w:val="20"/>
          <w:color w:val="auto"/>
        </w:rPr>
      </w:pPr>
      <w:r>
        <w:rPr>
          <w:rFonts w:ascii="Arial" w:cs="Arial" w:eastAsia="Arial" w:hAnsi="Arial"/>
          <w:sz w:val="18"/>
          <w:szCs w:val="18"/>
          <w:b w:val="1"/>
          <w:bCs w:val="1"/>
          <w:color w:val="auto"/>
        </w:rPr>
        <w:t>Mark-to-market economic</w:t>
      </w:r>
      <w:r>
        <w:rPr>
          <w:sz w:val="20"/>
          <w:szCs w:val="20"/>
          <w:color w:val="auto"/>
        </w:rPr>
        <w:tab/>
      </w:r>
      <w:r>
        <w:rPr>
          <w:rFonts w:ascii="Arial" w:cs="Arial" w:eastAsia="Arial" w:hAnsi="Arial"/>
          <w:sz w:val="16"/>
          <w:szCs w:val="16"/>
          <w:color w:val="auto"/>
        </w:rPr>
        <w:t>Increase primarily driven by decreases in forward power prices in the ERCOT and PJM markets.</w:t>
      </w:r>
    </w:p>
    <w:p>
      <w:pPr>
        <w:ind w:left="20"/>
        <w:spacing w:after="0"/>
        <w:rPr>
          <w:sz w:val="20"/>
          <w:szCs w:val="20"/>
          <w:color w:val="auto"/>
        </w:rPr>
      </w:pPr>
      <w:r>
        <w:rPr>
          <w:rFonts w:ascii="Arial" w:cs="Arial" w:eastAsia="Arial" w:hAnsi="Arial"/>
          <w:sz w:val="18"/>
          <w:szCs w:val="18"/>
          <w:b w:val="1"/>
          <w:bCs w:val="1"/>
          <w:color w:val="auto"/>
        </w:rPr>
        <w:t>hedging activities</w:t>
      </w:r>
    </w:p>
    <w:p>
      <w:pPr>
        <w:spacing w:after="0" w:line="5" w:lineRule="exact"/>
        <w:rPr>
          <w:sz w:val="20"/>
          <w:szCs w:val="20"/>
          <w:color w:val="auto"/>
        </w:rPr>
      </w:pPr>
    </w:p>
    <w:p>
      <w:pPr>
        <w:ind w:left="20"/>
        <w:spacing w:after="0"/>
        <w:tabs>
          <w:tab w:leader="none" w:pos="2640" w:val="left"/>
        </w:tabs>
        <w:rPr>
          <w:sz w:val="20"/>
          <w:szCs w:val="20"/>
          <w:color w:val="auto"/>
        </w:rPr>
      </w:pPr>
      <w:r>
        <w:rPr>
          <w:rFonts w:ascii="Arial" w:cs="Arial" w:eastAsia="Arial" w:hAnsi="Arial"/>
          <w:sz w:val="18"/>
          <w:szCs w:val="18"/>
          <w:b w:val="1"/>
          <w:bCs w:val="1"/>
          <w:color w:val="auto"/>
        </w:rPr>
        <w:t>Contract amortization</w:t>
      </w:r>
      <w:r>
        <w:rPr>
          <w:sz w:val="20"/>
          <w:szCs w:val="20"/>
          <w:color w:val="auto"/>
        </w:rPr>
        <w:tab/>
      </w:r>
      <w:r>
        <w:rPr>
          <w:rFonts w:ascii="Arial" w:cs="Arial" w:eastAsia="Arial" w:hAnsi="Arial"/>
          <w:sz w:val="16"/>
          <w:szCs w:val="16"/>
          <w:color w:val="auto"/>
        </w:rPr>
        <w:t>Increase primarily driven by amortization of the intangible assets of PPAs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of the Capistrano Wind Portfolio in August 2022.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1109"/>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(77)</w:t>
      </w:r>
    </w:p>
    <w:p>
      <w:pPr>
        <w:spacing w:after="0" w:line="198" w:lineRule="exact"/>
        <w:rPr>
          <w:sz w:val="20"/>
          <w:szCs w:val="20"/>
          <w:color w:val="auto"/>
        </w:rPr>
      </w:pPr>
    </w:p>
    <w:p>
      <w:pPr>
        <w:ind w:left="1029"/>
        <w:spacing w:after="0"/>
        <w:rPr>
          <w:sz w:val="20"/>
          <w:szCs w:val="20"/>
          <w:color w:val="auto"/>
        </w:rPr>
      </w:pPr>
      <w:r>
        <w:rPr>
          <w:rFonts w:ascii="Arial" w:cs="Arial" w:eastAsia="Arial" w:hAnsi="Arial"/>
          <w:sz w:val="18"/>
          <w:szCs w:val="18"/>
          <w:color w:val="auto"/>
        </w:rPr>
        <w:t>223</w:t>
      </w: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832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6" w:lineRule="exact"/>
        <w:rPr>
          <w:sz w:val="20"/>
          <w:szCs w:val="20"/>
          <w:color w:val="auto"/>
        </w:rPr>
      </w:pPr>
    </w:p>
    <w:p>
      <w:pPr>
        <w:ind w:left="1029" w:hanging="1029"/>
        <w:spacing w:after="0"/>
        <w:tabs>
          <w:tab w:leader="none" w:pos="10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83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40640</wp:posOffset>
            </wp:positionV>
            <wp:extent cx="883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31"/>
            <w:col w:w="1369"/>
          </w:cols>
          <w:pgMar w:left="320" w:top="1093"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Fuels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Cost of fuels decreased by $13 million during the six months ended June 30, 2023, compared to the same period in 2022, due to the sale of the Thermal Business on May 1, 2022, which resulted in a decrease of $28 million, offset by a $15 million increase for the Conventional segment primarily due to the associated costs of the sales-type lease recognition of the Marsh Landing Black Start addition that commenced operations on May 31, 2023, as further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71"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Operations and maintenance expense increased by $7 million during the six months ended June 30, 2023, compared to the same period in 2022, due to a combination of the drivers summarized in the table below:</w:t>
      </w:r>
    </w:p>
    <w:p>
      <w:pPr>
        <w:ind w:left="1012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20320</wp:posOffset>
            </wp:positionV>
            <wp:extent cx="883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620" w:type="dxa"/>
            <w:vAlign w:val="bottom"/>
          </w:tcPr>
          <w:p>
            <w:pPr>
              <w:ind w:left="460"/>
              <w:spacing w:after="0"/>
              <w:rPr>
                <w:sz w:val="20"/>
                <w:szCs w:val="20"/>
                <w:color w:val="auto"/>
              </w:rPr>
            </w:pPr>
            <w:r>
              <w:rPr>
                <w:rFonts w:ascii="Arial" w:cs="Arial" w:eastAsia="Arial" w:hAnsi="Arial"/>
                <w:sz w:val="18"/>
                <w:szCs w:val="18"/>
                <w:color w:val="auto"/>
                <w:w w:val="97"/>
              </w:rPr>
              <w:t>Increase primarily driven by the acquisition of the Capistrano Wind Portfolio in August 2022.</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7620" w:type="dxa"/>
            <w:vAlign w:val="bottom"/>
          </w:tcPr>
          <w:p>
            <w:pPr>
              <w:ind w:left="460"/>
              <w:spacing w:after="0"/>
              <w:rPr>
                <w:sz w:val="20"/>
                <w:szCs w:val="20"/>
                <w:color w:val="auto"/>
              </w:rPr>
            </w:pPr>
            <w:r>
              <w:rPr>
                <w:rFonts w:ascii="Arial" w:cs="Arial" w:eastAsia="Arial" w:hAnsi="Arial"/>
                <w:sz w:val="18"/>
                <w:szCs w:val="18"/>
                <w:color w:val="auto"/>
              </w:rPr>
              <w:t>Increase primarily driven by maintenance activities at the wind facilities.</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7620" w:type="dxa"/>
            <w:vAlign w:val="bottom"/>
          </w:tcPr>
          <w:p>
            <w:pPr>
              <w:ind w:left="460"/>
              <w:spacing w:after="0" w:line="189" w:lineRule="exact"/>
              <w:rPr>
                <w:sz w:val="20"/>
                <w:szCs w:val="20"/>
                <w:color w:val="auto"/>
              </w:rPr>
            </w:pPr>
            <w:r>
              <w:rPr>
                <w:rFonts w:ascii="Arial" w:cs="Arial" w:eastAsia="Arial" w:hAnsi="Arial"/>
                <w:sz w:val="18"/>
                <w:szCs w:val="18"/>
                <w:color w:val="auto"/>
                <w:w w:val="92"/>
              </w:rPr>
              <w:t>Increase for solar acquisitions driven by Daggett 3 in February 2023, Mililani I in March 2022 and</w:t>
            </w:r>
          </w:p>
        </w:tc>
        <w:tc>
          <w:tcPr>
            <w:tcW w:w="0" w:type="dxa"/>
            <w:vAlign w:val="bottom"/>
          </w:tcPr>
          <w:p>
            <w:pPr>
              <w:spacing w:after="0"/>
              <w:rPr>
                <w:sz w:val="1"/>
                <w:szCs w:val="1"/>
                <w:color w:val="auto"/>
              </w:rPr>
            </w:pPr>
          </w:p>
        </w:tc>
      </w:tr>
      <w:tr>
        <w:trPr>
          <w:trHeight w:val="229"/>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620" w:type="dxa"/>
            <w:vAlign w:val="bottom"/>
          </w:tcPr>
          <w:p>
            <w:pPr>
              <w:ind w:left="460"/>
              <w:spacing w:after="0"/>
              <w:rPr>
                <w:sz w:val="20"/>
                <w:szCs w:val="20"/>
                <w:color w:val="auto"/>
              </w:rPr>
            </w:pPr>
            <w:r>
              <w:rPr>
                <w:rFonts w:ascii="Arial" w:cs="Arial" w:eastAsia="Arial" w:hAnsi="Arial"/>
                <w:sz w:val="18"/>
                <w:szCs w:val="18"/>
                <w:color w:val="auto"/>
              </w:rPr>
              <w:t>Waiawa in November 2022, offset by the disposition of Kawailoa in August 2022.</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7620" w:type="dxa"/>
            <w:vAlign w:val="bottom"/>
          </w:tcPr>
          <w:p>
            <w:pPr>
              <w:ind w:left="460"/>
              <w:spacing w:after="0"/>
              <w:rPr>
                <w:sz w:val="20"/>
                <w:szCs w:val="20"/>
                <w:color w:val="auto"/>
              </w:rPr>
            </w:pPr>
            <w:r>
              <w:rPr>
                <w:rFonts w:ascii="Arial" w:cs="Arial" w:eastAsia="Arial" w:hAnsi="Arial"/>
                <w:sz w:val="18"/>
                <w:szCs w:val="18"/>
                <w:color w:val="auto"/>
              </w:rPr>
              <w:t>Increase primarily driven by outages at the Walnut Creek and Marsh Landing facilities.</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7620" w:type="dxa"/>
            <w:vAlign w:val="bottom"/>
          </w:tcPr>
          <w:p>
            <w:pPr>
              <w:ind w:left="460"/>
              <w:spacing w:after="0" w:line="189" w:lineRule="exact"/>
              <w:rPr>
                <w:sz w:val="20"/>
                <w:szCs w:val="20"/>
                <w:color w:val="auto"/>
              </w:rPr>
            </w:pPr>
            <w:r>
              <w:rPr>
                <w:rFonts w:ascii="Arial" w:cs="Arial" w:eastAsia="Arial" w:hAnsi="Arial"/>
                <w:sz w:val="18"/>
                <w:szCs w:val="18"/>
                <w:color w:val="auto"/>
                <w:w w:val="91"/>
              </w:rPr>
              <w:t>Increase primarily driven by higher costs related to additional planned maintenance outages at the</w:t>
            </w:r>
          </w:p>
        </w:tc>
        <w:tc>
          <w:tcPr>
            <w:tcW w:w="0" w:type="dxa"/>
            <w:vAlign w:val="bottom"/>
          </w:tcPr>
          <w:p>
            <w:pPr>
              <w:spacing w:after="0"/>
              <w:rPr>
                <w:sz w:val="1"/>
                <w:szCs w:val="1"/>
                <w:color w:val="auto"/>
              </w:rPr>
            </w:pPr>
          </w:p>
        </w:tc>
      </w:tr>
      <w:tr>
        <w:trPr>
          <w:trHeight w:val="229"/>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620" w:type="dxa"/>
            <w:vAlign w:val="bottom"/>
          </w:tcPr>
          <w:p>
            <w:pPr>
              <w:ind w:left="460"/>
              <w:spacing w:after="0"/>
              <w:rPr>
                <w:sz w:val="20"/>
                <w:szCs w:val="20"/>
                <w:color w:val="auto"/>
              </w:rPr>
            </w:pPr>
            <w:r>
              <w:rPr>
                <w:rFonts w:ascii="Arial" w:cs="Arial" w:eastAsia="Arial" w:hAnsi="Arial"/>
                <w:sz w:val="18"/>
                <w:szCs w:val="18"/>
                <w:color w:val="auto"/>
              </w:rPr>
              <w:t>El Segundo facility in 2023.</w:t>
            </w: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7620" w:type="dxa"/>
            <w:vAlign w:val="bottom"/>
          </w:tcPr>
          <w:p>
            <w:pPr>
              <w:ind w:left="460"/>
              <w:spacing w:after="0"/>
              <w:rPr>
                <w:sz w:val="20"/>
                <w:szCs w:val="20"/>
                <w:color w:val="auto"/>
              </w:rPr>
            </w:pPr>
            <w:r>
              <w:rPr>
                <w:rFonts w:ascii="Arial" w:cs="Arial" w:eastAsia="Arial" w:hAnsi="Arial"/>
                <w:sz w:val="18"/>
                <w:szCs w:val="18"/>
                <w:color w:val="auto"/>
              </w:rPr>
              <w:t>Decrease primarily driven by the sale of the Thermal Business on May 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140" w:hanging="11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w:t>
      </w:r>
    </w:p>
    <w:p>
      <w:pPr>
        <w:spacing w:after="0" w:line="2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1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8832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15" w:lineRule="exact"/>
        <w:rPr>
          <w:sz w:val="20"/>
          <w:szCs w:val="20"/>
          <w:color w:val="auto"/>
        </w:rPr>
      </w:pPr>
    </w:p>
    <w:p>
      <w:pPr>
        <w:ind w:left="1220" w:hanging="1217"/>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8832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20" w:space="40"/>
            <w:col w:w="1380"/>
          </w:cols>
          <w:pgMar w:left="320" w:top="1097"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costs of operations expense decreased by $8 million during the six months ended June 30, 2023, compared to the same period in 2022, primarily due to the sale of the Thermal Business on May 1, 2022 and a decrease in property taxes in both the Conventional and the Renewables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2022, the Company completed the sale of 100% of its interests in the Thermal Business to KKR, resulting in a gain on sale of business of approximately $1.29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Equity in earnings of unconsolidated affiliates decreased by $14 million during the six months ended June 30, 2023, compared to the same period in 2022, primarily due to the change in fair value of interest swaps and higher depreciation expense, as well as lower wind production.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income, net increased by $12 million during the six months ended June 30, 2023, compared to the same period in 2022, primarily due to higher interest income earned on investments in money market and time deposit accounts, which have retained larger balances as a result of the proceeds received from the sale of the Thermal Business on May 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$60 million during the six months ended June 30, 2023, compared to the same period in 2022,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rPr>
              <w:t>Decrease in interest expense due to decreased principal balances of project-level debt</w:t>
            </w:r>
          </w:p>
        </w:tc>
        <w:tc>
          <w:tcPr>
            <w:tcW w:w="20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expense due to the sale of the Thermal Business on May 1, 2022</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5"/>
        </w:trPr>
        <w:tc>
          <w:tcPr>
            <w:tcW w:w="9840" w:type="dxa"/>
            <w:vAlign w:val="bottom"/>
          </w:tcPr>
          <w:p>
            <w:pPr>
              <w:ind w:left="20"/>
              <w:spacing w:after="0" w:line="176" w:lineRule="exact"/>
              <w:rPr>
                <w:sz w:val="20"/>
                <w:szCs w:val="20"/>
                <w:color w:val="auto"/>
              </w:rPr>
            </w:pPr>
            <w:r>
              <w:rPr>
                <w:rFonts w:ascii="Arial" w:cs="Arial" w:eastAsia="Arial" w:hAnsi="Arial"/>
                <w:sz w:val="18"/>
                <w:szCs w:val="18"/>
                <w:color w:val="auto"/>
              </w:rPr>
              <w:t>Decrease in interest expense due to decreased principal balances of Corporate debt, which includes repayment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840" w:type="dxa"/>
            <w:vAlign w:val="bottom"/>
          </w:tcPr>
          <w:p>
            <w:pPr>
              <w:ind w:left="20"/>
              <w:spacing w:after="0" w:line="189" w:lineRule="exact"/>
              <w:rPr>
                <w:sz w:val="20"/>
                <w:szCs w:val="20"/>
                <w:color w:val="auto"/>
              </w:rPr>
            </w:pPr>
            <w:r>
              <w:rPr>
                <w:rFonts w:ascii="Arial" w:cs="Arial" w:eastAsia="Arial" w:hAnsi="Arial"/>
                <w:sz w:val="18"/>
                <w:szCs w:val="18"/>
                <w:color w:val="auto"/>
              </w:rPr>
              <w:t>of the outstanding borrowings under the Bridge Loan Agreement and the revolving credit facility on May 3,</w:t>
            </w:r>
          </w:p>
        </w:tc>
        <w:tc>
          <w:tcPr>
            <w:tcW w:w="200" w:type="dxa"/>
            <w:vAlign w:val="bottom"/>
          </w:tcPr>
          <w:p>
            <w:pPr>
              <w:spacing w:after="0"/>
              <w:rPr>
                <w:sz w:val="16"/>
                <w:szCs w:val="16"/>
                <w:color w:val="auto"/>
              </w:rPr>
            </w:pP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231F20"/>
              </w:rPr>
              <w:t>42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9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2023, the Company recorded an income tax expense of $10 million on pretax income of $54 million. For the same period in 2022, the Company recorded an income tax expense of $224 million on a pretax income of $1.28 billion. The $214 million decrease in income tax expense is primarily driven by the sale of the Thermal Business on May 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 and Redeemable Noncontrolling Interests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six months ended June 30, 2023, the Company had net income of $6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(In millions)</w:t>
            </w:r>
          </w:p>
        </w:tc>
      </w:tr>
      <w:tr>
        <w:trPr>
          <w:trHeight w:val="22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rPr>
              <w:t>Income attributable to third-party partnerships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8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six months ended June 30, 2022, the Company had net income of $514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CEG’s economic interest in Clearway Energy LLC (primarily driven by the gain on sale of the Thermal Business)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20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attributable to third-party partnerships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3"/>
              </w:rPr>
              <w:t>(22)</w:t>
            </w:r>
          </w:p>
        </w:tc>
        <w:tc>
          <w:tcPr>
            <w:tcW w:w="0" w:type="dxa"/>
            <w:vAlign w:val="bottom"/>
          </w:tcPr>
          <w:p>
            <w:pPr>
              <w:spacing w:after="0"/>
              <w:rPr>
                <w:sz w:val="1"/>
                <w:szCs w:val="1"/>
                <w:color w:val="auto"/>
              </w:rPr>
            </w:pPr>
          </w:p>
        </w:tc>
      </w:tr>
      <w:tr>
        <w:trPr>
          <w:trHeight w:val="230"/>
        </w:trPr>
        <w:tc>
          <w:tcPr>
            <w:tcW w:w="98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9840" w:type="dxa"/>
            <w:vAlign w:val="bottom"/>
            <w:vMerge w:val="restart"/>
          </w:tcPr>
          <w:p>
            <w:pPr>
              <w:jc w:val="right"/>
              <w:ind w:right="4030"/>
              <w:spacing w:after="0"/>
              <w:rPr>
                <w:sz w:val="20"/>
                <w:szCs w:val="20"/>
                <w:color w:val="auto"/>
              </w:rPr>
            </w:pPr>
            <w:r>
              <w:rPr>
                <w:rFonts w:ascii="Arial" w:cs="Arial" w:eastAsia="Arial" w:hAnsi="Arial"/>
                <w:sz w:val="18"/>
                <w:szCs w:val="18"/>
                <w:color w:val="231F20"/>
              </w:rPr>
              <w:t>43</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3"/>
        </w:trPr>
        <w:tc>
          <w:tcPr>
            <w:tcW w:w="9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2023</w:t>
      </w:r>
      <w:r>
        <w:rPr>
          <w:rFonts w:ascii="Arial" w:cs="Arial" w:eastAsia="Arial" w:hAnsi="Arial"/>
          <w:sz w:val="18"/>
          <w:szCs w:val="18"/>
          <w:color w:val="231F20"/>
        </w:rPr>
        <w:t xml:space="preserve"> and </w:t>
      </w:r>
      <w:r>
        <w:rPr>
          <w:rFonts w:ascii="Arial" w:cs="Arial" w:eastAsia="Arial" w:hAnsi="Arial"/>
          <w:sz w:val="18"/>
          <w:szCs w:val="18"/>
          <w:color w:val="000000"/>
        </w:rPr>
        <w:t>December 31, 2022</w:t>
      </w:r>
      <w:r>
        <w:rPr>
          <w:rFonts w:ascii="Arial" w:cs="Arial" w:eastAsia="Arial" w:hAnsi="Arial"/>
          <w:sz w:val="18"/>
          <w:szCs w:val="18"/>
          <w:color w:val="231F20"/>
        </w:rPr>
        <w:t>, the Company’s liquidity was approximately $1.43 billion and $1.37 billion, respectively, comprised of cash, restricted cash and availability under the Company’s revolving credit facility.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520" w:type="dxa"/>
            <w:vAlign w:val="bottom"/>
          </w:tcPr>
          <w:p>
            <w:pPr>
              <w:jc w:val="right"/>
              <w:ind w:right="331"/>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2022</w:t>
            </w: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9"/>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Restricted cash:</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4"/>
        </w:trPr>
        <w:tc>
          <w:tcPr>
            <w:tcW w:w="2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accounts</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tcPr>
          <w:p>
            <w:pPr>
              <w:spacing w:after="0"/>
              <w:rPr>
                <w:sz w:val="19"/>
                <w:szCs w:val="19"/>
                <w:color w:val="auto"/>
              </w:rPr>
            </w:pP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37"/>
        </w:trPr>
        <w:tc>
          <w:tcPr>
            <w:tcW w:w="2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20" w:type="dxa"/>
            <w:vAlign w:val="bottom"/>
          </w:tcPr>
          <w:p>
            <w:pPr>
              <w:spacing w:after="0"/>
              <w:rPr>
                <w:sz w:val="19"/>
                <w:szCs w:val="19"/>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Revolving credit facility availability</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liquidity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$371 million and $339 million of restricted cash balances as of June 30, 2023 and December 31, 2022,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June 30, 2023, these restricted funds were comprised of $104 million designated to fund operating expenses,</w:t>
      </w:r>
      <w:r>
        <w:rPr>
          <w:rFonts w:ascii="Arial" w:cs="Arial" w:eastAsia="Arial" w:hAnsi="Arial"/>
          <w:sz w:val="16"/>
          <w:szCs w:val="16"/>
          <w:color w:val="231F20"/>
        </w:rPr>
        <w:t xml:space="preserve"> </w:t>
      </w:r>
      <w:r>
        <w:rPr>
          <w:rFonts w:ascii="Arial" w:cs="Arial" w:eastAsia="Arial" w:hAnsi="Arial"/>
          <w:sz w:val="16"/>
          <w:szCs w:val="16"/>
          <w:color w:val="000000"/>
        </w:rPr>
        <w:t>approximately $168 million designated for current debt service payments and $85 million restricted for reserves including debt service, performance obligations and other reserves, as well as capital expenditures. The remaining $14 million is held in distribution reserve accounts.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2023, the Company had no outstanding borrowings under the revolving credit facility and $188 million in letters of credit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 facility will continue to be used for general corporate purposes including financing of future acquisitions and posting letters of credit.</w:t>
      </w:r>
    </w:p>
    <w:p>
      <w:pPr>
        <w:spacing w:after="0" w:line="15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consolidated financial statements included in the Company’s 2022 Form 10-K, the Company’s financing arrangements consist of corporate level debt, which includes Senior Notes and the revolving credit facility, the ATM Program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i w:val="1"/>
          <w:iCs w:val="1"/>
          <w:color w:val="auto"/>
        </w:rPr>
        <w:t>Credit Ratings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June 30,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500" w:type="dxa"/>
            <w:vAlign w:val="bottom"/>
          </w:tcPr>
          <w:p>
            <w:pPr>
              <w:ind w:left="600"/>
              <w:spacing w:after="0"/>
              <w:rPr>
                <w:sz w:val="20"/>
                <w:szCs w:val="20"/>
                <w:color w:val="auto"/>
              </w:rPr>
            </w:pPr>
            <w:r>
              <w:rPr>
                <w:rFonts w:ascii="Arial" w:cs="Arial" w:eastAsia="Arial" w:hAnsi="Arial"/>
                <w:sz w:val="14"/>
                <w:szCs w:val="14"/>
                <w:b w:val="1"/>
                <w:bCs w:val="1"/>
                <w:color w:val="auto"/>
              </w:rPr>
              <w:t>S&amp;P</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26"/>
        </w:trPr>
        <w:tc>
          <w:tcPr>
            <w:tcW w:w="8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500" w:type="dxa"/>
            <w:vAlign w:val="bottom"/>
          </w:tcPr>
          <w:p>
            <w:pPr>
              <w:ind w:left="640"/>
              <w:spacing w:after="0"/>
              <w:rPr>
                <w:sz w:val="20"/>
                <w:szCs w:val="20"/>
                <w:color w:val="auto"/>
              </w:rPr>
            </w:pPr>
            <w:r>
              <w:rPr>
                <w:rFonts w:ascii="Arial" w:cs="Arial" w:eastAsia="Arial" w:hAnsi="Arial"/>
                <w:sz w:val="18"/>
                <w:szCs w:val="18"/>
                <w:color w:val="auto"/>
              </w:rPr>
              <w:t>BB</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3.750% Senior Notes, due 2031</w:t>
            </w:r>
          </w:p>
        </w:tc>
        <w:tc>
          <w:tcPr>
            <w:tcW w:w="1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3.750% Senior Notes, due 2032</w:t>
            </w:r>
          </w:p>
        </w:tc>
        <w:tc>
          <w:tcPr>
            <w:tcW w:w="1500" w:type="dxa"/>
            <w:vAlign w:val="bottom"/>
          </w:tcPr>
          <w:p>
            <w:pPr>
              <w:ind w:left="640"/>
              <w:spacing w:after="0"/>
              <w:rPr>
                <w:sz w:val="20"/>
                <w:szCs w:val="20"/>
                <w:color w:val="auto"/>
              </w:rPr>
            </w:pPr>
            <w:r>
              <w:rPr>
                <w:rFonts w:ascii="Arial" w:cs="Arial" w:eastAsia="Arial" w:hAnsi="Arial"/>
                <w:sz w:val="18"/>
                <w:szCs w:val="18"/>
                <w:color w:val="auto"/>
              </w:rPr>
              <w:t>BB</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(ii) capital expenditures; (iii) off-balance sheet arrangements; (iv) acquisitions and investments, as described more fully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Acquisitions and Dispositions</w:t>
      </w:r>
      <w:r>
        <w:rPr>
          <w:rFonts w:ascii="Arial" w:cs="Arial" w:eastAsia="Arial" w:hAnsi="Arial"/>
          <w:sz w:val="18"/>
          <w:szCs w:val="18"/>
          <w:color w:val="231F20"/>
        </w:rPr>
        <w:t xml:space="preserve"> </w:t>
      </w:r>
      <w:r>
        <w:rPr>
          <w:rFonts w:ascii="Arial" w:cs="Arial" w:eastAsia="Arial" w:hAnsi="Arial"/>
          <w:sz w:val="18"/>
          <w:szCs w:val="18"/>
          <w:color w:val="000000"/>
        </w:rPr>
        <w:t>and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Investments Accounted for by the Equity Method and Variable Interest Entities</w:t>
      </w:r>
      <w:r>
        <w:rPr>
          <w:rFonts w:ascii="Arial" w:cs="Arial" w:eastAsia="Arial" w:hAnsi="Arial"/>
          <w:sz w:val="18"/>
          <w:szCs w:val="18"/>
          <w:color w:val="231F20"/>
        </w:rPr>
        <w:t>; and (v) cash dividends to investors.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Capital Expenditures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For the six months ended </w:t>
      </w:r>
      <w:r>
        <w:rPr>
          <w:rFonts w:ascii="Arial" w:cs="Arial" w:eastAsia="Arial" w:hAnsi="Arial"/>
          <w:sz w:val="18"/>
          <w:szCs w:val="18"/>
          <w:color w:val="000000"/>
        </w:rPr>
        <w:t>June 30, 2023</w:t>
      </w:r>
      <w:r>
        <w:rPr>
          <w:rFonts w:ascii="Arial" w:cs="Arial" w:eastAsia="Arial" w:hAnsi="Arial"/>
          <w:sz w:val="18"/>
          <w:szCs w:val="18"/>
          <w:color w:val="231F20"/>
        </w:rPr>
        <w:t xml:space="preserve">, the Company used approximately $109 million to fund capital expenditures, including growth </w:t>
      </w:r>
      <w:r>
        <w:rPr>
          <w:rFonts w:ascii="Arial" w:cs="Arial" w:eastAsia="Arial" w:hAnsi="Arial"/>
          <w:sz w:val="18"/>
          <w:szCs w:val="18"/>
          <w:color w:val="000000"/>
        </w:rPr>
        <w:t>expenditures</w:t>
      </w:r>
      <w:r>
        <w:rPr>
          <w:rFonts w:ascii="Arial" w:cs="Arial" w:eastAsia="Arial" w:hAnsi="Arial"/>
          <w:sz w:val="18"/>
          <w:szCs w:val="18"/>
          <w:color w:val="231F20"/>
        </w:rPr>
        <w:t xml:space="preserve"> </w:t>
      </w:r>
      <w:r>
        <w:rPr>
          <w:rFonts w:ascii="Arial" w:cs="Arial" w:eastAsia="Arial" w:hAnsi="Arial"/>
          <w:sz w:val="18"/>
          <w:szCs w:val="18"/>
          <w:color w:val="000000"/>
        </w:rPr>
        <w:t>of $96 million in the Renewables segment, funded through construction-related financing. Renewables segment capital expenditures included $86 million incurred in connection with the Daggett 3 solar project, $7 million incurred in connection with the Waiawa solar project and $3 million incurred by other wind and solar projects. In addition, the Company incurred $13 million in maintenance capital expenditures. The Company estimates $35 million of maintenance expenditures for 2023. These estimates are subject to continuing review and adjustment. Actual capital expenditures may vary from these estimates.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Retained or Contingent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2023,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$317 million as of June 30, 2023. This indebtedness may restrict the ability of these subsidiaries to issue dividends or distributions to the Company.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Arial" w:cs="Arial" w:eastAsia="Arial" w:hAnsi="Arial"/>
          <w:sz w:val="18"/>
          <w:szCs w:val="18"/>
          <w:color w:val="231F20"/>
        </w:rPr>
        <w:t>2022</w:t>
      </w:r>
      <w:r>
        <w:rPr>
          <w:rFonts w:ascii="Arial" w:cs="Arial" w:eastAsia="Arial" w:hAnsi="Arial"/>
          <w:sz w:val="18"/>
          <w:szCs w:val="18"/>
          <w:color w:val="auto"/>
        </w:rPr>
        <w:t xml:space="preserve">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3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Rosie Central BESS </w:t>
      </w:r>
      <w:r>
        <w:rPr>
          <w:rFonts w:ascii="Arial" w:cs="Arial" w:eastAsia="Arial" w:hAnsi="Arial"/>
          <w:sz w:val="17"/>
          <w:szCs w:val="17"/>
          <w:color w:val="auto"/>
        </w:rPr>
        <w:t>— On June 30, 2023, the Company, through its indirect subsidiary, Rosie Class B LLC, the indirect owner of the Rosamond</w:t>
      </w:r>
      <w:r>
        <w:rPr>
          <w:rFonts w:ascii="Arial" w:cs="Arial" w:eastAsia="Arial" w:hAnsi="Arial"/>
          <w:sz w:val="17"/>
          <w:szCs w:val="17"/>
          <w:i w:val="1"/>
          <w:iCs w:val="1"/>
          <w:color w:val="auto"/>
        </w:rPr>
        <w:t xml:space="preserve"> </w:t>
      </w:r>
      <w:r>
        <w:rPr>
          <w:rFonts w:ascii="Arial" w:cs="Arial" w:eastAsia="Arial" w:hAnsi="Arial"/>
          <w:sz w:val="17"/>
          <w:szCs w:val="17"/>
          <w:color w:val="auto"/>
        </w:rPr>
        <w:t>Central solar project, became the owner of the Class B membership interests of Rosie Central BESS in order to facilitate and fund the construction of a 147 MW BESS project that will be co-located at the Rosamond Central solar facility. Clearway Renew indirectly owns the Class A membership interests. The Company’s investment consists of $10 million contributed into Rosie Central BESS, funded through contributions from the Company and its cash equity investor in Rosie TargetCo LLC, which consolidates Rosie Class B LLC. On July 3, 2023, Rosie Class B LLC contributed an additional $20 million into Rosie Central BESS. Additionally, on June 30, 2023, Rosamond Central entered into an asset purchase agreement with Rosie Central BESS to acquire the BESS project assets at mechanical completion for a purchase price of $360 million, of which $72 million is payable at mechanical completion with the remaining $288 million payable at substantial completion. The Company will fund $17 million of the purchase price at mechanical completion and $67 million of the purchase price at substantial completion. The BESS project is anticipated to reach mechanical completion in the second half of 2023 and to reach substantial completion in the first half of 2024.</w:t>
      </w:r>
    </w:p>
    <w:p>
      <w:pPr>
        <w:spacing w:after="0" w:line="13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30, 2023, Rosie Class B LLC amended its financing agreement. On July 3, 2023, the Company received total loan proceeds of $138 million under the refinancing, which is net of $5 million in debt issuance costs. Also on July 3, 2023, Rosie Class B LLC issued a loan to a consolidated subsidiary of Clearway Renew in the aggregate principal amount of $117 million in order to finance the construction of the BESS project.</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Waiawa Drop Down </w:t>
      </w:r>
      <w:r>
        <w:rPr>
          <w:rFonts w:ascii="Arial" w:cs="Arial" w:eastAsia="Arial" w:hAnsi="Arial"/>
          <w:sz w:val="18"/>
          <w:szCs w:val="18"/>
          <w:color w:val="auto"/>
        </w:rPr>
        <w:t>— In connection with the 2022 Drop Down of Waiawa, the Company assumed the project’s financing agreement,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a construction loan that converted to a term loan on March 30, 2023 upon the project reaching substantial completion and a tax equity bridge loan that was repaid on March 30, 2023.</w:t>
      </w:r>
    </w:p>
    <w:p>
      <w:pPr>
        <w:spacing w:after="0" w:line="13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i w:val="1"/>
          <w:iCs w:val="1"/>
          <w:color w:val="auto"/>
        </w:rPr>
        <w:t xml:space="preserve">Daggett 3 Drop Down </w:t>
      </w:r>
      <w:r>
        <w:rPr>
          <w:rFonts w:ascii="Arial" w:cs="Arial" w:eastAsia="Arial" w:hAnsi="Arial"/>
          <w:sz w:val="16"/>
          <w:szCs w:val="16"/>
          <w:color w:val="auto"/>
        </w:rPr>
        <w:t>— On February 17, 2023, the Company, through its indirect subsidiary, Daggett Solar Investment LLC, acquired the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interests in Daggett TargetCo LLC, the indirect owner of the Daggett 3 solar project, from Clearway Renew for cash consideration of $21 million and then contributed its Class A membership interests into Daggett Renewable Holdco LLC, a partnership between the Company and a cash equity investor, which consolidates Daggett TargetCo LLC. Daggett TargetCo LLC consolidates, as the indirect owner of the primary beneficiary, a tax equity fund, Daggett TE Holdco LLC, which owns the Daggett 3 solar project. Daggett 3 has PPAs with investment-grade counterparties that have a 15-year weighted average contract duration that commence when the underlying operating assets reach commercial operations, which is expected to occur in the second half of 2023. The acquisition was funded with existing sources of liquidity. As part of the acquisition, the Company assumed the project’s financing agreement, which included a construction loan that converts to a term loan upon the project reaching substantial completion, a tax equity bridge loan that will be repaid when the project reaches substantial completion and a sponsor equity bridge loan that was repaid at acquisition date. Subsequent to the acquisition, CEG funded an additional $43 million in project completion costs, which will be repaid with the proceeds received when the project reaches substantial completion, which is expected to occur in the second half of 2023.</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b w:val="1"/>
          <w:bCs w:val="1"/>
          <w:i w:val="1"/>
          <w:iCs w:val="1"/>
          <w:color w:val="231F20"/>
        </w:rPr>
        <w:t>Cash Dividends to Investors</w:t>
      </w:r>
    </w:p>
    <w:p>
      <w:pPr>
        <w:spacing w:after="0" w:line="17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Arial" w:cs="Arial" w:eastAsia="Arial" w:hAnsi="Arial"/>
          <w:sz w:val="16"/>
          <w:szCs w:val="16"/>
          <w:color w:val="000000"/>
        </w:rPr>
        <w:t>he Class A common stock</w:t>
      </w:r>
      <w:r>
        <w:rPr>
          <w:rFonts w:ascii="Arial" w:cs="Arial" w:eastAsia="Arial" w:hAnsi="Arial"/>
          <w:sz w:val="16"/>
          <w:szCs w:val="16"/>
          <w:color w:val="231F20"/>
        </w:rPr>
        <w:t xml:space="preserve"> </w:t>
      </w:r>
      <w:r>
        <w:rPr>
          <w:rFonts w:ascii="Arial" w:cs="Arial" w:eastAsia="Arial" w:hAnsi="Arial"/>
          <w:sz w:val="16"/>
          <w:szCs w:val="16"/>
          <w:color w:val="000000"/>
        </w:rPr>
        <w:t>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Second Quarter</w:t>
            </w:r>
          </w:p>
        </w:tc>
        <w:tc>
          <w:tcPr>
            <w:tcW w:w="16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 2023</w:t>
            </w: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0.3818</w:t>
            </w:r>
          </w:p>
        </w:tc>
        <w:tc>
          <w:tcPr>
            <w:tcW w:w="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0.3745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0.3818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0.3745</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August 7, 2023, the Company declared quarterly dividends on its Class A and Class C common stock of $0.3891 per share payable on September 15, 2023 to stockholders of record as of September 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reflect the changes in cash flows for the comparative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2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71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189"/>
        </w:trPr>
        <w:tc>
          <w:tcPr>
            <w:tcW w:w="7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209</w:t>
            </w:r>
          </w:p>
        </w:tc>
        <w:tc>
          <w:tcPr>
            <w:tcW w:w="90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(116)</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(171)</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473"/>
        </w:trPr>
        <w:tc>
          <w:tcPr>
            <w:tcW w:w="71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714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3"/>
              </w:rPr>
              <w:t>(In millions)</w:t>
            </w:r>
          </w:p>
        </w:tc>
      </w:tr>
      <w:tr>
        <w:trPr>
          <w:trHeight w:val="237"/>
        </w:trPr>
        <w:tc>
          <w:tcPr>
            <w:tcW w:w="9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3"/>
              </w:rPr>
              <w:t>Increase in working capital primarily driven by the timing of accounts receivable collections and payments of current liabilities</w:t>
            </w:r>
          </w:p>
        </w:tc>
        <w:tc>
          <w:tcPr>
            <w:tcW w:w="50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Decrease in operating income adjusted for non-cash items</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distributions from unconsolidated affiliates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1"/>
              </w:rPr>
              <w:t>Transaction expenses paid on May 1, 2022 in connection with the sale of the Thermal Business</w:t>
            </w:r>
          </w:p>
        </w:tc>
        <w:tc>
          <w:tcPr>
            <w:tcW w:w="8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ectPr>
          <w:pgSz w:w="11900" w:h="16838" w:orient="portrait"/>
          <w:cols w:equalWidth="0" w:num="1">
            <w:col w:w="11240"/>
          </w:cols>
          <w:pgMar w:left="320" w:top="1093"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to net cash (used in) provided by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the sale of the Thermal Business in 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investments in unconsolidated affiliates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cash paid for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the return of investment from unconsolidated affiliates</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36" w:lineRule="exact"/>
        <w:rPr>
          <w:sz w:val="20"/>
          <w:szCs w:val="20"/>
          <w:color w:val="auto"/>
        </w:rPr>
      </w:pPr>
    </w:p>
    <w:p>
      <w:pPr>
        <w:ind w:left="140" w:right="3107"/>
        <w:spacing w:after="0" w:line="308" w:lineRule="auto"/>
        <w:rPr>
          <w:sz w:val="20"/>
          <w:szCs w:val="20"/>
          <w:color w:val="auto"/>
        </w:rPr>
      </w:pPr>
      <w:r>
        <w:rPr>
          <w:rFonts w:ascii="Arial" w:cs="Arial" w:eastAsia="Arial" w:hAnsi="Arial"/>
          <w:sz w:val="16"/>
          <w:szCs w:val="16"/>
          <w:color w:val="auto"/>
        </w:rPr>
        <w:t>Increase in contributions from noncontrolling interest members, net of distributions Decrease in payments for the revolving credit facility, net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Decrease in payments for long-term debt, net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released from escrow distributed to CEG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related distributions in 2023</w:t>
      </w:r>
    </w:p>
    <w:p>
      <w:pPr>
        <w:spacing w:after="0" w:line="35" w:lineRule="exact"/>
        <w:rPr>
          <w:sz w:val="20"/>
          <w:szCs w:val="20"/>
          <w:color w:val="auto"/>
        </w:rPr>
      </w:pPr>
    </w:p>
    <w:p>
      <w:pPr>
        <w:ind w:left="140" w:right="2327"/>
        <w:spacing w:after="0" w:line="293" w:lineRule="auto"/>
        <w:rPr>
          <w:sz w:val="20"/>
          <w:szCs w:val="20"/>
          <w:color w:val="auto"/>
        </w:rPr>
      </w:pPr>
      <w:r>
        <w:rPr>
          <w:rFonts w:ascii="Arial" w:cs="Arial" w:eastAsia="Arial" w:hAnsi="Arial"/>
          <w:sz w:val="18"/>
          <w:szCs w:val="18"/>
          <w:color w:val="auto"/>
        </w:rPr>
        <w:t>Increase in dividends paid to common stockholders and distributions paid to CEG unit holders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13"/>
        <w:spacing w:after="0"/>
        <w:rPr>
          <w:sz w:val="20"/>
          <w:szCs w:val="20"/>
          <w:color w:val="auto"/>
        </w:rPr>
      </w:pPr>
      <w:r>
        <w:rPr>
          <w:rFonts w:ascii="Arial" w:cs="Arial" w:eastAsia="Arial" w:hAnsi="Arial"/>
          <w:sz w:val="16"/>
          <w:szCs w:val="16"/>
          <w:b w:val="1"/>
          <w:bCs w:val="1"/>
          <w:color w:val="auto"/>
        </w:rPr>
        <w:t>(In millions)</w:t>
      </w:r>
    </w:p>
    <w:p>
      <w:pPr>
        <w:spacing w:after="0" w:line="45" w:lineRule="exact"/>
        <w:rPr>
          <w:sz w:val="20"/>
          <w:szCs w:val="20"/>
          <w:color w:val="auto"/>
        </w:rPr>
      </w:pPr>
    </w:p>
    <w:p>
      <w:pPr>
        <w:ind w:left="713" w:hanging="700"/>
        <w:spacing w:after="0"/>
        <w:tabs>
          <w:tab w:leader="none" w:pos="713" w:val="left"/>
        </w:tabs>
        <w:numPr>
          <w:ilvl w:val="0"/>
          <w:numId w:val="32"/>
        </w:numPr>
        <w:rPr>
          <w:rFonts w:ascii="Arial" w:cs="Arial" w:eastAsia="Arial" w:hAnsi="Arial"/>
          <w:sz w:val="17"/>
          <w:szCs w:val="17"/>
          <w:color w:val="auto"/>
        </w:rPr>
      </w:pPr>
      <w:r>
        <w:rPr>
          <w:rFonts w:ascii="Arial" w:cs="Arial" w:eastAsia="Arial" w:hAnsi="Arial"/>
          <w:sz w:val="17"/>
          <w:szCs w:val="17"/>
          <w:color w:val="auto"/>
        </w:rPr>
        <w:t>(1,457)</w:t>
      </w:r>
    </w:p>
    <w:p>
      <w:pPr>
        <w:spacing w:after="0" w:line="34" w:lineRule="exact"/>
        <w:rPr>
          <w:rFonts w:ascii="Arial" w:cs="Arial" w:eastAsia="Arial" w:hAnsi="Arial"/>
          <w:sz w:val="17"/>
          <w:szCs w:val="17"/>
          <w:color w:val="auto"/>
        </w:rPr>
      </w:pPr>
    </w:p>
    <w:p>
      <w:pPr>
        <w:ind w:left="953"/>
        <w:spacing w:after="0"/>
        <w:rPr>
          <w:rFonts w:ascii="Arial" w:cs="Arial" w:eastAsia="Arial" w:hAnsi="Arial"/>
          <w:sz w:val="17"/>
          <w:szCs w:val="17"/>
          <w:color w:val="auto"/>
        </w:rPr>
      </w:pPr>
      <w:r>
        <w:rPr>
          <w:rFonts w:ascii="Arial" w:cs="Arial" w:eastAsia="Arial" w:hAnsi="Arial"/>
          <w:sz w:val="16"/>
          <w:szCs w:val="16"/>
          <w:color w:val="auto"/>
        </w:rPr>
        <w:t>(28)</w:t>
      </w:r>
    </w:p>
    <w:p>
      <w:pPr>
        <w:spacing w:after="0" w:line="45" w:lineRule="exact"/>
        <w:rPr>
          <w:rFonts w:ascii="Arial" w:cs="Arial" w:eastAsia="Arial" w:hAnsi="Arial"/>
          <w:sz w:val="17"/>
          <w:szCs w:val="17"/>
          <w:color w:val="auto"/>
        </w:rPr>
      </w:pPr>
    </w:p>
    <w:p>
      <w:pPr>
        <w:ind w:left="953"/>
        <w:spacing w:after="0"/>
        <w:rPr>
          <w:rFonts w:ascii="Arial" w:cs="Arial" w:eastAsia="Arial" w:hAnsi="Arial"/>
          <w:sz w:val="17"/>
          <w:szCs w:val="17"/>
          <w:color w:val="auto"/>
        </w:rPr>
      </w:pPr>
      <w:r>
        <w:rPr>
          <w:rFonts w:ascii="Arial" w:cs="Arial" w:eastAsia="Arial" w:hAnsi="Arial"/>
          <w:sz w:val="16"/>
          <w:szCs w:val="16"/>
          <w:color w:val="auto"/>
        </w:rPr>
        <w:t>(10)</w:t>
      </w:r>
    </w:p>
    <w:p>
      <w:pPr>
        <w:spacing w:after="0" w:line="58" w:lineRule="exact"/>
        <w:rPr>
          <w:rFonts w:ascii="Arial" w:cs="Arial" w:eastAsia="Arial" w:hAnsi="Arial"/>
          <w:sz w:val="17"/>
          <w:szCs w:val="17"/>
          <w:color w:val="auto"/>
        </w:rPr>
      </w:pPr>
    </w:p>
    <w:p>
      <w:pPr>
        <w:ind w:left="1013"/>
        <w:spacing w:after="0"/>
        <w:rPr>
          <w:rFonts w:ascii="Arial" w:cs="Arial" w:eastAsia="Arial" w:hAnsi="Arial"/>
          <w:sz w:val="17"/>
          <w:szCs w:val="17"/>
          <w:color w:val="auto"/>
        </w:rPr>
      </w:pPr>
      <w:r>
        <w:rPr>
          <w:rFonts w:ascii="Arial" w:cs="Arial" w:eastAsia="Arial" w:hAnsi="Arial"/>
          <w:sz w:val="18"/>
          <w:szCs w:val="18"/>
          <w:color w:val="auto"/>
        </w:rPr>
        <w:t>44</w:t>
      </w:r>
    </w:p>
    <w:p>
      <w:pPr>
        <w:spacing w:after="0" w:line="23" w:lineRule="exact"/>
        <w:rPr>
          <w:rFonts w:ascii="Arial" w:cs="Arial" w:eastAsia="Arial" w:hAnsi="Arial"/>
          <w:sz w:val="17"/>
          <w:szCs w:val="17"/>
          <w:color w:val="auto"/>
        </w:rPr>
      </w:pPr>
    </w:p>
    <w:p>
      <w:pPr>
        <w:ind w:left="1113"/>
        <w:spacing w:after="0"/>
        <w:rPr>
          <w:rFonts w:ascii="Arial" w:cs="Arial" w:eastAsia="Arial" w:hAnsi="Arial"/>
          <w:sz w:val="17"/>
          <w:szCs w:val="17"/>
          <w:color w:val="auto"/>
        </w:rPr>
      </w:pPr>
      <w:r>
        <w:rPr>
          <w:rFonts w:ascii="Arial" w:cs="Arial" w:eastAsia="Arial" w:hAnsi="Arial"/>
          <w:sz w:val="18"/>
          <w:szCs w:val="18"/>
          <w:color w:val="auto"/>
        </w:rPr>
        <w:t>4</w:t>
      </w:r>
    </w:p>
    <w:p>
      <w:pPr>
        <w:spacing w:after="0" w:line="35" w:lineRule="exact"/>
        <w:rPr>
          <w:sz w:val="20"/>
          <w:szCs w:val="20"/>
          <w:color w:val="auto"/>
        </w:rPr>
      </w:pPr>
    </w:p>
    <w:p>
      <w:pPr>
        <w:ind w:left="713" w:hanging="700"/>
        <w:spacing w:after="0"/>
        <w:tabs>
          <w:tab w:leader="none" w:pos="7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(1,447)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8147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8147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3"/>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20320</wp:posOffset>
            </wp:positionV>
            <wp:extent cx="8229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 w:lineRule="exact"/>
        <w:rPr>
          <w:sz w:val="20"/>
          <w:szCs w:val="20"/>
          <w:color w:val="auto"/>
        </w:rPr>
      </w:pPr>
    </w:p>
    <w:p>
      <w:pPr>
        <w:ind w:left="933" w:hanging="933"/>
        <w:spacing w:after="0"/>
        <w:tabs>
          <w:tab w:leader="none" w:pos="9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282</w:t>
      </w:r>
    </w:p>
    <w:p>
      <w:pPr>
        <w:spacing w:after="0" w:line="23" w:lineRule="exact"/>
        <w:rPr>
          <w:rFonts w:ascii="Arial" w:cs="Arial" w:eastAsia="Arial" w:hAnsi="Arial"/>
          <w:sz w:val="18"/>
          <w:szCs w:val="18"/>
          <w:color w:val="auto"/>
        </w:rPr>
      </w:pPr>
    </w:p>
    <w:p>
      <w:pPr>
        <w:ind w:left="933"/>
        <w:spacing w:after="0"/>
        <w:rPr>
          <w:rFonts w:ascii="Arial" w:cs="Arial" w:eastAsia="Arial" w:hAnsi="Arial"/>
          <w:sz w:val="18"/>
          <w:szCs w:val="18"/>
          <w:color w:val="auto"/>
        </w:rPr>
      </w:pPr>
      <w:r>
        <w:rPr>
          <w:rFonts w:ascii="Arial" w:cs="Arial" w:eastAsia="Arial" w:hAnsi="Arial"/>
          <w:sz w:val="18"/>
          <w:szCs w:val="18"/>
          <w:color w:val="auto"/>
        </w:rPr>
        <w:t>245</w:t>
      </w:r>
    </w:p>
    <w:p>
      <w:pPr>
        <w:spacing w:after="0" w:line="35" w:lineRule="exact"/>
        <w:rPr>
          <w:rFonts w:ascii="Arial" w:cs="Arial" w:eastAsia="Arial" w:hAnsi="Arial"/>
          <w:sz w:val="18"/>
          <w:szCs w:val="18"/>
          <w:color w:val="auto"/>
        </w:rPr>
      </w:pPr>
    </w:p>
    <w:p>
      <w:pPr>
        <w:ind w:left="933"/>
        <w:spacing w:after="0"/>
        <w:rPr>
          <w:rFonts w:ascii="Arial" w:cs="Arial" w:eastAsia="Arial" w:hAnsi="Arial"/>
          <w:sz w:val="18"/>
          <w:szCs w:val="18"/>
          <w:color w:val="auto"/>
        </w:rPr>
      </w:pPr>
      <w:r>
        <w:rPr>
          <w:rFonts w:ascii="Arial" w:cs="Arial" w:eastAsia="Arial" w:hAnsi="Arial"/>
          <w:sz w:val="18"/>
          <w:szCs w:val="18"/>
          <w:color w:val="auto"/>
        </w:rPr>
        <w:t>244</w:t>
      </w:r>
    </w:p>
    <w:p>
      <w:pPr>
        <w:spacing w:after="0" w:line="23" w:lineRule="exact"/>
        <w:rPr>
          <w:rFonts w:ascii="Arial" w:cs="Arial" w:eastAsia="Arial" w:hAnsi="Arial"/>
          <w:sz w:val="18"/>
          <w:szCs w:val="18"/>
          <w:color w:val="auto"/>
        </w:rPr>
      </w:pPr>
    </w:p>
    <w:p>
      <w:pPr>
        <w:ind w:left="1013"/>
        <w:spacing w:after="0"/>
        <w:rPr>
          <w:rFonts w:ascii="Arial" w:cs="Arial" w:eastAsia="Arial" w:hAnsi="Arial"/>
          <w:sz w:val="18"/>
          <w:szCs w:val="18"/>
          <w:color w:val="auto"/>
        </w:rPr>
      </w:pPr>
      <w:r>
        <w:rPr>
          <w:rFonts w:ascii="Arial" w:cs="Arial" w:eastAsia="Arial" w:hAnsi="Arial"/>
          <w:sz w:val="18"/>
          <w:szCs w:val="18"/>
          <w:color w:val="auto"/>
        </w:rPr>
        <w:t>64</w:t>
      </w:r>
    </w:p>
    <w:p>
      <w:pPr>
        <w:spacing w:after="0" w:line="22" w:lineRule="exact"/>
        <w:rPr>
          <w:rFonts w:ascii="Arial" w:cs="Arial" w:eastAsia="Arial" w:hAnsi="Arial"/>
          <w:sz w:val="18"/>
          <w:szCs w:val="18"/>
          <w:color w:val="auto"/>
        </w:rPr>
      </w:pPr>
    </w:p>
    <w:p>
      <w:pPr>
        <w:ind w:left="953"/>
        <w:spacing w:after="0"/>
        <w:rPr>
          <w:rFonts w:ascii="Arial" w:cs="Arial" w:eastAsia="Arial" w:hAnsi="Arial"/>
          <w:sz w:val="18"/>
          <w:szCs w:val="18"/>
          <w:color w:val="auto"/>
        </w:rPr>
      </w:pPr>
      <w:r>
        <w:rPr>
          <w:rFonts w:ascii="Arial" w:cs="Arial" w:eastAsia="Arial" w:hAnsi="Arial"/>
          <w:sz w:val="16"/>
          <w:szCs w:val="16"/>
          <w:color w:val="auto"/>
        </w:rPr>
        <w:t>(19)</w:t>
      </w:r>
    </w:p>
    <w:p>
      <w:pPr>
        <w:spacing w:after="0" w:line="58" w:lineRule="exact"/>
        <w:rPr>
          <w:rFonts w:ascii="Arial" w:cs="Arial" w:eastAsia="Arial" w:hAnsi="Arial"/>
          <w:sz w:val="18"/>
          <w:szCs w:val="18"/>
          <w:color w:val="auto"/>
        </w:rPr>
      </w:pPr>
    </w:p>
    <w:p>
      <w:pPr>
        <w:ind w:left="953"/>
        <w:spacing w:after="0"/>
        <w:rPr>
          <w:rFonts w:ascii="Arial" w:cs="Arial" w:eastAsia="Arial" w:hAnsi="Arial"/>
          <w:sz w:val="18"/>
          <w:szCs w:val="18"/>
          <w:color w:val="auto"/>
        </w:rPr>
      </w:pPr>
      <w:r>
        <w:rPr>
          <w:rFonts w:ascii="Arial" w:cs="Arial" w:eastAsia="Arial" w:hAnsi="Arial"/>
          <w:sz w:val="16"/>
          <w:szCs w:val="16"/>
          <w:color w:val="auto"/>
        </w:rPr>
        <w:t>(12)</w:t>
      </w:r>
    </w:p>
    <w:p>
      <w:pPr>
        <w:spacing w:after="0" w:line="46" w:lineRule="exact"/>
        <w:rPr>
          <w:rFonts w:ascii="Arial" w:cs="Arial" w:eastAsia="Arial" w:hAnsi="Arial"/>
          <w:sz w:val="18"/>
          <w:szCs w:val="18"/>
          <w:color w:val="auto"/>
        </w:rPr>
      </w:pPr>
    </w:p>
    <w:p>
      <w:pPr>
        <w:ind w:left="1113"/>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35" w:lineRule="exact"/>
        <w:rPr>
          <w:sz w:val="20"/>
          <w:szCs w:val="20"/>
          <w:color w:val="auto"/>
        </w:rPr>
      </w:pPr>
    </w:p>
    <w:p>
      <w:pPr>
        <w:ind w:left="933" w:hanging="933"/>
        <w:spacing w:after="0"/>
        <w:tabs>
          <w:tab w:leader="none" w:pos="9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48895</wp:posOffset>
            </wp:positionV>
            <wp:extent cx="822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7" w:space="720"/>
            <w:col w:w="1273"/>
          </w:cols>
          <w:pgMar w:left="320" w:top="10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2022, the Company had a cumulative federal NOL carry forward balance of $481 million for financial statement purposes, of which $88 million will begin expiring in 2037 if unutilized. The Company does not anticipate material federal income tax payments until 2027. Additionally, as of December 31, 2022, the Company had a cumulative state NOL carryforward balance of $64 million for financial statement purposes, which will expire between 2023 to 2040 if unutilized. In addition, the Company has PTC and ITC carryforward balances totaling $18 million, which will expire between 2034 and 2042 if unutilized.</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after the utilization of various federal and state NOL carryforwards, has paid $5 million in federal and state income taxes through June 30, 2023, and expects to pay approximately $3 million of additional federal and state income taxes by December 31, 2023, for the December 31, 2023 year-end. The Company does not anticipate being subject to the corporate minimum tax on financial statement income as enacted by the recently passed the IRA, which is discussed in further detail below.</w:t>
      </w:r>
    </w:p>
    <w:p>
      <w:pPr>
        <w:spacing w:after="0" w:line="13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recently enacted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is subject to examination by taxing authorities for income tax returns filed in the U.S. federal jurisdiction and various state jurisdictions. All tax returns filed by the Company for the year ended December 31, 2013 and forward remain subject to audit. As of December 31, 2022, the U.S federal partnership returns of three subsidiaries of the Company have ongoing audits being conducted by the IRS.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However, the outcome of tax audits cannot be predicted with certainty. If any issues addressed in tax audits of the Company are resolved in a manner inconsistent with its expectations, the Company could be required to adjust its provision for income taxes in the period such resolution occurs.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no material uncertain tax benefits as of June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2023</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2023</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Derivative Activity (Losses) Gains</w:t>
            </w: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December 31, 2022</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Contracts realized or otherwise settled during the period</w:t>
            </w:r>
          </w:p>
        </w:tc>
        <w:tc>
          <w:tcPr>
            <w:tcW w:w="5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Contracts acquired during the period</w:t>
            </w:r>
          </w:p>
        </w:tc>
        <w:tc>
          <w:tcPr>
            <w:tcW w:w="5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Changes in fair value</w:t>
            </w:r>
          </w:p>
        </w:tc>
        <w:tc>
          <w:tcPr>
            <w:tcW w:w="50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contracts as of June 30, 2023</w:t>
            </w:r>
          </w:p>
        </w:tc>
        <w:tc>
          <w:tcPr>
            <w:tcW w:w="5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231F20"/>
              </w:rPr>
              <w:t>49</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7"/>
          </w:tcPr>
          <w:p>
            <w:pPr>
              <w:jc w:val="center"/>
              <w:ind w:right="117"/>
              <w:spacing w:after="0"/>
              <w:rPr>
                <w:sz w:val="20"/>
                <w:szCs w:val="20"/>
                <w:color w:val="auto"/>
              </w:rPr>
            </w:pPr>
            <w:r>
              <w:rPr>
                <w:rFonts w:ascii="Arial" w:cs="Arial" w:eastAsia="Arial" w:hAnsi="Arial"/>
                <w:sz w:val="14"/>
                <w:szCs w:val="14"/>
                <w:b w:val="1"/>
                <w:bCs w:val="1"/>
                <w:color w:val="auto"/>
                <w:w w:val="91"/>
              </w:rPr>
              <w:t>Fair value of contracts as of June 30, 2023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Total Fair</w:t>
            </w:r>
          </w:p>
        </w:tc>
      </w:tr>
      <w:tr>
        <w:trPr>
          <w:trHeight w:val="171"/>
        </w:trPr>
        <w:tc>
          <w:tcPr>
            <w:tcW w:w="20" w:type="dxa"/>
            <w:vAlign w:val="bottom"/>
          </w:tcPr>
          <w:p>
            <w:pPr>
              <w:spacing w:after="0"/>
              <w:rPr>
                <w:sz w:val="14"/>
                <w:szCs w:val="14"/>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1 Year or Less</w:t>
            </w:r>
          </w:p>
        </w:tc>
        <w:tc>
          <w:tcPr>
            <w:tcW w:w="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1 Year to 3 Years</w:t>
            </w:r>
          </w:p>
        </w:tc>
        <w:tc>
          <w:tcPr>
            <w:tcW w:w="1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3 Years to 5 Years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5 Years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Value</w:t>
            </w:r>
          </w:p>
        </w:tc>
      </w:tr>
      <w:tr>
        <w:trPr>
          <w:trHeight w:val="34"/>
        </w:trPr>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8"/>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89"/>
              </w:rPr>
              <w:t>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9"/>
              </w:rPr>
              <w:t>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89"/>
              </w:rPr>
              <w:t>19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6"/>
              </w:rPr>
              <w:t>117</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w w:val="93"/>
              </w:rPr>
              <w:t>(44)</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3"/>
              </w:rPr>
              <w:t>(85)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color w:val="auto"/>
                <w:w w:val="93"/>
              </w:rPr>
              <w:t>(99)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5"/>
              </w:rPr>
              <w:t>(303)</w:t>
            </w:r>
          </w:p>
        </w:tc>
      </w:tr>
      <w:tr>
        <w:trPr>
          <w:trHeight w:val="257"/>
        </w:trPr>
        <w:tc>
          <w:tcPr>
            <w:tcW w:w="20" w:type="dxa"/>
            <w:vAlign w:val="bottom"/>
            <w:shd w:val="clear" w:color="auto" w:fill="CCEEFF"/>
          </w:tcPr>
          <w:p>
            <w:pPr>
              <w:spacing w:after="0"/>
              <w:rPr>
                <w:sz w:val="22"/>
                <w:szCs w:val="22"/>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3"/>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3"/>
              </w:rPr>
              <w:t>(45)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77"/>
              <w:spacing w:after="0"/>
              <w:rPr>
                <w:sz w:val="20"/>
                <w:szCs w:val="20"/>
                <w:color w:val="auto"/>
              </w:rPr>
            </w:pPr>
            <w:r>
              <w:rPr>
                <w:rFonts w:ascii="Arial" w:cs="Arial" w:eastAsia="Arial" w:hAnsi="Arial"/>
                <w:sz w:val="18"/>
                <w:szCs w:val="18"/>
                <w:color w:val="auto"/>
                <w:w w:val="93"/>
              </w:rPr>
              <w:t>(80)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5"/>
              </w:rPr>
              <w:t>(186)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elected to disclose derivative assets and liabilities on a trade-by-trade basis and does not offset amounts at the counterparty master agreement level.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 an</w:t>
      </w:r>
      <w:r>
        <w:rPr>
          <w:rFonts w:ascii="Arial" w:cs="Arial" w:eastAsia="Arial" w:hAnsi="Arial"/>
          <w:sz w:val="18"/>
          <w:szCs w:val="18"/>
          <w:color w:val="231F20"/>
        </w:rPr>
        <w:t xml:space="preserve"> </w:t>
      </w:r>
      <w:r>
        <w:rPr>
          <w:rFonts w:ascii="Arial" w:cs="Arial" w:eastAsia="Arial" w:hAnsi="Arial"/>
          <w:sz w:val="18"/>
          <w:szCs w:val="18"/>
          <w:color w:val="000000"/>
        </w:rPr>
        <w:t xml:space="preserve">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2022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Based on a sensitivity analysis using simplified assumptions, the impact of a $0.05 per MWh increase or decrease in power prices across the term of the derivatives contracts would cause a change of approximately $6 million to the net value of power derivatives as of June 30, 2023.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2022 included in the 2022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June 30, 2023</w:t>
      </w:r>
      <w:r>
        <w:rPr>
          <w:rFonts w:ascii="Arial" w:cs="Arial" w:eastAsia="Arial" w:hAnsi="Arial"/>
          <w:sz w:val="18"/>
          <w:szCs w:val="18"/>
          <w:color w:val="231F20"/>
        </w:rPr>
        <w:t xml:space="preserve">, the counterparties would have owed the Company </w:t>
      </w:r>
      <w:r>
        <w:rPr>
          <w:rFonts w:ascii="Arial" w:cs="Arial" w:eastAsia="Arial" w:hAnsi="Arial"/>
          <w:sz w:val="18"/>
          <w:szCs w:val="18"/>
          <w:color w:val="000000"/>
        </w:rPr>
        <w:t>$121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 has long-term debt instruments that subject it to the risk of loss associated with movements in market interest rates. As of </w:t>
      </w:r>
      <w:r>
        <w:rPr>
          <w:rFonts w:ascii="Arial" w:cs="Arial" w:eastAsia="Arial" w:hAnsi="Arial"/>
          <w:sz w:val="18"/>
          <w:szCs w:val="18"/>
          <w:color w:val="000000"/>
        </w:rPr>
        <w:t>June 30,</w:t>
      </w:r>
      <w:r>
        <w:rPr>
          <w:rFonts w:ascii="Arial" w:cs="Arial" w:eastAsia="Arial" w:hAnsi="Arial"/>
          <w:sz w:val="18"/>
          <w:szCs w:val="18"/>
          <w:color w:val="231F20"/>
        </w:rPr>
        <w:t xml:space="preserve"> </w:t>
      </w:r>
      <w:r>
        <w:rPr>
          <w:rFonts w:ascii="Arial" w:cs="Arial" w:eastAsia="Arial" w:hAnsi="Arial"/>
          <w:sz w:val="18"/>
          <w:szCs w:val="18"/>
          <w:color w:val="000000"/>
        </w:rPr>
        <w:t>2023</w:t>
      </w:r>
      <w:r>
        <w:rPr>
          <w:rFonts w:ascii="Arial" w:cs="Arial" w:eastAsia="Arial" w:hAnsi="Arial"/>
          <w:sz w:val="18"/>
          <w:szCs w:val="18"/>
          <w:color w:val="231F20"/>
        </w:rPr>
        <w:t>, a change of 1%, or 100 basis points, in interest rates would result in an approximately $2 million change in market interest expense on a rolling</w:t>
      </w:r>
      <w:r>
        <w:rPr>
          <w:rFonts w:ascii="Arial" w:cs="Arial" w:eastAsia="Arial" w:hAnsi="Arial"/>
          <w:sz w:val="18"/>
          <w:szCs w:val="18"/>
          <w:color w:val="000000"/>
        </w:rPr>
        <w:t xml:space="preserve"> </w:t>
      </w:r>
      <w:r>
        <w:rPr>
          <w:rFonts w:ascii="Arial" w:cs="Arial" w:eastAsia="Arial" w:hAnsi="Arial"/>
          <w:sz w:val="18"/>
          <w:szCs w:val="18"/>
          <w:color w:val="231F20"/>
        </w:rPr>
        <w:t>twelve-month basis.</w:t>
      </w:r>
    </w:p>
    <w:p>
      <w:pPr>
        <w:spacing w:after="0" w:line="13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June 30, 2023</w:t>
      </w:r>
      <w:r>
        <w:rPr>
          <w:rFonts w:ascii="Arial" w:cs="Arial" w:eastAsia="Arial" w:hAnsi="Arial"/>
          <w:sz w:val="16"/>
          <w:szCs w:val="16"/>
          <w:color w:val="231F20"/>
        </w:rPr>
        <w:t>, the fair value of the Company’s debt was $6.52 billion and the carrying value was $7.10 billion. The Company estimates that a decrease of 1%, or 100 basis points, in market interest rates would have increased the fair value of its long-term debt by approximately $338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June 30, 2023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June 30, 2023, see Note 12,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2022 Form 10-K. There have been no material changes in the Company’s risk factors since those reported in its 2022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76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c>
          <w:tcPr>
            <w:tcW w:w="4260" w:type="dxa"/>
            <w:vAlign w:val="bottom"/>
          </w:tcPr>
          <w:p>
            <w:pPr>
              <w:ind w:left="100"/>
              <w:spacing w:after="0"/>
              <w:rPr>
                <w:sz w:val="20"/>
                <w:szCs w:val="20"/>
                <w:color w:val="auto"/>
              </w:rPr>
            </w:pPr>
            <w:r>
              <w:rPr>
                <w:rFonts w:ascii="Arial" w:cs="Arial" w:eastAsia="Arial" w:hAnsi="Arial"/>
                <w:sz w:val="16"/>
                <w:szCs w:val="16"/>
                <w:b w:val="1"/>
                <w:bCs w:val="1"/>
                <w:color w:val="auto"/>
              </w:rPr>
              <w:t>Method of Filing</w:t>
            </w:r>
          </w:p>
        </w:tc>
      </w:tr>
      <w:tr>
        <w:trPr>
          <w:trHeight w:val="181"/>
        </w:trPr>
        <w:tc>
          <w:tcPr>
            <w:tcW w:w="1060" w:type="dxa"/>
            <w:vAlign w:val="bottom"/>
            <w:gridSpan w:val="2"/>
          </w:tcPr>
          <w:p>
            <w:pPr>
              <w:spacing w:after="0" w:line="181" w:lineRule="exact"/>
              <w:rPr>
                <w:sz w:val="20"/>
                <w:szCs w:val="20"/>
                <w:color w:val="auto"/>
              </w:rPr>
            </w:pPr>
            <w:r>
              <w:rPr>
                <w:rFonts w:ascii="Arial" w:cs="Arial" w:eastAsia="Arial" w:hAnsi="Arial"/>
                <w:sz w:val="16"/>
                <w:szCs w:val="16"/>
                <w:color w:val="auto"/>
              </w:rPr>
              <w:t>10.1†*</w:t>
            </w:r>
          </w:p>
        </w:tc>
        <w:tc>
          <w:tcPr>
            <w:tcW w:w="5760" w:type="dxa"/>
            <w:vAlign w:val="bottom"/>
            <w:gridSpan w:val="6"/>
          </w:tcPr>
          <w:p>
            <w:pPr>
              <w:spacing w:after="0" w:line="181" w:lineRule="exact"/>
              <w:rPr>
                <w:rFonts w:ascii="Arial" w:cs="Arial" w:eastAsia="Arial" w:hAnsi="Arial"/>
                <w:sz w:val="16"/>
                <w:szCs w:val="16"/>
                <w:color w:val="0000FF"/>
                <w:w w:val="93"/>
              </w:rPr>
            </w:pPr>
            <w:hyperlink r:id="rId125">
              <w:r>
                <w:rPr>
                  <w:rFonts w:ascii="Arial" w:cs="Arial" w:eastAsia="Arial" w:hAnsi="Arial"/>
                  <w:sz w:val="16"/>
                  <w:szCs w:val="16"/>
                  <w:color w:val="0000FF"/>
                  <w:w w:val="93"/>
                </w:rPr>
                <w:t>Membership Interest Purchase Agreement, dated as of May 19, 2023, by and between</w:t>
              </w:r>
            </w:hyperlink>
          </w:p>
        </w:tc>
        <w:tc>
          <w:tcPr>
            <w:tcW w:w="4260" w:type="dxa"/>
            <w:vAlign w:val="bottom"/>
          </w:tcPr>
          <w:p>
            <w:pPr>
              <w:ind w:left="100"/>
              <w:spacing w:after="0" w:line="181" w:lineRule="exact"/>
              <w:rPr>
                <w:sz w:val="20"/>
                <w:szCs w:val="20"/>
                <w:color w:val="auto"/>
              </w:rPr>
            </w:pPr>
            <w:r>
              <w:rPr>
                <w:rFonts w:ascii="Arial" w:cs="Arial" w:eastAsia="Arial" w:hAnsi="Arial"/>
                <w:sz w:val="16"/>
                <w:szCs w:val="16"/>
                <w:color w:val="auto"/>
              </w:rPr>
              <w:t>Incorporated herein by reference to Exhibit 10.1 to the</w:t>
            </w:r>
          </w:p>
        </w:tc>
      </w:tr>
      <w:tr>
        <w:trPr>
          <w:trHeight w:val="169"/>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54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125">
              <w:r>
                <w:rPr>
                  <w:rFonts w:ascii="Arial" w:cs="Arial" w:eastAsia="Arial" w:hAnsi="Arial"/>
                  <w:sz w:val="16"/>
                  <w:szCs w:val="16"/>
                  <w:color w:val="0000FF"/>
                </w:rPr>
                <w:t>Renew Development HoldCo LLC and Cedar Creek Wind Holdco LLC.</w:t>
              </w:r>
            </w:hyperlink>
          </w:p>
        </w:tc>
        <w:tc>
          <w:tcPr>
            <w:tcW w:w="220" w:type="dxa"/>
            <w:vAlign w:val="bottom"/>
          </w:tcPr>
          <w:p>
            <w:pPr>
              <w:spacing w:after="0"/>
              <w:rPr>
                <w:sz w:val="14"/>
                <w:szCs w:val="14"/>
                <w:color w:val="auto"/>
              </w:rPr>
            </w:pPr>
          </w:p>
        </w:tc>
        <w:tc>
          <w:tcPr>
            <w:tcW w:w="4260" w:type="dxa"/>
            <w:vAlign w:val="bottom"/>
          </w:tcPr>
          <w:p>
            <w:pPr>
              <w:ind w:left="100"/>
              <w:spacing w:after="0" w:line="169" w:lineRule="exact"/>
              <w:rPr>
                <w:sz w:val="20"/>
                <w:szCs w:val="20"/>
                <w:color w:val="auto"/>
              </w:rPr>
            </w:pPr>
            <w:r>
              <w:rPr>
                <w:rFonts w:ascii="Arial" w:cs="Arial" w:eastAsia="Arial" w:hAnsi="Arial"/>
                <w:sz w:val="16"/>
                <w:szCs w:val="16"/>
                <w:color w:val="auto"/>
                <w:w w:val="92"/>
              </w:rPr>
              <w:t>Company’s Current Report on Form 8-K filed on May 24, 2023.</w:t>
            </w:r>
          </w:p>
        </w:tc>
      </w:tr>
      <w:tr>
        <w:trPr>
          <w:trHeight w:val="223"/>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80" w:type="dxa"/>
            <w:vAlign w:val="bottom"/>
          </w:tcPr>
          <w:p>
            <w:pPr>
              <w:spacing w:after="0"/>
              <w:rPr>
                <w:sz w:val="19"/>
                <w:szCs w:val="19"/>
                <w:color w:val="auto"/>
              </w:rPr>
            </w:pPr>
          </w:p>
        </w:tc>
        <w:tc>
          <w:tcPr>
            <w:tcW w:w="40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2"/>
              </w:rPr>
              <w:t>Rule 13a-14(a)/15d-14(a) certification of Christopher S. Sotos.</w:t>
            </w:r>
          </w:p>
        </w:tc>
        <w:tc>
          <w:tcPr>
            <w:tcW w:w="600" w:type="dxa"/>
            <w:vAlign w:val="bottom"/>
            <w:tcBorders>
              <w:top w:val="single" w:sz="8" w:color="0000FF"/>
            </w:tcBorders>
          </w:tcPr>
          <w:p>
            <w:pPr>
              <w:spacing w:after="0"/>
              <w:rPr>
                <w:sz w:val="19"/>
                <w:szCs w:val="19"/>
                <w:color w:val="auto"/>
              </w:rPr>
            </w:pPr>
          </w:p>
        </w:tc>
        <w:tc>
          <w:tcPr>
            <w:tcW w:w="1080" w:type="dxa"/>
            <w:vAlign w:val="bottom"/>
            <w:gridSpan w:val="2"/>
          </w:tcPr>
          <w:p>
            <w:pPr>
              <w:spacing w:after="0"/>
              <w:rPr>
                <w:sz w:val="19"/>
                <w:szCs w:val="19"/>
                <w:color w:val="auto"/>
              </w:rPr>
            </w:pP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96"/>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80" w:type="dxa"/>
            <w:vAlign w:val="bottom"/>
          </w:tcPr>
          <w:p>
            <w:pPr>
              <w:spacing w:after="0"/>
              <w:rPr>
                <w:sz w:val="17"/>
                <w:szCs w:val="17"/>
                <w:color w:val="auto"/>
              </w:rPr>
            </w:pPr>
          </w:p>
        </w:tc>
        <w:tc>
          <w:tcPr>
            <w:tcW w:w="38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1"/>
              </w:rPr>
              <w:t>Rule 13a-14(a)/15d-14(a) certification of Sarah Rubenstein.</w:t>
            </w:r>
          </w:p>
        </w:tc>
        <w:tc>
          <w:tcPr>
            <w:tcW w:w="1880" w:type="dxa"/>
            <w:vAlign w:val="bottom"/>
            <w:gridSpan w:val="4"/>
          </w:tcPr>
          <w:p>
            <w:pPr>
              <w:spacing w:after="0"/>
              <w:rPr>
                <w:sz w:val="17"/>
                <w:szCs w:val="17"/>
                <w:color w:val="auto"/>
              </w:rPr>
            </w:pP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96"/>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80" w:type="dxa"/>
            <w:vAlign w:val="bottom"/>
          </w:tcPr>
          <w:p>
            <w:pPr>
              <w:spacing w:after="0"/>
              <w:rPr>
                <w:sz w:val="17"/>
                <w:szCs w:val="17"/>
                <w:color w:val="auto"/>
              </w:rPr>
            </w:pPr>
          </w:p>
        </w:tc>
        <w:tc>
          <w:tcPr>
            <w:tcW w:w="5760" w:type="dxa"/>
            <w:vAlign w:val="bottom"/>
            <w:gridSpan w:val="6"/>
          </w:tcPr>
          <w:p>
            <w:pPr>
              <w:spacing w:after="0"/>
              <w:rPr>
                <w:sz w:val="20"/>
                <w:szCs w:val="20"/>
                <w:color w:val="auto"/>
              </w:rPr>
            </w:pPr>
            <w:r>
              <w:rPr>
                <w:rFonts w:ascii="Arial" w:cs="Arial" w:eastAsia="Arial" w:hAnsi="Arial"/>
                <w:sz w:val="16"/>
                <w:szCs w:val="16"/>
                <w:color w:val="0000FF"/>
              </w:rPr>
              <w:t>Section 1350 Certification.</w:t>
            </w:r>
          </w:p>
        </w:tc>
        <w:tc>
          <w:tcPr>
            <w:tcW w:w="4260" w:type="dxa"/>
            <w:vAlign w:val="bottom"/>
          </w:tcPr>
          <w:p>
            <w:pPr>
              <w:ind w:left="100"/>
              <w:spacing w:after="0"/>
              <w:rPr>
                <w:sz w:val="20"/>
                <w:szCs w:val="20"/>
                <w:color w:val="auto"/>
              </w:rPr>
            </w:pPr>
            <w:r>
              <w:rPr>
                <w:rFonts w:ascii="Arial" w:cs="Arial" w:eastAsia="Arial" w:hAnsi="Arial"/>
                <w:sz w:val="16"/>
                <w:szCs w:val="16"/>
                <w:color w:val="auto"/>
              </w:rPr>
              <w:t>Furnished herewith.</w:t>
            </w:r>
          </w:p>
        </w:tc>
      </w:tr>
      <w:tr>
        <w:trPr>
          <w:trHeight w:val="20"/>
        </w:trPr>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INS</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Instance Document.</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SCH</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CAL</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DEF</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LAB</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80" w:type="dxa"/>
            <w:vAlign w:val="bottom"/>
          </w:tcPr>
          <w:p>
            <w:pPr>
              <w:spacing w:after="0"/>
              <w:rPr>
                <w:sz w:val="20"/>
                <w:szCs w:val="20"/>
                <w:color w:val="auto"/>
              </w:rPr>
            </w:pPr>
            <w:r>
              <w:rPr>
                <w:rFonts w:ascii="Arial" w:cs="Arial" w:eastAsia="Arial" w:hAnsi="Arial"/>
                <w:sz w:val="16"/>
                <w:szCs w:val="16"/>
                <w:color w:val="auto"/>
              </w:rPr>
              <w:t>PRE</w:t>
            </w:r>
          </w:p>
        </w:tc>
        <w:tc>
          <w:tcPr>
            <w:tcW w:w="576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4260" w:type="dxa"/>
            <w:vAlign w:val="bottom"/>
          </w:tcPr>
          <w:p>
            <w:pPr>
              <w:ind w:left="100"/>
              <w:spacing w:after="0"/>
              <w:rPr>
                <w:sz w:val="20"/>
                <w:szCs w:val="20"/>
                <w:color w:val="auto"/>
              </w:rPr>
            </w:pPr>
            <w:r>
              <w:rPr>
                <w:rFonts w:ascii="Arial" w:cs="Arial" w:eastAsia="Arial" w:hAnsi="Arial"/>
                <w:sz w:val="16"/>
                <w:szCs w:val="16"/>
                <w:color w:val="auto"/>
              </w:rPr>
              <w:t>Filed herewith.</w:t>
            </w:r>
          </w:p>
        </w:tc>
      </w:tr>
      <w:tr>
        <w:trPr>
          <w:trHeight w:val="172"/>
        </w:trPr>
        <w:tc>
          <w:tcPr>
            <w:tcW w:w="280" w:type="dxa"/>
            <w:vAlign w:val="bottom"/>
          </w:tcPr>
          <w:p>
            <w:pPr>
              <w:spacing w:after="0" w:line="171" w:lineRule="exact"/>
              <w:rPr>
                <w:sz w:val="20"/>
                <w:szCs w:val="20"/>
                <w:color w:val="auto"/>
              </w:rPr>
            </w:pPr>
            <w:r>
              <w:rPr>
                <w:rFonts w:ascii="Arial" w:cs="Arial" w:eastAsia="Arial" w:hAnsi="Arial"/>
                <w:sz w:val="16"/>
                <w:szCs w:val="16"/>
                <w:color w:val="auto"/>
                <w:w w:val="97"/>
              </w:rPr>
              <w:t>104</w:t>
            </w:r>
          </w:p>
        </w:tc>
        <w:tc>
          <w:tcPr>
            <w:tcW w:w="780" w:type="dxa"/>
            <w:vAlign w:val="bottom"/>
          </w:tcPr>
          <w:p>
            <w:pPr>
              <w:spacing w:after="0"/>
              <w:rPr>
                <w:sz w:val="14"/>
                <w:szCs w:val="14"/>
                <w:color w:val="auto"/>
              </w:rPr>
            </w:pPr>
          </w:p>
        </w:tc>
        <w:tc>
          <w:tcPr>
            <w:tcW w:w="5760" w:type="dxa"/>
            <w:vAlign w:val="bottom"/>
            <w:gridSpan w:val="6"/>
          </w:tcPr>
          <w:p>
            <w:pPr>
              <w:spacing w:after="0" w:line="171" w:lineRule="exact"/>
              <w:rPr>
                <w:sz w:val="20"/>
                <w:szCs w:val="20"/>
                <w:color w:val="auto"/>
              </w:rPr>
            </w:pPr>
            <w:r>
              <w:rPr>
                <w:rFonts w:ascii="Arial" w:cs="Arial" w:eastAsia="Arial" w:hAnsi="Arial"/>
                <w:sz w:val="16"/>
                <w:szCs w:val="16"/>
                <w:color w:val="auto"/>
                <w:w w:val="92"/>
              </w:rPr>
              <w:t>Cover Page Interactive Data File (the cover page interactive data file does not appear in</w:t>
            </w:r>
          </w:p>
        </w:tc>
        <w:tc>
          <w:tcPr>
            <w:tcW w:w="4260" w:type="dxa"/>
            <w:vAlign w:val="bottom"/>
          </w:tcPr>
          <w:p>
            <w:pPr>
              <w:ind w:left="100"/>
              <w:spacing w:after="0" w:line="171" w:lineRule="exact"/>
              <w:rPr>
                <w:sz w:val="20"/>
                <w:szCs w:val="20"/>
                <w:color w:val="auto"/>
              </w:rPr>
            </w:pPr>
            <w:r>
              <w:rPr>
                <w:rFonts w:ascii="Arial" w:cs="Arial" w:eastAsia="Arial" w:hAnsi="Arial"/>
                <w:sz w:val="16"/>
                <w:szCs w:val="16"/>
                <w:color w:val="auto"/>
              </w:rPr>
              <w:t>Filed herewith.</w:t>
            </w:r>
          </w:p>
        </w:tc>
      </w:tr>
      <w:tr>
        <w:trPr>
          <w:trHeight w:val="162"/>
        </w:trPr>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760" w:type="dxa"/>
            <w:vAlign w:val="bottom"/>
            <w:gridSpan w:val="6"/>
          </w:tcPr>
          <w:p>
            <w:pPr>
              <w:spacing w:after="0" w:line="162" w:lineRule="exact"/>
              <w:rPr>
                <w:sz w:val="20"/>
                <w:szCs w:val="20"/>
                <w:color w:val="auto"/>
              </w:rPr>
            </w:pPr>
            <w:r>
              <w:rPr>
                <w:rFonts w:ascii="Arial" w:cs="Arial" w:eastAsia="Arial" w:hAnsi="Arial"/>
                <w:sz w:val="16"/>
                <w:szCs w:val="16"/>
                <w:color w:val="auto"/>
              </w:rPr>
              <w:t>Exhibit 104 because its Inline XBRL tags are embedded within the Inline XBRL</w:t>
            </w:r>
          </w:p>
        </w:tc>
        <w:tc>
          <w:tcPr>
            <w:tcW w:w="4260" w:type="dxa"/>
            <w:vAlign w:val="bottom"/>
          </w:tcPr>
          <w:p>
            <w:pPr>
              <w:spacing w:after="0"/>
              <w:rPr>
                <w:sz w:val="14"/>
                <w:szCs w:val="14"/>
                <w:color w:val="auto"/>
              </w:rPr>
            </w:pPr>
          </w:p>
        </w:tc>
      </w:tr>
      <w:tr>
        <w:trPr>
          <w:trHeight w:val="206"/>
        </w:trPr>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76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4260" w:type="dxa"/>
            <w:vAlign w:val="bottom"/>
          </w:tcPr>
          <w:p>
            <w:pPr>
              <w:spacing w:after="0"/>
              <w:rPr>
                <w:sz w:val="17"/>
                <w:szCs w:val="17"/>
                <w:color w:val="auto"/>
              </w:rPr>
            </w:pPr>
          </w:p>
        </w:tc>
      </w:tr>
    </w:tbl>
    <w:p>
      <w:pPr>
        <w:spacing w:after="0" w:line="221" w:lineRule="exact"/>
        <w:rPr>
          <w:sz w:val="20"/>
          <w:szCs w:val="20"/>
          <w:color w:val="auto"/>
        </w:rPr>
      </w:pPr>
    </w:p>
    <w:p>
      <w:pPr>
        <w:ind w:right="480" w:firstLine="8"/>
        <w:spacing w:after="0" w:line="258" w:lineRule="auto"/>
        <w:tabs>
          <w:tab w:leader="none" w:pos="1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239" w:lineRule="auto"/>
        <w:rPr>
          <w:rFonts w:ascii="Arial" w:cs="Arial" w:eastAsia="Arial" w:hAnsi="Arial"/>
          <w:sz w:val="17"/>
          <w:szCs w:val="17"/>
          <w:color w:val="auto"/>
        </w:rPr>
      </w:pPr>
      <w:r>
        <w:rPr>
          <w:rFonts w:ascii="Arial" w:cs="Arial" w:eastAsia="Arial" w:hAnsi="Arial"/>
          <w:sz w:val="18"/>
          <w:szCs w:val="18"/>
          <w:color w:val="auto"/>
        </w:rPr>
        <w:t>* 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CLEARWAY ENERGY, INC.</w:t>
      </w:r>
    </w:p>
    <w:p>
      <w:pPr>
        <w:ind w:left="666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President and Chief Executive Officer</w:t>
      </w:r>
    </w:p>
    <w:p>
      <w:pPr>
        <w:ind w:left="6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580" w:type="dxa"/>
            <w:vAlign w:val="bottom"/>
          </w:tcPr>
          <w:p>
            <w:pPr>
              <w:spacing w:after="0" w:line="189" w:lineRule="exact"/>
              <w:rPr>
                <w:sz w:val="20"/>
                <w:szCs w:val="20"/>
                <w:color w:val="auto"/>
              </w:rPr>
            </w:pPr>
            <w:r>
              <w:rPr>
                <w:rFonts w:ascii="Arial" w:cs="Arial" w:eastAsia="Arial" w:hAnsi="Arial"/>
                <w:sz w:val="18"/>
                <w:szCs w:val="18"/>
                <w:i w:val="1"/>
                <w:iCs w:val="1"/>
                <w:color w:val="auto"/>
              </w:rPr>
              <w:t>Officer</w:t>
            </w:r>
          </w:p>
        </w:tc>
        <w:tc>
          <w:tcPr>
            <w:tcW w:w="0" w:type="dxa"/>
            <w:vAlign w:val="bottom"/>
          </w:tcPr>
          <w:p>
            <w:pPr>
              <w:spacing w:after="0"/>
              <w:rPr>
                <w:sz w:val="1"/>
                <w:szCs w:val="1"/>
                <w:color w:val="auto"/>
              </w:rPr>
            </w:pPr>
          </w:p>
        </w:tc>
      </w:tr>
      <w:tr>
        <w:trPr>
          <w:trHeight w:val="176"/>
        </w:trPr>
        <w:tc>
          <w:tcPr>
            <w:tcW w:w="3520" w:type="dxa"/>
            <w:vAlign w:val="bottom"/>
            <w:vMerge w:val="restart"/>
          </w:tcPr>
          <w:p>
            <w:pPr>
              <w:spacing w:after="0"/>
              <w:rPr>
                <w:sz w:val="20"/>
                <w:szCs w:val="20"/>
                <w:color w:val="auto"/>
              </w:rPr>
            </w:pPr>
            <w:r>
              <w:rPr>
                <w:rFonts w:ascii="Arial" w:cs="Arial" w:eastAsia="Arial" w:hAnsi="Arial"/>
                <w:sz w:val="18"/>
                <w:szCs w:val="18"/>
                <w:color w:val="auto"/>
              </w:rPr>
              <w:t>Date: August 8, 2023</w:t>
            </w:r>
          </w:p>
        </w:tc>
        <w:tc>
          <w:tcPr>
            <w:tcW w:w="3120" w:type="dxa"/>
            <w:vAlign w:val="bottom"/>
          </w:tcPr>
          <w:p>
            <w:pPr>
              <w:spacing w:after="0"/>
              <w:rPr>
                <w:sz w:val="15"/>
                <w:szCs w:val="15"/>
                <w:color w:val="auto"/>
              </w:rPr>
            </w:pPr>
          </w:p>
        </w:tc>
        <w:tc>
          <w:tcPr>
            <w:tcW w:w="4580" w:type="dxa"/>
            <w:vAlign w:val="bottom"/>
          </w:tcPr>
          <w:p>
            <w:pPr>
              <w:spacing w:after="0" w:line="176" w:lineRule="exact"/>
              <w:rPr>
                <w:sz w:val="20"/>
                <w:szCs w:val="20"/>
                <w:color w:val="auto"/>
              </w:rPr>
            </w:pPr>
            <w:r>
              <w:rPr>
                <w:rFonts w:ascii="Arial" w:cs="Arial" w:eastAsia="Arial" w:hAnsi="Arial"/>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0"/>
        </w:trPr>
        <w:tc>
          <w:tcPr>
            <w:tcW w:w="3520" w:type="dxa"/>
            <w:vAlign w:val="bottom"/>
            <w:vMerge w:val="continue"/>
          </w:tcPr>
          <w:p>
            <w:pPr>
              <w:spacing w:after="0"/>
              <w:rPr>
                <w:sz w:val="20"/>
                <w:szCs w:val="20"/>
                <w:color w:val="auto"/>
              </w:rPr>
            </w:pPr>
          </w:p>
        </w:tc>
        <w:tc>
          <w:tcPr>
            <w:tcW w:w="3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850"/>
        </w:trPr>
        <w:tc>
          <w:tcPr>
            <w:tcW w:w="352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231F20"/>
              </w:rPr>
              <w:t>55</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1800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Christopher S. Sotos</w:t>
      </w:r>
    </w:p>
    <w:p>
      <w:pPr>
        <w:ind w:left="718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7180"/>
        <w:spacing w:after="0"/>
        <w:rPr>
          <w:sz w:val="20"/>
          <w:szCs w:val="20"/>
          <w:color w:val="auto"/>
        </w:rPr>
      </w:pPr>
      <w:r>
        <w:rPr>
          <w:rFonts w:ascii="Arial" w:cs="Arial" w:eastAsia="Arial" w:hAnsi="Arial"/>
          <w:sz w:val="18"/>
          <w:szCs w:val="18"/>
          <w:i w:val="1"/>
          <w:iCs w:val="1"/>
          <w:color w:val="auto"/>
        </w:rPr>
        <w:t>(Principal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98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14605</wp:posOffset>
            </wp:positionV>
            <wp:extent cx="18256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Sarah Rubenstein</w:t>
      </w:r>
    </w:p>
    <w:p>
      <w:pPr>
        <w:ind w:left="7520"/>
        <w:spacing w:after="0" w:line="203" w:lineRule="auto"/>
        <w:rPr>
          <w:sz w:val="20"/>
          <w:szCs w:val="20"/>
          <w:color w:val="auto"/>
        </w:rPr>
      </w:pPr>
      <w:r>
        <w:rPr>
          <w:rFonts w:ascii="Arial" w:cs="Arial" w:eastAsia="Arial" w:hAnsi="Arial"/>
          <w:sz w:val="18"/>
          <w:szCs w:val="18"/>
          <w:i w:val="1"/>
          <w:iCs w:val="1"/>
          <w:color w:val="auto"/>
        </w:rPr>
        <w:t>Executive Vice President and Chief</w:t>
      </w:r>
    </w:p>
    <w:p>
      <w:pPr>
        <w:ind w:left="7520"/>
        <w:spacing w:after="0" w:line="203" w:lineRule="auto"/>
        <w:rPr>
          <w:sz w:val="20"/>
          <w:szCs w:val="20"/>
          <w:color w:val="auto"/>
        </w:rPr>
      </w:pPr>
      <w:r>
        <w:rPr>
          <w:rFonts w:ascii="Arial" w:cs="Arial" w:eastAsia="Arial" w:hAnsi="Arial"/>
          <w:sz w:val="18"/>
          <w:szCs w:val="18"/>
          <w:i w:val="1"/>
          <w:iCs w:val="1"/>
          <w:color w:val="auto"/>
        </w:rPr>
        <w:t>Financial Officer</w:t>
      </w:r>
    </w:p>
    <w:p>
      <w:pPr>
        <w:ind w:left="7520"/>
        <w:spacing w:after="0" w:line="220" w:lineRule="auto"/>
        <w:rPr>
          <w:sz w:val="20"/>
          <w:szCs w:val="20"/>
          <w:color w:val="auto"/>
        </w:rPr>
      </w:pPr>
      <w:r>
        <w:rPr>
          <w:rFonts w:ascii="Arial" w:cs="Arial" w:eastAsia="Arial" w:hAnsi="Arial"/>
          <w:sz w:val="18"/>
          <w:szCs w:val="18"/>
          <w:i w:val="1"/>
          <w:iCs w:val="1"/>
          <w:color w:val="auto"/>
        </w:rPr>
        <w:t>(Principal Financial Officer and</w:t>
      </w:r>
    </w:p>
    <w:p>
      <w:pPr>
        <w:ind w:left="7520"/>
        <w:spacing w:after="0"/>
        <w:rPr>
          <w:sz w:val="20"/>
          <w:szCs w:val="20"/>
          <w:color w:val="auto"/>
        </w:rPr>
      </w:pPr>
      <w:r>
        <w:rPr>
          <w:rFonts w:ascii="Arial" w:cs="Arial" w:eastAsia="Arial" w:hAnsi="Arial"/>
          <w:sz w:val="18"/>
          <w:szCs w:val="18"/>
          <w:i w:val="1"/>
          <w:iCs w:val="1"/>
          <w:color w:val="auto"/>
        </w:rPr>
        <w:t>Principal Accounting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891" w:right="339" w:bottom="1440" w:gutter="0" w:footer="0" w:header="0"/>
        </w:sectPr>
      </w:pPr>
    </w:p>
    <w:bookmarkStart w:id="57" w:name="page58"/>
    <w:bookmarkEnd w:id="57"/>
    <w:p>
      <w:pPr>
        <w:ind w:left="10240"/>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Inc. on Form 10-Q for the quarter ended June 30, 2023,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10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0943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Sotos</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ind w:left="58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094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Sarah Rubenstein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Executive Vice President and Chief Financial Officer</w:t>
      </w:r>
    </w:p>
    <w:p>
      <w:pPr>
        <w:ind w:left="5840"/>
        <w:spacing w:after="0"/>
        <w:rPr>
          <w:sz w:val="20"/>
          <w:szCs w:val="20"/>
          <w:color w:val="auto"/>
        </w:rPr>
      </w:pP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2"/>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2"/>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amp;"/>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25" Type="http://schemas.openxmlformats.org/officeDocument/2006/relationships/hyperlink" Target="https://www.sec.gov/Archives/edgar/data/1567683/000110465923064128/tm231666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2023-08-08T13:37:24Z</dcterms:created>
  <dcterms:modified xsi:type="dcterms:W3CDTF">2023-08-08T13:37:24Z</dcterms:modified>
</cp:coreProperties>
</file>