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2021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0" w:lineRule="exact"/>
        <w:rPr>
          <w:sz w:val="24"/>
          <w:szCs w:val="24"/>
          <w:color w:val="auto"/>
        </w:rPr>
      </w:pPr>
    </w:p>
    <w:tbl>
      <w:tblPr>
        <w:tblLayout w:type="fixed"/>
        <w:tblInd w:w="300" w:type="dxa"/>
        <w:tblCellMar>
          <w:top w:w="0" w:type="dxa"/>
          <w:left w:w="0" w:type="dxa"/>
          <w:bottom w:w="0" w:type="dxa"/>
          <w:right w:w="0" w:type="dxa"/>
        </w:tblCellMar>
      </w:tblPr>
      <w:tr>
        <w:trPr>
          <w:trHeight w:val="261"/>
        </w:trPr>
        <w:tc>
          <w:tcPr>
            <w:tcW w:w="3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89"/>
        </w:trPr>
        <w:tc>
          <w:tcPr>
            <w:tcW w:w="368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300 Carnegie Center, Suite 300, Princeton, New Jersey </w:t>
      </w:r>
      <w:r>
        <w:rPr>
          <w:rFonts w:ascii="Arial" w:cs="Arial" w:eastAsia="Arial" w:hAnsi="Arial"/>
          <w:sz w:val="18"/>
          <w:szCs w:val="18"/>
          <w:color w:val="auto"/>
        </w:rPr>
        <w:t>08540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31" w:lineRule="exact"/>
        <w:rPr>
          <w:rFonts w:ascii="MS PGothic" w:cs="MS PGothic" w:eastAsia="MS PGothic" w:hAnsi="MS PGothic"/>
          <w:sz w:val="18"/>
          <w:szCs w:val="18"/>
          <w:color w:val="auto"/>
        </w:rPr>
      </w:pPr>
    </w:p>
    <w:p>
      <w:pPr>
        <w:ind w:right="2940" w:firstLine="48"/>
        <w:spacing w:after="0" w:line="270"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388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7"/>
              </w:rPr>
              <w:t>CWEN.A</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4"/>
              </w:rPr>
              <w:t>CWEN</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12"/>
        <w:spacing w:after="0" w:line="259" w:lineRule="auto"/>
        <w:rPr>
          <w:sz w:val="20"/>
          <w:szCs w:val="20"/>
          <w:color w:val="auto"/>
        </w:rPr>
      </w:pPr>
      <w:r>
        <w:rPr>
          <w:rFonts w:ascii="Arial" w:cs="Arial" w:eastAsia="Arial" w:hAnsi="Arial"/>
          <w:sz w:val="18"/>
          <w:szCs w:val="18"/>
          <w:color w:val="auto"/>
        </w:rPr>
        <w:t xml:space="preserve">On March 1, 2021, Clearway Energy, Inc. issued a press release announcing its financial results for the year ended December 31, 2020. A copy of the press release is furnished as Exhibit 99.1 to this report on Form 8-K and is hereby incorporated by reference. </w:t>
      </w:r>
      <w:r>
        <w:rPr>
          <w:rFonts w:ascii="Arial" w:cs="Arial" w:eastAsia="Arial" w:hAnsi="Arial"/>
          <w:sz w:val="18"/>
          <w:szCs w:val="18"/>
          <w:color w:val="212529"/>
        </w:rPr>
        <w:t>In accordance with General Instruction B.2 of</w:t>
      </w:r>
      <w:r>
        <w:rPr>
          <w:rFonts w:ascii="Arial" w:cs="Arial" w:eastAsia="Arial" w:hAnsi="Arial"/>
          <w:sz w:val="18"/>
          <w:szCs w:val="18"/>
          <w:color w:val="auto"/>
        </w:rPr>
        <w:t xml:space="preserve"> </w:t>
      </w:r>
      <w:r>
        <w:rPr>
          <w:rFonts w:ascii="Arial" w:cs="Arial" w:eastAsia="Arial" w:hAnsi="Arial"/>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6" w:right="339" w:bottom="1440" w:gutter="0" w:footer="0" w:header="0"/>
        </w:sectPr>
      </w:pP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March 1, 2021</w:t>
        </w:r>
      </w:hyperlink>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22" w:lineRule="exact"/>
        <w:rPr>
          <w:sz w:val="20"/>
          <w:szCs w:val="20"/>
          <w:color w:val="auto"/>
        </w:rPr>
      </w:pPr>
    </w:p>
    <w:p>
      <w:pPr>
        <w:sectPr>
          <w:pgSz w:w="11900" w:h="16838" w:orient="portrait"/>
          <w:cols w:equalWidth="0" w:num="2">
            <w:col w:w="1740" w:space="720"/>
            <w:col w:w="8780"/>
          </w:cols>
          <w:pgMar w:left="320" w:top="1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222"/>
        </w:trPr>
        <w:tc>
          <w:tcPr>
            <w:tcW w:w="5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Kevin P. Malcarney</w:t>
            </w:r>
          </w:p>
        </w:tc>
      </w:tr>
      <w:tr>
        <w:trPr>
          <w:trHeight w:val="230"/>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Full Year 2020 Financial Results</w:t>
      </w:r>
    </w:p>
    <w:p>
      <w:pPr>
        <w:spacing w:after="0" w:line="2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Closed on or committed to invest $880 million in new growth investments during 2020</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Executed on $1.4 billion in capital formation through project level debt optimization, new corporate level financing, and the recycling of non-strategic assets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Signed third party acquisition agreement in February 2021 for the 264 MW Mt. Storm wind project</w:t>
      </w:r>
    </w:p>
    <w:p>
      <w:pPr>
        <w:spacing w:after="0" w:line="31" w:lineRule="exact"/>
        <w:rPr>
          <w:rFonts w:ascii="Arial" w:cs="Arial" w:eastAsia="Arial" w:hAnsi="Arial"/>
          <w:sz w:val="18"/>
          <w:szCs w:val="18"/>
          <w:b w:val="1"/>
          <w:bCs w:val="1"/>
          <w:i w:val="1"/>
          <w:iCs w:val="1"/>
          <w:color w:val="auto"/>
        </w:rPr>
      </w:pPr>
    </w:p>
    <w:p>
      <w:pPr>
        <w:ind w:left="660" w:hanging="328"/>
        <w:spacing w:after="0" w:line="234"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Increased quarterly dividend by 1.9% to $0.324 per share in the first quarter of 2021; Reiterating Clearway’s long term annual dividend growth target of 5-8%, with upper end in 2021</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Raising pro forma CAFD outlook following the execution on, and commitment to, new growth</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March 1, 2021</w:t>
      </w:r>
      <w:r>
        <w:rPr>
          <w:rFonts w:ascii="Arial" w:cs="Arial" w:eastAsia="Arial" w:hAnsi="Arial"/>
          <w:sz w:val="18"/>
          <w:szCs w:val="18"/>
          <w:color w:val="auto"/>
        </w:rPr>
        <w:t>— Clearway Energy, Inc. (NYSE: CWEN, CWEN.A) today reported fourth quarter 2020 financial results,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$73 million, Adjusted EBITDA of $229 million, Cash from Operating Activities of $104 million, and Cash Available for Distribution (CAFD) of $30 million.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Clearway successfully positioned itself to deliver on its objectives and grow over the long term by committing to $880 million in growth investments while also forming approximately $1.4 billion dollars in capital to optimize the balance sheet and fund new growth,” said Christopher Sotos, Clearway Energy, Inc.’s President and Chief Executive Officer. “With binding agreements for a cash equity partnership in a 1.6 GW portfolio, the acquisition of the additional interest in Agua Caliente now closed, and the recent signing of the 264 MW Mt. Storm wind project, Clearway has also further advanced its growth outlook. With these new growth investments the Company is able to increase its pro forma CAFD outlook to $385 million whereby further positioning Clearway for sustained long term dividend growth.”</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Table 1: Net (Loss)/ Income</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2"/>
        </w:trPr>
        <w:tc>
          <w:tcPr>
            <w:tcW w:w="300" w:type="dxa"/>
            <w:vAlign w:val="bottom"/>
          </w:tcPr>
          <w:p>
            <w:pPr>
              <w:spacing w:after="0"/>
              <w:rPr>
                <w:sz w:val="21"/>
                <w:szCs w:val="21"/>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30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12/31/20</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12/31/19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12/31/20</w:t>
            </w:r>
          </w:p>
        </w:tc>
        <w:tc>
          <w:tcPr>
            <w:tcW w:w="14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12/31/19</w:t>
            </w:r>
          </w:p>
        </w:tc>
      </w:tr>
      <w:tr>
        <w:trPr>
          <w:trHeight w:val="223"/>
        </w:trPr>
        <w:tc>
          <w:tcPr>
            <w:tcW w:w="300" w:type="dxa"/>
            <w:vAlign w:val="bottom"/>
          </w:tcPr>
          <w:p>
            <w:pPr>
              <w:spacing w:after="0"/>
              <w:rPr>
                <w:sz w:val="19"/>
                <w:szCs w:val="19"/>
                <w:color w:val="auto"/>
              </w:rPr>
            </w:pPr>
          </w:p>
        </w:tc>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30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(34)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30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30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(52)</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48"/>
        </w:trPr>
        <w:tc>
          <w:tcPr>
            <w:tcW w:w="300" w:type="dxa"/>
            <w:vAlign w:val="bottom"/>
          </w:tcPr>
          <w:p>
            <w:pPr>
              <w:spacing w:after="0"/>
              <w:rPr>
                <w:sz w:val="21"/>
                <w:szCs w:val="21"/>
                <w:color w:val="auto"/>
              </w:rPr>
            </w:pPr>
          </w:p>
        </w:tc>
        <w:tc>
          <w:tcPr>
            <w:tcW w:w="4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Income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300" w:type="dxa"/>
            <w:vAlign w:val="bottom"/>
          </w:tcPr>
          <w:p>
            <w:pPr>
              <w:spacing w:after="0" w:line="20" w:lineRule="exact"/>
              <w:rPr>
                <w:sz w:val="1"/>
                <w:szCs w:val="1"/>
                <w:color w:val="auto"/>
              </w:rPr>
            </w:pPr>
          </w:p>
        </w:tc>
        <w:tc>
          <w:tcPr>
            <w:tcW w:w="4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2"/>
        </w:trPr>
        <w:tc>
          <w:tcPr>
            <w:tcW w:w="300" w:type="dxa"/>
            <w:vAlign w:val="bottom"/>
          </w:tcPr>
          <w:p>
            <w:pPr>
              <w:spacing w:after="0"/>
              <w:rPr>
                <w:sz w:val="21"/>
                <w:szCs w:val="21"/>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30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12/31/20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12/31/19</w:t>
            </w:r>
          </w:p>
        </w:tc>
      </w:tr>
      <w:tr>
        <w:trPr>
          <w:trHeight w:val="223"/>
        </w:trPr>
        <w:tc>
          <w:tcPr>
            <w:tcW w:w="300" w:type="dxa"/>
            <w:vAlign w:val="bottom"/>
          </w:tcPr>
          <w:p>
            <w:pPr>
              <w:spacing w:after="0"/>
              <w:rPr>
                <w:sz w:val="19"/>
                <w:szCs w:val="19"/>
                <w:color w:val="auto"/>
              </w:rPr>
            </w:pPr>
          </w:p>
        </w:tc>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30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29"/>
        </w:trPr>
        <w:tc>
          <w:tcPr>
            <w:tcW w:w="30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30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300" w:type="dxa"/>
            <w:vAlign w:val="bottom"/>
          </w:tcPr>
          <w:p>
            <w:pPr>
              <w:spacing w:after="0"/>
              <w:rPr>
                <w:sz w:val="19"/>
                <w:szCs w:val="19"/>
                <w:color w:val="auto"/>
              </w:rPr>
            </w:pPr>
          </w:p>
        </w:tc>
        <w:tc>
          <w:tcPr>
            <w:tcW w:w="4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12/31/20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12/31/19</w:t>
            </w:r>
          </w:p>
        </w:tc>
      </w:tr>
      <w:tr>
        <w:trPr>
          <w:trHeight w:val="223"/>
        </w:trPr>
        <w:tc>
          <w:tcPr>
            <w:tcW w:w="5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50"/>
        </w:trPr>
        <w:tc>
          <w:tcPr>
            <w:tcW w:w="508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fourth quarter of 2020, the Company reported a Net Loss of $73 million, Adjusted EBITDA of $229 million, Cash from Operating Activities of $104 million, and CAFD of $30 million. Net Loss increased versus the fourth quarter of 2019 primarily due to higher depreciation expense from growth investments and non-cash impairment losses primarily related to various wind projects. Fourth quarter Adjusted EBITDA results were higher than 2019 primarily due to the acquisition of Carlsbad, stronger wind resource primarily at Alta, and higher performance across the solar fleet. In the fourth quarter, CAFD results were higher than 2019 primarily due to improved year over year Adjusted EBITDA and lower maintenance capital expenditures versus last year.</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full year of 2020, the Company reported a Net Loss of $62 million, Adjusted EBITDA of $1,082 million, Cash from Operating Activities of $545 million, and CAFD of $295 million. Adjusted EBITDA results were higher than 2019 primarily due to the contribution of growth investments and higher renewable energy production versus last year. For the full year, CAFD results were higher than 2019 primarily due to the Adjusted EBITDA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COVID-19 pandemic, the Company has implemented measures and developed corporate and regional response plans to protect its employees and to maintain safe and reliable operations at its facilities. The Company does not currently anticipate any material impact to its financial conditions resulting from the pandemic, however it has seen some degradation in volumetric sales at certain Thermal locations. The Company continues to anticipate that there will be lower volumetric sales at the Thermal segment through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2"/>
        </w:trPr>
        <w:tc>
          <w:tcPr>
            <w:tcW w:w="14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4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3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140" w:type="dxa"/>
            <w:vAlign w:val="bottom"/>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12/31/19</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12/31/19</w:t>
            </w:r>
          </w:p>
        </w:tc>
      </w:tr>
      <w:tr>
        <w:trPr>
          <w:trHeight w:val="250"/>
        </w:trPr>
        <w:tc>
          <w:tcPr>
            <w:tcW w:w="140" w:type="dxa"/>
            <w:vAlign w:val="bottom"/>
          </w:tcPr>
          <w:p>
            <w:pPr>
              <w:spacing w:after="0"/>
              <w:rPr>
                <w:sz w:val="21"/>
                <w:szCs w:val="21"/>
                <w:color w:val="auto"/>
              </w:rPr>
            </w:pPr>
          </w:p>
        </w:tc>
        <w:tc>
          <w:tcPr>
            <w:tcW w:w="406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Conventional Equivalent Availability Factor</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96.7 %</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r>
      <w:tr>
        <w:trPr>
          <w:trHeight w:val="257"/>
        </w:trPr>
        <w:tc>
          <w:tcPr>
            <w:tcW w:w="140" w:type="dxa"/>
            <w:vAlign w:val="bottom"/>
          </w:tcPr>
          <w:p>
            <w:pPr>
              <w:spacing w:after="0"/>
              <w:rPr>
                <w:sz w:val="22"/>
                <w:szCs w:val="22"/>
                <w:color w:val="auto"/>
              </w:rPr>
            </w:pPr>
          </w:p>
        </w:tc>
        <w:tc>
          <w:tcPr>
            <w:tcW w:w="42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1,714</w:t>
            </w:r>
          </w:p>
        </w:tc>
        <w:tc>
          <w:tcPr>
            <w:tcW w:w="140" w:type="dxa"/>
            <w:vAlign w:val="bottom"/>
          </w:tcPr>
          <w:p>
            <w:pPr>
              <w:spacing w:after="0"/>
              <w:rPr>
                <w:sz w:val="22"/>
                <w:szCs w:val="22"/>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7,460</w:t>
            </w: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6,584</w:t>
            </w:r>
          </w:p>
        </w:tc>
      </w:tr>
      <w:tr>
        <w:trPr>
          <w:trHeight w:val="229"/>
        </w:trPr>
        <w:tc>
          <w:tcPr>
            <w:tcW w:w="14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4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4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2020, availability at the Conventional segment was lower than the fourth quarter of 2019 primarily due to an outage at El Segundo in December. The project is currently online and operating within expectations. Generation in the Renewables segment during the fourth quarter of 2020 was 22% higher than the fourth quarter of 2019 primarily due to the consolidation of the Distributed Generation Partnerships as a result of the Company's acquisition of Clearway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Includes adjustments to reflect CAFD generated by unconsolidated investments that were unable to distribute project dividends due to the PG&amp;E bankruptcy as of June 30, 2020</w:t>
      </w:r>
    </w:p>
    <w:p>
      <w:pPr>
        <w:spacing w:after="0" w:line="18" w:lineRule="exact"/>
        <w:rPr>
          <w:rFonts w:ascii="Arial" w:cs="Arial" w:eastAsia="Arial" w:hAnsi="Arial"/>
          <w:sz w:val="23"/>
          <w:szCs w:val="23"/>
          <w:color w:val="auto"/>
          <w:vertAlign w:val="superscript"/>
        </w:rPr>
      </w:pPr>
    </w:p>
    <w:p>
      <w:pPr>
        <w:spacing w:after="0" w:line="187" w:lineRule="auto"/>
        <w:rPr>
          <w:rFonts w:ascii="Arial" w:cs="Arial" w:eastAsia="Arial" w:hAnsi="Arial"/>
          <w:sz w:val="23"/>
          <w:szCs w:val="23"/>
          <w:color w:val="auto"/>
          <w:vertAlign w:val="superscript"/>
        </w:rPr>
      </w:pPr>
      <w:r>
        <w:rPr>
          <w:rFonts w:ascii="Arial" w:cs="Arial" w:eastAsia="Arial" w:hAnsi="Arial"/>
          <w:sz w:val="21"/>
          <w:szCs w:val="21"/>
          <w:color w:val="auto"/>
          <w:vertAlign w:val="superscript"/>
        </w:rPr>
        <w:t>2</w:t>
      </w:r>
      <w:r>
        <w:rPr>
          <w:rFonts w:ascii="Arial" w:cs="Arial" w:eastAsia="Arial" w:hAnsi="Arial"/>
          <w:sz w:val="13"/>
          <w:szCs w:val="13"/>
          <w:color w:val="auto"/>
        </w:rPr>
        <w:t xml:space="preserve"> Excludes unconsolidated projects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Generation sold excludes MWh that are reimbursable for economic curtailment</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308" w:lineRule="auto"/>
        <w:rPr>
          <w:sz w:val="20"/>
          <w:szCs w:val="20"/>
          <w:color w:val="auto"/>
        </w:rPr>
      </w:pPr>
      <w:r>
        <w:rPr>
          <w:rFonts w:ascii="Arial" w:cs="Arial" w:eastAsia="Arial" w:hAnsi="Arial"/>
          <w:sz w:val="17"/>
          <w:szCs w:val="17"/>
          <w:color w:val="auto"/>
        </w:rPr>
        <w:t>remaining interest in November 2020 and other growth investments. Thermal generation was 14% lower during the fourth quarter of 2020 versus last year primarily due to the disposition of Energy Center Dover and a decline in volumetric sales in part due to COVID-19 related impacts.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of 2021, severe winter weather impacted areas of the country, including Texas where the Company owns, or has an investment in, several wind projects. While the projects are now operating within expectations, during the weather event certain wind projects were unable to operate preventing the delivery of electricity to the power grid. The Company continues to assess the full financial exposure related to the circumstances, including potential mitigants, ongoing discussions with contractual counterparties, any potential disputes which may result and any state sponsored solutions to address the financial impacts caused by the circumstances. Based on available information, the Company currently estimates a direct cash impact between $20 million and $30 million in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40" w:type="dxa"/>
            <w:vAlign w:val="bottom"/>
          </w:tcPr>
          <w:p>
            <w:pPr>
              <w:spacing w:after="0"/>
              <w:rPr>
                <w:sz w:val="22"/>
                <w:szCs w:val="22"/>
                <w:color w:val="auto"/>
              </w:rPr>
            </w:pPr>
          </w:p>
        </w:tc>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 millions)</w:t>
            </w:r>
          </w:p>
        </w:tc>
        <w:tc>
          <w:tcPr>
            <w:tcW w:w="200" w:type="dxa"/>
            <w:vAlign w:val="bottom"/>
          </w:tcPr>
          <w:p>
            <w:pPr>
              <w:spacing w:after="0"/>
              <w:rPr>
                <w:sz w:val="22"/>
                <w:szCs w:val="22"/>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b w:val="1"/>
                <w:bCs w:val="1"/>
                <w:color w:val="auto"/>
                <w:w w:val="99"/>
              </w:rPr>
              <w:t>12/31/2020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12/31/2019</w:t>
            </w:r>
          </w:p>
        </w:tc>
      </w:tr>
      <w:tr>
        <w:trPr>
          <w:trHeight w:val="209"/>
        </w:trPr>
        <w:tc>
          <w:tcPr>
            <w:tcW w:w="74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6980" w:type="dxa"/>
            <w:vAlign w:val="bottom"/>
            <w:gridSpan w:val="2"/>
          </w:tcPr>
          <w:p>
            <w:pPr>
              <w:ind w:left="22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740" w:type="dxa"/>
            <w:vAlign w:val="bottom"/>
          </w:tcPr>
          <w:p>
            <w:pPr>
              <w:spacing w:after="0"/>
              <w:rPr>
                <w:sz w:val="19"/>
                <w:szCs w:val="19"/>
                <w:color w:val="auto"/>
              </w:rPr>
            </w:pP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7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Restricted Cash:</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40" w:type="dxa"/>
            <w:vAlign w:val="bottom"/>
          </w:tcPr>
          <w:p>
            <w:pPr>
              <w:spacing w:after="0"/>
              <w:rPr>
                <w:sz w:val="19"/>
                <w:szCs w:val="19"/>
                <w:color w:val="auto"/>
              </w:rPr>
            </w:pP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accounts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740" w:type="dxa"/>
            <w:vAlign w:val="bottom"/>
          </w:tcPr>
          <w:p>
            <w:pPr>
              <w:spacing w:after="0"/>
              <w:rPr>
                <w:sz w:val="18"/>
                <w:szCs w:val="18"/>
                <w:color w:val="auto"/>
              </w:rPr>
            </w:pPr>
          </w:p>
        </w:tc>
        <w:tc>
          <w:tcPr>
            <w:tcW w:w="6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26"/>
        </w:trPr>
        <w:tc>
          <w:tcPr>
            <w:tcW w:w="740" w:type="dxa"/>
            <w:vAlign w:val="bottom"/>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Cash</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740" w:type="dxa"/>
            <w:vAlign w:val="bottom"/>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48"/>
        </w:trPr>
        <w:tc>
          <w:tcPr>
            <w:tcW w:w="740" w:type="dxa"/>
            <w:vAlign w:val="bottom"/>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Liquidity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0"/>
        </w:trPr>
        <w:tc>
          <w:tcPr>
            <w:tcW w:w="74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liquidity as of December 31, 2020 was $894 million, which was $52 million higher than as of December 31, 2019 primarily due to the release of previously restricted distributions from unconsolidated investments impacted by the PG&amp;E bankruptcy, proceeds raised through corporate financings, distributions from non-recourse refinancings, and the proceeds from the residential solar portfolio divestiture which closed in May 2020. This increase was in part offset by the execution of growth investments during the year and the redemption of the remaining balance of the 2024 Senior Notes and 2020 Convertible Notes in the first half of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$197 million</w:t>
      </w:r>
      <w:r>
        <w:rPr>
          <w:rFonts w:ascii="Arial" w:cs="Arial" w:eastAsia="Arial" w:hAnsi="Arial"/>
          <w:sz w:val="18"/>
          <w:szCs w:val="18"/>
          <w:color w:val="231F20"/>
        </w:rPr>
        <w:t xml:space="preserve"> of restricted cash as of December 31, 2020.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December 31, 2020, these</w:t>
      </w:r>
      <w:r>
        <w:rPr>
          <w:rFonts w:ascii="Arial" w:cs="Arial" w:eastAsia="Arial" w:hAnsi="Arial"/>
          <w:sz w:val="18"/>
          <w:szCs w:val="18"/>
          <w:color w:val="231F20"/>
        </w:rPr>
        <w:t xml:space="preserve"> </w:t>
      </w:r>
      <w:r>
        <w:rPr>
          <w:rFonts w:ascii="Arial" w:cs="Arial" w:eastAsia="Arial" w:hAnsi="Arial"/>
          <w:sz w:val="18"/>
          <w:szCs w:val="18"/>
          <w:color w:val="000000"/>
        </w:rPr>
        <w:t>restricted funds were comprised of $73 million designated to fund operating expenses, approximately $24 million designated for current debt service payments, and $45 million of reserves for debt service, performance obligations and other items including capital expenditures. The remaining $55 million is held in distribution reserve accounts.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Agreement to Acquire Mt. Storm Wind Project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February 10, 2021, the Company entered into an agreement to acquire Mt. Storm, a 264 MW asset in West Virginia, from Castleton Commodities International. Mt. Storm will have a 10-year energy hedge with an investment-grade counterparty. The corporate capital commitment for the transaction is expected to be $96 million, subject to certain purchase price adjustments. Upon closing, the project is not expected to have a meaningful contribution to CAFD in 2021, but is expected to contribute asset CAFD on a five-year average annual basis of approximately $10 million beginning January 1, 2022. The transaction is subject to customary regulatory approvals, including FERC and Hart-Scott-Rodino and is expected to close in the first half of 2021.</w:t>
      </w:r>
    </w:p>
    <w:p>
      <w:pPr>
        <w:spacing w:after="0" w:line="200" w:lineRule="exact"/>
        <w:rPr>
          <w:sz w:val="20"/>
          <w:szCs w:val="20"/>
          <w:color w:val="auto"/>
        </w:rPr>
      </w:pPr>
    </w:p>
    <w:p>
      <w:pPr>
        <w:spacing w:after="0" w:line="32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Purchase of an Additional 35% interest in the Agua Caliente Solar Project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3, 2021 the Company acquired an additional 35% equity interest in the Agua Caliente solar project from NRG Energy, Inc. for $202 million. Agua Caliente is a 290 MW solar project located in Dateland, Arizona in which Clearway previously owned a 16% equity interest. The project has approximately 19 years remaining under a PPA with PG&amp;E and the acquisition is expected to provide incremental annual asset CAFD on a five-year average basis of $20 million prior to corporate financing. Following the close of the transaction, the Company owns a 51% equity interest in Agua Caliente and will now consolidate the project in its financial statements, which includes the project’s $719 million of non-recourse project debt as of December 31, 2020. The project’s non-recourse debt is fully amortizing and matures in 2037.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for Cash Equity Partnership in a 1.6 GW Portfolio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2020, the Company announced agreements providing for Clearway’s co-investment in a 1,204 MW portfolio of renewable energy projects developed by Clearway Group (CEG) consisting of i) 1,012 MW from five geographically diversified wind, solar, and solar plus storage assets under development and ii) the 192 MW Rosamond Central solar project which commenced operations in early 2021. Additionally, the parties amended the existing partnership agreement for the 419 MW Mesquite Star wind project providing the Company an additional 27.51% of the project’s cash flows after the first half of 2031. Approximately 90% of the generation from the projects are contracted with a diverse group of primarily investment grade counterparties and the portfolio has a greater than 14-year blended average contract length. Subject to closing adjustments and the projects achieving certain milestones, the Company expects to invest approximately $215 million in net corporate capital by the end of 2022. The expected net corporate capital includes a purchase price adjustment of $5 million received concurrent with a partnership agreement amendment for the additional interest in Mesquite Star. Based on the current expected timing of the projects achieving COD, the Company expects, before corporate financing costs, the asset CAFD contribution from the investments to be immaterial in 2021, approximately $9 million in 2022, and $20 million on a 5-year average basis beginning on January 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The assets in the partnership include:</w:t>
            </w:r>
          </w:p>
        </w:tc>
        <w:tc>
          <w:tcPr>
            <w:tcW w:w="2020" w:type="dxa"/>
            <w:vAlign w:val="bottom"/>
          </w:tcPr>
          <w:p>
            <w:pPr>
              <w:spacing w:after="0"/>
              <w:rPr>
                <w:sz w:val="20"/>
                <w:szCs w:val="20"/>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CWEN Cash</w:t>
            </w: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2"/>
              </w:rPr>
              <w:t>Target Financial</w:t>
            </w:r>
          </w:p>
        </w:tc>
        <w:tc>
          <w:tcPr>
            <w:tcW w:w="0" w:type="dxa"/>
            <w:vAlign w:val="bottom"/>
          </w:tcPr>
          <w:p>
            <w:pPr>
              <w:spacing w:after="0"/>
              <w:rPr>
                <w:sz w:val="1"/>
                <w:szCs w:val="1"/>
                <w:color w:val="auto"/>
              </w:rPr>
            </w:pPr>
          </w:p>
        </w:tc>
      </w:tr>
      <w:tr>
        <w:trPr>
          <w:trHeight w:val="175"/>
        </w:trPr>
        <w:tc>
          <w:tcPr>
            <w:tcW w:w="332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Asset</w:t>
            </w:r>
          </w:p>
        </w:tc>
        <w:tc>
          <w:tcPr>
            <w:tcW w:w="202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0"/>
              </w:rPr>
              <w:t>Project Type</w:t>
            </w:r>
          </w:p>
        </w:tc>
        <w:tc>
          <w:tcPr>
            <w:tcW w:w="1800" w:type="dxa"/>
            <w:vAlign w:val="bottom"/>
            <w:vMerge w:val="continue"/>
          </w:tcPr>
          <w:p>
            <w:pPr>
              <w:spacing w:after="0"/>
              <w:rPr>
                <w:sz w:val="15"/>
                <w:szCs w:val="15"/>
                <w:color w:val="auto"/>
              </w:rPr>
            </w:pPr>
          </w:p>
        </w:tc>
        <w:tc>
          <w:tcPr>
            <w:tcW w:w="12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MW</w:t>
            </w:r>
            <w:r>
              <w:rPr>
                <w:rFonts w:ascii="Arial" w:cs="Arial" w:eastAsia="Arial" w:hAnsi="Arial"/>
                <w:sz w:val="23"/>
                <w:szCs w:val="23"/>
                <w:b w:val="1"/>
                <w:bCs w:val="1"/>
                <w:color w:val="auto"/>
                <w:vertAlign w:val="superscript"/>
              </w:rPr>
              <w:t>4</w:t>
            </w:r>
          </w:p>
        </w:tc>
        <w:tc>
          <w:tcPr>
            <w:tcW w:w="11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0"/>
              </w:rPr>
              <w:t>State</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Allocation</w:t>
            </w:r>
          </w:p>
        </w:tc>
        <w:tc>
          <w:tcPr>
            <w:tcW w:w="12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Additional Interest in Mesquite Star</w:t>
            </w:r>
            <w:r>
              <w:rPr>
                <w:rFonts w:ascii="Arial" w:cs="Arial" w:eastAsia="Arial" w:hAnsi="Arial"/>
                <w:sz w:val="23"/>
                <w:szCs w:val="23"/>
                <w:color w:val="auto"/>
                <w:vertAlign w:val="superscript"/>
              </w:rPr>
              <w:t>5</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Utility Wind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419</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TX</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Rosamond Central</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0"/>
              </w:rPr>
              <w:t>Solar</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3"/>
              </w:rPr>
              <w:t>192</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5"/>
              </w:rPr>
              <w:t>CA</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Mesquite Sky</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Utility Wind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345</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TX</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2H21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Black Rock</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9"/>
              </w:rPr>
              <w:t>Utility Wind</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86"/>
              </w:rPr>
              <w:t>110</w:t>
            </w:r>
          </w:p>
        </w:tc>
        <w:tc>
          <w:tcPr>
            <w:tcW w:w="1140" w:type="dxa"/>
            <w:vAlign w:val="bottom"/>
          </w:tcPr>
          <w:p>
            <w:pPr>
              <w:jc w:val="center"/>
              <w:ind w:left="150"/>
              <w:spacing w:after="0"/>
              <w:rPr>
                <w:sz w:val="20"/>
                <w:szCs w:val="20"/>
                <w:color w:val="auto"/>
              </w:rPr>
            </w:pPr>
            <w:r>
              <w:rPr>
                <w:rFonts w:ascii="Arial" w:cs="Arial" w:eastAsia="Arial" w:hAnsi="Arial"/>
                <w:sz w:val="18"/>
                <w:szCs w:val="18"/>
                <w:color w:val="auto"/>
              </w:rPr>
              <w:t>WV</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92"/>
              </w:rPr>
              <w:t>2H21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Waiawa</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Solar/Storage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36</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HI</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1H22</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Mililani</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89"/>
              </w:rPr>
              <w:t>Solar/Storage</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89"/>
              </w:rPr>
              <w:t>39</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rPr>
              <w:t>HI</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92"/>
              </w:rPr>
              <w:t>1H22</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Daggett Solar</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Solar/Storage</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482</w:t>
            </w:r>
          </w:p>
        </w:tc>
        <w:tc>
          <w:tcPr>
            <w:tcW w:w="11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5"/>
              </w:rPr>
              <w:t>CA</w:t>
            </w:r>
          </w:p>
        </w:tc>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2H22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portfolio partnership agreements, Clearway will act as managing member. The remaining interest in the cash equity partnerships will be owned by Hannon Armstrong Sustainable Infrastructure Capital, Inc. (“Hannon Armstrong”) (NYSE: HASI), a leading investor in climate solutions. On December 21, 2020, the Company acquired its 50% cash equity interest in Rosamond Central for approximately $24 million and completed the amendment for the additional interest in Mesquite Star. Definitive agreements relating to the Daggett, Waiawa, and Mililani projects remain subject to certain conditions and the review and approval by CWEN’s Independent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Repowered Langford Wind Project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20, 2020, the Company acquired from Clearway Energy Group (CEG) 100% of the cash equity interests in Langford Wind, a 160 MW asset in West Texas which achieved repowering commercial operations in November 2020. The corporate capital commitment for the transaction, was $64.3 million and the project is expected to contribute asset CAFD on a five-year average annual basis of approximately $8.5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MW capacity is subject to change prior to COD; excludes 395 MW/1,580 MWh of co-located storage assets at Daggett, Waiawa, and Milila</w:t>
      </w:r>
    </w:p>
    <w:p>
      <w:pPr>
        <w:spacing w:after="0" w:line="34" w:lineRule="exact"/>
        <w:rPr>
          <w:sz w:val="20"/>
          <w:szCs w:val="20"/>
          <w:color w:val="auto"/>
        </w:rPr>
      </w:pPr>
    </w:p>
    <w:p>
      <w:pPr>
        <w:ind w:firstLine="8"/>
        <w:spacing w:after="0" w:line="201" w:lineRule="auto"/>
        <w:tabs>
          <w:tab w:leader="none" w:pos="103"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50% cash allocation percentage for Mesquite Star represents CWEN’s total cash allocation percentage in the project inclusive of its September 1, 2020 acquisition of its initial interest in the project.</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8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Binding Agreements to Acquire and Invest in a Portfolio of Renewable Energy Projects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20, 2020 the Company announced it had entered into binding agreements with CEG that enables the Company to acquire and invest in a portfolio of renewable energy projects. The following projects were included in the drop-down:</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Remaining Interest in Repowering 1.0: </w:t>
      </w:r>
      <w:r>
        <w:rPr>
          <w:rFonts w:ascii="Arial" w:cs="Arial" w:eastAsia="Arial" w:hAnsi="Arial"/>
          <w:sz w:val="18"/>
          <w:szCs w:val="18"/>
          <w:color w:val="auto"/>
        </w:rPr>
        <w:t>The Company acquired this interest on May 11, 2020 for $70 million.</w:t>
      </w:r>
    </w:p>
    <w:p>
      <w:pPr>
        <w:spacing w:after="0" w:line="27" w:lineRule="exact"/>
        <w:rPr>
          <w:rFonts w:ascii="Arial" w:cs="Arial" w:eastAsia="Arial" w:hAnsi="Arial"/>
          <w:sz w:val="18"/>
          <w:szCs w:val="18"/>
          <w:color w:val="auto"/>
        </w:rPr>
      </w:pPr>
    </w:p>
    <w:p>
      <w:pPr>
        <w:jc w:val="both"/>
        <w:ind w:left="660" w:hanging="328"/>
        <w:spacing w:after="0" w:line="234"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Rattlesnake Wind: </w:t>
      </w:r>
      <w:r>
        <w:rPr>
          <w:rFonts w:ascii="Arial" w:cs="Arial" w:eastAsia="Arial" w:hAnsi="Arial"/>
          <w:sz w:val="18"/>
          <w:szCs w:val="18"/>
          <w:color w:val="auto"/>
        </w:rPr>
        <w:t>On January 12, 2021, the Company acquired 100% of CEG's equity interest in Rattlesnake Flat, LLC, which owns the</w:t>
      </w:r>
      <w:r>
        <w:rPr>
          <w:rFonts w:ascii="Arial" w:cs="Arial" w:eastAsia="Arial" w:hAnsi="Arial"/>
          <w:sz w:val="18"/>
          <w:szCs w:val="18"/>
          <w:b w:val="1"/>
          <w:bCs w:val="1"/>
          <w:color w:val="auto"/>
        </w:rPr>
        <w:t xml:space="preserve"> </w:t>
      </w:r>
      <w:r>
        <w:rPr>
          <w:rFonts w:ascii="Arial" w:cs="Arial" w:eastAsia="Arial" w:hAnsi="Arial"/>
          <w:sz w:val="18"/>
          <w:szCs w:val="18"/>
          <w:color w:val="auto"/>
        </w:rPr>
        <w:t>Rattlesnake Wind Project, a 160 net MW wind facility located in Adams County, WA. The project has a 20-year power purchase agreement with Avista and achieved commercial operations in January 2021. The Company acquired the equity interest for $132 million and expects its net corporate capital commitment to be $119 million.</w:t>
      </w:r>
      <w:r>
        <w:rPr>
          <w:rFonts w:ascii="Arial" w:cs="Arial" w:eastAsia="Arial" w:hAnsi="Arial"/>
          <w:sz w:val="23"/>
          <w:szCs w:val="23"/>
          <w:color w:val="auto"/>
          <w:vertAlign w:val="superscript"/>
        </w:rPr>
        <w:t>6</w:t>
      </w:r>
    </w:p>
    <w:p>
      <w:pPr>
        <w:spacing w:after="0" w:line="2"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Pinnacle Wind Repowering: </w:t>
      </w:r>
      <w:r>
        <w:rPr>
          <w:rFonts w:ascii="Arial" w:cs="Arial" w:eastAsia="Arial" w:hAnsi="Arial"/>
          <w:sz w:val="16"/>
          <w:szCs w:val="16"/>
          <w:color w:val="auto"/>
        </w:rPr>
        <w:t>On February 26, 2021, the Company, through an indirect subsidiary, entered into an amended partnership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CEG to repower the Pinnacle Wind Project, a 55 net MW wind facility located in Mineral County, WV.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Partnership are expected to occur in the second half of 2021.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agreements commit the Company to invest an estimated $256 million in net corporate capital, subject to closing adjustments. The transactions are expected to have a five-year average annual asset CAFD of approximately $23 million prior to corporate financing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12, 2021, Clearway Energy, Inc.’s Board of Directors declared a quarterly dividend on Class A and Class C common stock of $0.324 per share payable on March 15, 2021, to stockholders of record as of March 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Clearway Energy, Inc.’s quarterly operating results are impacted by seasonal factors, as well as weather variability which can impact renewable energy resource and volumetric sales of steam and chilled water at the Thermal segment.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distributions from unconsolidated affiliates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 and Pro Forma CAFD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reiterating its 2021 full year CAFD guidance of $325 million.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2021 financial guidance factors in the contribution of committed growth investments based on current expected closing timelines, estimates for potential impacts on Thermal volumes related to the COVID-19 pandemic, and the Company’s current estimated financial exposure from the previously mentioned February 2021 severe weather event in Texas. 2021 CAFD guidance does not factor in the timing of when CAFD is realized from new growth investments pursuant to 5-year averages beyond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120" w:firstLine="8"/>
        <w:spacing w:after="0" w:line="201"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Net corporate capital is after proceeds from a state sales and use tax refund expected to be received in 2021; per terms of the acquisition agreement the Company’s net corporate capital will be no higher than $119 million should the refund be less than expected</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138"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With the effects above, the timing of CAFD realization pursuant to 5-year averages, and the Mt. Storm acquisition, which has yet to close, the Company is updating its Pro Forma CAFD Outlook expectations to approximately $385 million.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Financial guidance and the Pro Forma CAFD Outlook continue to be based on median renewable energy production estimates for the full year.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 2021,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Clearway Energy, Inc. is one of the largest renewable energy owners in the US with over 4,200 net MW of installed wind and solar generation projects. The Company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estimated impact of recent weather events on the Company, its operations, its facilities and its financial results, the Company’s response to such weather events, impacts related to COVID-19 or any other pandemic, the benefits of the relationship with Global Infrastructure Partners III (GIP) and GIP’s expertise, the Company’s future relationship and arrangements with GIP and Clearway Energy Group, as well as the Company's dividend expectations,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Clearway Energy, Inc. undertakes no obligation to update or revise any forward-looking statements, whether as a result of new information, future events or otherwise. The Adjusted EBITDA and Cash Available for Distribution are estimates as of today’s date, March 1, 2021,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Exchange Commission.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7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2"/>
                <w:szCs w:val="12"/>
                <w:color w:val="auto"/>
              </w:rPr>
            </w:pPr>
          </w:p>
        </w:tc>
        <w:tc>
          <w:tcPr>
            <w:tcW w:w="80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9"/>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Impairment loss on investment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Pre-acquisition net income of Drop Down Assets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(Loss) Income Excluding Pre-acquisition Net Income (Loss) of Drop Down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Net (loss)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86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 A and Class C Common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Weighted average number of Class A common shares outstanding - basic and 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number of Class C common shares outstanding - basic</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Weighted average number of Class C common shares outstanding - 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78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6"/>
              </w:rPr>
              <w:t>Earnings (Loss) per Weighted Average Class A and Class C Common Share - Basic and Diluted</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48"/>
        </w:trPr>
        <w:tc>
          <w:tcPr>
            <w:tcW w:w="7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960" w:type="dxa"/>
            <w:vAlign w:val="bottom"/>
          </w:tcPr>
          <w:p>
            <w:pPr>
              <w:jc w:val="right"/>
              <w:ind w:right="394"/>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6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on derivatives, net of income tax expense of $—, $1, and $2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Less: Pre-acquisition net income of Drop Down Assets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6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40" w:top="891" w:right="3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CLEARWAY ENERGY, INC.</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1480" w:type="dxa"/>
            <w:vAlign w:val="bottom"/>
          </w:tcPr>
          <w:p>
            <w:pPr>
              <w:jc w:val="right"/>
              <w:ind w:right="15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bottom w:val="single" w:sz="8" w:color="auto"/>
            </w:tcBorders>
            <w:vMerge w:val="restart"/>
          </w:tcPr>
          <w:p>
            <w:pPr>
              <w:spacing w:after="0" w:line="20" w:lineRule="exact"/>
              <w:rPr>
                <w:sz w:val="1"/>
                <w:szCs w:val="1"/>
                <w:color w:val="auto"/>
              </w:rPr>
            </w:pPr>
          </w:p>
        </w:tc>
        <w:tc>
          <w:tcPr>
            <w:tcW w:w="612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640" w:type="dxa"/>
            <w:vAlign w:val="bottom"/>
            <w:vMerge w:val="continue"/>
          </w:tcPr>
          <w:p>
            <w:pPr>
              <w:spacing w:after="0"/>
              <w:rPr>
                <w:sz w:val="18"/>
                <w:szCs w:val="18"/>
                <w:color w:val="auto"/>
              </w:rPr>
            </w:pPr>
          </w:p>
        </w:tc>
        <w:tc>
          <w:tcPr>
            <w:tcW w:w="6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gridSpan w:val="4"/>
          </w:tcPr>
          <w:p>
            <w:pPr>
              <w:ind w:left="11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 affiliates</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Right-of-use assets,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40" w:type="dxa"/>
            <w:vAlign w:val="bottom"/>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 — trade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Accounts payable — affiliates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Accrued interest expense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Long-term lease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193"/>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776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w w:val="95"/>
              </w:rPr>
              <w:t>Class A, Class B, Class C and Class D common stock, $0.01 par value; 3,000,000,000 shares authorized (Class A</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3"/>
              </w:rPr>
              <w:t>500,000,000, Class B 500,000,000, Class C 1,000,000,000, Class D 1,000,000,000); 201,635,990 shares issued and</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1"/>
              </w:rPr>
              <w:t>outstanding (Class A 34,599,645, Class B 42,738,750, Class C 81,558,845, Class D 42,738,750) at December 31, 2020</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0"/>
              </w:rPr>
              <w:t>and 198,819,999 shares issued and outstanding (Class A 34,599,645, Class B 42,738,750, Class C 78,742,854, Class D</w:t>
            </w:r>
          </w:p>
        </w:tc>
        <w:tc>
          <w:tcPr>
            <w:tcW w:w="1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42,738,750) at December 31, 2019</w:t>
            </w:r>
          </w:p>
        </w:tc>
        <w:tc>
          <w:tcPr>
            <w:tcW w:w="1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9"/>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9"/>
                <w:szCs w:val="19"/>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531" w:right="35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531"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6"/>
              </w:rPr>
              <w:t>Year ended December 31,</w:t>
            </w:r>
          </w:p>
        </w:tc>
        <w:tc>
          <w:tcPr>
            <w:tcW w:w="740" w:type="dxa"/>
            <w:vAlign w:val="bottom"/>
            <w:tcBorders>
              <w:bottom w:val="single" w:sz="8" w:color="auto"/>
            </w:tcBorders>
          </w:tcPr>
          <w:p>
            <w:pPr>
              <w:spacing w:after="0"/>
              <w:rPr>
                <w:sz w:val="16"/>
                <w:szCs w:val="16"/>
                <w:color w:val="auto"/>
              </w:rPr>
            </w:pPr>
          </w:p>
        </w:tc>
      </w:tr>
      <w:tr>
        <w:trPr>
          <w:trHeight w:val="186"/>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r>
      <w:tr>
        <w:trPr>
          <w:trHeight w:val="19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7960" w:type="dxa"/>
            <w:vAlign w:val="bottom"/>
          </w:tcPr>
          <w:p>
            <w:pPr>
              <w:ind w:left="1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Distributions from unconsolidated affiliates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Amortization of financing costs and debt discounts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intangibles and out-of-market contracts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Reduction in carrying amount of right-of-use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Gain on sale of unconsolidated affiliate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losses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Change in deferred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derivative instruments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Loss on disposal of asset components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used in changes in other working capital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Changes in prepaid and accrued liabilities for tolling agreements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working capital</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Partnership interest acquisition</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Acquisition of Drop Down Assets, net of cash acquired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Buyout of Wind TE Holdco noncontrolling interest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receipts from notes receivable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Return of investment from unconsolidated affiliates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Proceeds from sale of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Consolidation of DGPV Holdco 3 LLC</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19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contributions from noncontrolling interests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Buyout of Repowering Partnership II LLC noncontrolling interest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common stock</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Payments of dividends and distributions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revolving credit facility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Payments for the revolving credit facility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r>
      <w:tr>
        <w:trPr>
          <w:trHeight w:val="213"/>
        </w:trPr>
        <w:tc>
          <w:tcPr>
            <w:tcW w:w="7960" w:type="dxa"/>
            <w:vAlign w:val="bottom"/>
          </w:tcPr>
          <w:p>
            <w:pPr>
              <w:ind w:left="34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960" w:type="dxa"/>
            <w:vAlign w:val="bottom"/>
          </w:tcPr>
          <w:p>
            <w:pPr>
              <w:ind w:left="220"/>
              <w:spacing w:after="0"/>
              <w:rPr>
                <w:sz w:val="20"/>
                <w:szCs w:val="20"/>
                <w:color w:val="auto"/>
              </w:rPr>
            </w:pPr>
            <w:r>
              <w:rPr>
                <w:rFonts w:ascii="Arial" w:cs="Arial" w:eastAsia="Arial" w:hAnsi="Arial"/>
                <w:sz w:val="16"/>
                <w:szCs w:val="16"/>
                <w:color w:val="auto"/>
              </w:rPr>
              <w:t>Interest paid, net of amount capitalized</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960" w:type="dxa"/>
            <w:vAlign w:val="bottom"/>
          </w:tcPr>
          <w:p>
            <w:pPr>
              <w:ind w:left="220"/>
              <w:spacing w:after="0"/>
              <w:rPr>
                <w:sz w:val="20"/>
                <w:szCs w:val="20"/>
                <w:color w:val="auto"/>
              </w:rPr>
            </w:pPr>
            <w:r>
              <w:rPr>
                <w:rFonts w:ascii="Arial" w:cs="Arial" w:eastAsia="Arial" w:hAnsi="Arial"/>
                <w:sz w:val="16"/>
                <w:szCs w:val="16"/>
                <w:color w:val="auto"/>
              </w:rPr>
              <w:t>Reductions to fixed assets for accrued capital expenditures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9"/>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adjustment for change in tax basis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10"/>
        </w:trPr>
        <w:tc>
          <w:tcPr>
            <w:tcW w:w="7960" w:type="dxa"/>
            <w:vAlign w:val="bottom"/>
          </w:tcPr>
          <w:p>
            <w:pPr>
              <w:ind w:left="220"/>
              <w:spacing w:after="0"/>
              <w:rPr>
                <w:sz w:val="20"/>
                <w:szCs w:val="20"/>
                <w:color w:val="auto"/>
              </w:rPr>
            </w:pPr>
            <w:r>
              <w:rPr>
                <w:rFonts w:ascii="Arial" w:cs="Arial" w:eastAsia="Arial" w:hAnsi="Arial"/>
                <w:sz w:val="16"/>
                <w:szCs w:val="16"/>
                <w:color w:val="auto"/>
              </w:rPr>
              <w:t>Non-cash contributions from CEG, NRG, net of distributions</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r>
    </w:tbl>
    <w:p>
      <w:pPr>
        <w:spacing w:after="0" w:line="200" w:lineRule="exact"/>
        <w:rPr>
          <w:sz w:val="20"/>
          <w:szCs w:val="20"/>
          <w:color w:val="auto"/>
        </w:rPr>
      </w:pPr>
    </w:p>
    <w:p>
      <w:pPr>
        <w:sectPr>
          <w:pgSz w:w="11900" w:h="16838" w:orient="portrait"/>
          <w:cols w:equalWidth="0" w:num="1">
            <w:col w:w="11200"/>
          </w:cols>
          <w:pgMar w:left="340" w:top="9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40" w:top="918" w:right="35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9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3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Balances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Pre-acquisition net loss of acquired Drop Down Assets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Payments for the Buckthorn Solar Drop Down Asset and UPMC</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w w:val="95"/>
              </w:rPr>
              <w:t>Equity component of tendered 2020 Convertible Notes and 2019</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09"/>
        </w:trPr>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Convertible Notes</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Capital contributions from tax equity investors, net of</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09"/>
        </w:trPr>
        <w:tc>
          <w:tcPr>
            <w:tcW w:w="3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distributions, cash</w:t>
            </w:r>
          </w:p>
        </w:tc>
        <w:tc>
          <w:tcPr>
            <w:tcW w:w="10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w w:val="99"/>
              </w:rPr>
              <w:t>Distributions and return of capital to NRG, net of contributions,</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09"/>
        </w:trPr>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cash</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Distributions and return of capital to NRG, net of contributions,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09"/>
        </w:trPr>
        <w:tc>
          <w:tcPr>
            <w:tcW w:w="3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non-cash</w:t>
            </w:r>
          </w:p>
        </w:tc>
        <w:tc>
          <w:tcPr>
            <w:tcW w:w="10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w w:val="92"/>
              </w:rPr>
              <w:t>Non-cash adjustment for change in tax basis of property, plant and</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9"/>
        </w:trPr>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equipment</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9"/>
        </w:trPr>
        <w:tc>
          <w:tcPr>
            <w:tcW w:w="3860" w:type="dxa"/>
            <w:vAlign w:val="bottom"/>
          </w:tcPr>
          <w:p>
            <w:pPr>
              <w:ind w:left="100"/>
              <w:spacing w:after="0"/>
              <w:rPr>
                <w:sz w:val="20"/>
                <w:szCs w:val="20"/>
                <w:color w:val="auto"/>
              </w:rPr>
            </w:pPr>
            <w:r>
              <w:rPr>
                <w:rFonts w:ascii="Arial" w:cs="Arial" w:eastAsia="Arial" w:hAnsi="Arial"/>
                <w:sz w:val="14"/>
                <w:szCs w:val="14"/>
                <w:b w:val="1"/>
                <w:bCs w:val="1"/>
                <w:color w:val="auto"/>
              </w:rPr>
              <w:t>Balances at December 31,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Buyout of Wind TE Holdco non-controlling interest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Carlsbad Drop Down</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Contributions from tax equity interests, net of distributions, cash</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Distributions to CEG, net of contributions, cash</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change in the accounting principle</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Contributions from CEG net of distributions, non-cash</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Common stock dividends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Balances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Contributions from CEG, non-cash</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CEG, cash</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 non-cash</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Contributions from noncontrolling interests, net of distributions,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10"/>
        </w:trPr>
        <w:tc>
          <w:tcPr>
            <w:tcW w:w="3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DGPV Drop Down and Consolidation</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Mesquite Star Drop Down and Consolidation</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Langford Drop Down</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Rosamond Central Drop Down</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Lighthouse Partnership Yield Protection Agreement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Buyout of Repowering Partnership II LLC non-controlling</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10"/>
        </w:trPr>
        <w:tc>
          <w:tcPr>
            <w:tcW w:w="3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w w:val="94"/>
              </w:rPr>
              <w:t>Net proceeds from the issuance of common stock under the ATM</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10"/>
        </w:trPr>
        <w:tc>
          <w:tcPr>
            <w:tcW w:w="3860" w:type="dxa"/>
            <w:vAlign w:val="bottom"/>
            <w:vMerge w:val="restart"/>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and distributions to CEG</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9"/>
        </w:trPr>
        <w:tc>
          <w:tcPr>
            <w:tcW w:w="3860" w:type="dxa"/>
            <w:vAlign w:val="bottom"/>
          </w:tcPr>
          <w:p>
            <w:pPr>
              <w:ind w:left="100"/>
              <w:spacing w:after="0"/>
              <w:rPr>
                <w:sz w:val="20"/>
                <w:szCs w:val="20"/>
                <w:color w:val="auto"/>
              </w:rPr>
            </w:pPr>
            <w:r>
              <w:rPr>
                <w:rFonts w:ascii="Arial" w:cs="Arial" w:eastAsia="Arial" w:hAnsi="Arial"/>
                <w:sz w:val="14"/>
                <w:szCs w:val="14"/>
                <w:b w:val="1"/>
                <w:bCs w:val="1"/>
                <w:color w:val="auto"/>
              </w:rPr>
              <w:t>Balances at December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2,715</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80" w:top="769" w:right="37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A-1: Three Months Ended December 31,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ARO</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4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Impairment Losses and Impairment on Equity</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340"/>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w w:val="99"/>
              </w:rPr>
              <w:t>Mark to Market (MtM) Losses on economic hedges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Other non-recurring charges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Non-Cash Equity Compensation</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December 31,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Renewables</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7"/>
              </w:rPr>
              <w:t>Acquisition-related 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008"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A-3: Twelve Months Ended December 31,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Contract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Impairment Losses and Impairment on Equity</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w:t>
            </w: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Other Non-recurring Charges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Non-Cash Equity Compensation</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0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Twelve Months Ended December 31,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Contract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Mark to Market (MtM) Losses</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on economic hedges</w:t>
            </w: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Non-recurring Charges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Equity Compensation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w:t>
            </w: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46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160" w:type="dxa"/>
            <w:vAlign w:val="bottom"/>
            <w:gridSpan w:val="4"/>
          </w:tcPr>
          <w:p>
            <w:pPr>
              <w:jc w:val="right"/>
              <w:ind w:right="213"/>
              <w:spacing w:after="0"/>
              <w:rPr>
                <w:sz w:val="20"/>
                <w:szCs w:val="20"/>
                <w:color w:val="auto"/>
              </w:rPr>
            </w:pPr>
            <w:r>
              <w:rPr>
                <w:rFonts w:ascii="Arial" w:cs="Arial" w:eastAsia="Arial" w:hAnsi="Arial"/>
                <w:sz w:val="18"/>
                <w:szCs w:val="18"/>
                <w:b w:val="1"/>
                <w:bCs w:val="1"/>
                <w:color w:val="auto"/>
                <w:w w:val="97"/>
              </w:rPr>
              <w:t>Twelve Months Ended</w:t>
            </w:r>
          </w:p>
        </w:tc>
      </w:tr>
      <w:tr>
        <w:trPr>
          <w:trHeight w:val="23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12/31/20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12/31/19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4"/>
              </w:rPr>
              <w:t>12/31/20</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96"/>
              </w:rPr>
              <w:t>12/31/19</w:t>
            </w: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r>
      <w:tr>
        <w:trPr>
          <w:trHeight w:val="223"/>
        </w:trPr>
        <w:tc>
          <w:tcPr>
            <w:tcW w:w="5020" w:type="dxa"/>
            <w:vAlign w:val="bottom"/>
          </w:tcPr>
          <w:p>
            <w:pPr>
              <w:ind w:left="140"/>
              <w:spacing w:after="0"/>
              <w:rPr>
                <w:sz w:val="20"/>
                <w:szCs w:val="20"/>
                <w:color w:val="auto"/>
              </w:rPr>
            </w:pPr>
            <w:r>
              <w:rPr>
                <w:rFonts w:ascii="Arial" w:cs="Arial" w:eastAsia="Arial" w:hAnsi="Arial"/>
                <w:sz w:val="18"/>
                <w:szCs w:val="18"/>
                <w:color w:val="auto"/>
              </w:rPr>
              <w:t>Cash interest paid</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Changes in prepaid and accrued liabilities for tolling agreements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4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5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w:t>
            </w:r>
          </w:p>
        </w:tc>
      </w:tr>
      <w:tr>
        <w:trPr>
          <w:trHeight w:val="22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1">
            <w:col w:w="11240"/>
          </w:cols>
          <w:pgMar w:left="320" w:top="1008" w:right="339" w:bottom="1440" w:gutter="0" w:footer="0" w:header="0"/>
        </w:sectPr>
      </w:pPr>
    </w:p>
    <w:p>
      <w:pPr>
        <w:ind w:left="640"/>
        <w:spacing w:after="0"/>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-4445</wp:posOffset>
            </wp:positionV>
            <wp:extent cx="65493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454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Return of investment from unconsolidated affiliates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wp:posOffset>
            </wp:positionV>
            <wp:extent cx="654939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163195"/>
                    </a:xfrm>
                    <a:prstGeom prst="rect">
                      <a:avLst/>
                    </a:prstGeom>
                    <a:noFill/>
                  </pic:spPr>
                </pic:pic>
              </a:graphicData>
            </a:graphic>
          </wp:anchor>
        </w:drawing>
      </w:r>
    </w:p>
    <w:p>
      <w:pPr>
        <w:ind w:left="640"/>
        <w:spacing w:after="0" w:line="232" w:lineRule="auto"/>
        <w:rPr>
          <w:sz w:val="20"/>
          <w:szCs w:val="20"/>
          <w:color w:val="auto"/>
        </w:rPr>
      </w:pPr>
      <w:r>
        <w:rPr>
          <w:rFonts w:ascii="Arial" w:cs="Arial" w:eastAsia="Arial" w:hAnsi="Arial"/>
          <w:sz w:val="18"/>
          <w:szCs w:val="18"/>
          <w:color w:val="auto"/>
        </w:rPr>
        <w:t>Maintenance capital expenditures</w:t>
      </w:r>
      <w:r>
        <w:rPr>
          <w:rFonts w:ascii="Arial" w:cs="Arial" w:eastAsia="Arial" w:hAnsi="Arial"/>
          <w:sz w:val="23"/>
          <w:szCs w:val="23"/>
          <w:color w:val="auto"/>
          <w:vertAlign w:val="superscript"/>
        </w:rPr>
        <w:t>9</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-6985</wp:posOffset>
            </wp:positionV>
            <wp:extent cx="6549390"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368300"/>
                    </a:xfrm>
                    <a:prstGeom prst="rect">
                      <a:avLst/>
                    </a:prstGeom>
                    <a:noFill/>
                  </pic:spPr>
                </pic:pic>
              </a:graphicData>
            </a:graphic>
          </wp:anchor>
        </w:drawing>
      </w:r>
    </w:p>
    <w:p>
      <w:pPr>
        <w:ind w:left="640" w:right="360"/>
        <w:spacing w:after="0" w:line="218" w:lineRule="auto"/>
        <w:rPr>
          <w:sz w:val="20"/>
          <w:szCs w:val="20"/>
          <w:color w:val="auto"/>
        </w:rPr>
      </w:pPr>
      <w:r>
        <w:rPr>
          <w:rFonts w:ascii="Arial" w:cs="Arial" w:eastAsia="Arial" w:hAnsi="Arial"/>
          <w:sz w:val="18"/>
          <w:szCs w:val="18"/>
          <w:color w:val="auto"/>
        </w:rPr>
        <w:t>Adjustments to reflect CAFD generated by unconsolidated investments that are unable to distribute project dividends due to the PG&amp;E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635</wp:posOffset>
            </wp:positionV>
            <wp:extent cx="4105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ind w:left="520"/>
        <w:spacing w:after="0"/>
        <w:tabs>
          <w:tab w:leader="none" w:pos="5740" w:val="left"/>
        </w:tabs>
        <w:rPr>
          <w:sz w:val="20"/>
          <w:szCs w:val="20"/>
          <w:color w:val="auto"/>
        </w:rPr>
      </w:pPr>
      <w:r>
        <w:rPr>
          <w:rFonts w:ascii="Arial" w:cs="Arial" w:eastAsia="Arial" w:hAnsi="Arial"/>
          <w:sz w:val="18"/>
          <w:szCs w:val="18"/>
          <w:b w:val="1"/>
          <w:bCs w:val="1"/>
          <w:color w:val="auto"/>
        </w:rPr>
        <w:t>Cash Available for Distribution</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6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6"/>
        </w:trPr>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87"/>
              </w:rPr>
              <w:t>(85)</w:t>
            </w:r>
          </w:p>
        </w:tc>
        <w:tc>
          <w:tcPr>
            <w:tcW w:w="5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580"/>
        </w:trPr>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rPr>
              <w:t>30</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r>
      <w:tr>
        <w:trPr>
          <w:trHeight w:val="20"/>
        </w:trPr>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5920" w:space="720"/>
            <w:col w:w="4600"/>
          </w:cols>
          <w:pgMar w:left="320" w:top="1008" w:right="339" w:bottom="1440" w:gutter="0" w:footer="0" w:header="0"/>
          <w:type w:val="continuous"/>
        </w:sectPr>
      </w:pPr>
    </w:p>
    <w:tbl>
      <w:tblPr>
        <w:tblLayout w:type="fixed"/>
        <w:tblInd w:w="500" w:type="dxa"/>
        <w:tblCellMar>
          <w:top w:w="0" w:type="dxa"/>
          <w:left w:w="0" w:type="dxa"/>
          <w:bottom w:w="0" w:type="dxa"/>
          <w:right w:w="0" w:type="dxa"/>
        </w:tblCellMar>
      </w:tblPr>
      <w:tr>
        <w:trPr>
          <w:trHeight w:val="155"/>
        </w:trPr>
        <w:tc>
          <w:tcPr>
            <w:tcW w:w="5120" w:type="dxa"/>
            <w:vAlign w:val="bottom"/>
            <w:tcBorders>
              <w:top w:val="single" w:sz="8" w:color="auto"/>
            </w:tcBorders>
            <w:shd w:val="clear" w:color="auto" w:fill="CCEEFF"/>
          </w:tcPr>
          <w:p>
            <w:pPr>
              <w:ind w:left="140"/>
              <w:spacing w:after="0" w:line="156" w:lineRule="exact"/>
              <w:rPr>
                <w:sz w:val="20"/>
                <w:szCs w:val="20"/>
                <w:color w:val="auto"/>
              </w:rPr>
            </w:pPr>
            <w:r>
              <w:rPr>
                <w:rFonts w:ascii="Arial" w:cs="Arial" w:eastAsia="Arial" w:hAnsi="Arial"/>
                <w:sz w:val="18"/>
                <w:szCs w:val="18"/>
                <w:color w:val="auto"/>
                <w:w w:val="91"/>
              </w:rPr>
              <w:t>Accelerated and accrued interest payments from 2024 Senior Notes</w:t>
            </w:r>
          </w:p>
        </w:tc>
        <w:tc>
          <w:tcPr>
            <w:tcW w:w="6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vMerge w:val="restart"/>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6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Net Impact of Carlsbad given timing of project debt service</w:t>
            </w:r>
          </w:p>
        </w:tc>
        <w:tc>
          <w:tcPr>
            <w:tcW w:w="66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Cash Available for Distribution</w:t>
            </w:r>
          </w:p>
        </w:tc>
        <w:tc>
          <w:tcPr>
            <w:tcW w:w="6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Primarily relates to Thermal Development Expenses</w:t>
      </w:r>
    </w:p>
    <w:p>
      <w:pPr>
        <w:spacing w:after="0" w:line="18" w:lineRule="exact"/>
        <w:rPr>
          <w:sz w:val="20"/>
          <w:szCs w:val="20"/>
          <w:color w:val="auto"/>
        </w:rPr>
      </w:pPr>
    </w:p>
    <w:p>
      <w:pPr>
        <w:ind w:right="400" w:firstLine="8"/>
        <w:spacing w:after="0" w:line="194" w:lineRule="auto"/>
        <w:tabs>
          <w:tab w:leader="none" w:pos="103" w:val="left"/>
        </w:tabs>
        <w:numPr>
          <w:ilvl w:val="0"/>
          <w:numId w:val="10"/>
        </w:numPr>
        <w:rPr>
          <w:rFonts w:ascii="Arial" w:cs="Arial" w:eastAsia="Arial" w:hAnsi="Arial"/>
          <w:sz w:val="23"/>
          <w:szCs w:val="23"/>
          <w:color w:val="auto"/>
          <w:vertAlign w:val="superscript"/>
        </w:rPr>
      </w:pPr>
      <w:r>
        <w:rPr>
          <w:rFonts w:ascii="Arial" w:cs="Arial" w:eastAsia="Arial" w:hAnsi="Arial"/>
          <w:sz w:val="14"/>
          <w:szCs w:val="14"/>
          <w:color w:val="auto"/>
        </w:rPr>
        <w:t>2020 excludes $376 million of contributions relating to funding of Repowering 1.0, Langford, and Rosamond Central Partnerships; 2019 excludes $177 million of contributions related to funding of Hawaii and Repowering 1.0 tax equity partnerships</w:t>
      </w:r>
    </w:p>
    <w:p>
      <w:pPr>
        <w:spacing w:after="0" w:line="184"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9</w:t>
      </w:r>
      <w:r>
        <w:rPr>
          <w:rFonts w:ascii="Arial" w:cs="Arial" w:eastAsia="Arial" w:hAnsi="Arial"/>
          <w:sz w:val="14"/>
          <w:szCs w:val="14"/>
          <w:color w:val="auto"/>
        </w:rPr>
        <w:t xml:space="preserve"> Net of allocated insurance proceeds</w:t>
      </w:r>
    </w:p>
    <w:p>
      <w:pPr>
        <w:ind w:right="60"/>
        <w:spacing w:after="0" w:line="205"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10</w:t>
      </w:r>
      <w:r>
        <w:rPr>
          <w:rFonts w:ascii="Arial" w:cs="Arial" w:eastAsia="Arial" w:hAnsi="Arial"/>
          <w:sz w:val="14"/>
          <w:szCs w:val="14"/>
          <w:color w:val="auto"/>
        </w:rPr>
        <w:t xml:space="preserve"> 2020 excludes $374 million for the refinancing of the DG Solar funds (DG-CS Master Borrower), $260 million for the repayment of construction financing in connection with the Repowering 1.0 Partnership, $247 million for the refinancing of Utah Solar Portfolio, $158 million for the refinancing of Alpine, Blythe, and Roadrunner (NIMH Solar), $135 million total consideration for the redemption of Corporate Notes, and $130 million for the repayment of construction financing in connection with Rosamond Central; 2019 excludes $785 million Corporate Notes and revolver payments, $212 million for the refinancing of Tapestry, South Trent, Agua Caliente Borrower 2, and PSOMAS portfolios, $193 million in connection with the Repowering 1.0 Partnership, and $124 million in connection with Hawaii Solar Phase I</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008" w:right="339" w:bottom="1440" w:gutter="0" w:footer="0" w:header="0"/>
          <w:type w:val="continuous"/>
        </w:sectPr>
      </w:pPr>
    </w:p>
    <w:bookmarkStart w:id="18" w:name="page19"/>
    <w:bookmarkEnd w:id="18"/>
    <w:p>
      <w:pPr>
        <w:spacing w:after="0" w:line="267" w:lineRule="auto"/>
        <w:rPr>
          <w:sz w:val="20"/>
          <w:szCs w:val="20"/>
          <w:color w:val="auto"/>
        </w:rPr>
      </w:pPr>
      <w:r>
        <w:rPr>
          <w:rFonts w:ascii="Arial" w:cs="Arial" w:eastAsia="Arial" w:hAnsi="Arial"/>
          <w:sz w:val="20"/>
          <w:szCs w:val="20"/>
          <w:b w:val="1"/>
          <w:bCs w:val="1"/>
          <w:color w:val="auto"/>
        </w:rPr>
        <w:t xml:space="preserve">Appendix Table A-6: </w:t>
      </w:r>
      <w:r>
        <w:rPr>
          <w:rFonts w:ascii="Arial" w:cs="Arial" w:eastAsia="Arial" w:hAnsi="Arial"/>
          <w:sz w:val="17"/>
          <w:szCs w:val="17"/>
          <w:b w:val="1"/>
          <w:bCs w:val="1"/>
          <w:color w:val="auto"/>
        </w:rPr>
        <w:t>Twelve Months Ended December 31, 2020</w:t>
      </w:r>
      <w:r>
        <w:rPr>
          <w:rFonts w:ascii="Arial" w:cs="Arial" w:eastAsia="Arial" w:hAnsi="Arial"/>
          <w:sz w:val="20"/>
          <w:szCs w:val="20"/>
          <w:b w:val="1"/>
          <w:bCs w:val="1"/>
          <w:color w:val="auto"/>
        </w:rPr>
        <w:t xml:space="preserve">, Sources and Uses of Liquidity </w:t>
      </w:r>
      <w:r>
        <w:rPr>
          <w:rFonts w:ascii="Arial" w:cs="Arial" w:eastAsia="Arial" w:hAnsi="Arial"/>
          <w:sz w:val="20"/>
          <w:szCs w:val="20"/>
          <w:color w:val="auto"/>
        </w:rPr>
        <w:t>The following table summarizes the sources and uses of liquidity in 2020:</w:t>
      </w:r>
    </w:p>
    <w:p>
      <w:pPr>
        <w:spacing w:after="0" w:line="200" w:lineRule="exact"/>
        <w:rPr>
          <w:sz w:val="20"/>
          <w:szCs w:val="20"/>
          <w:color w:val="auto"/>
        </w:rPr>
      </w:pPr>
    </w:p>
    <w:p>
      <w:pPr>
        <w:spacing w:after="0" w:line="201"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49034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Sources:</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Net contributions from non-controlling interests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Return of investment from unconsolidated affiliates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146685</wp:posOffset>
            </wp:positionV>
            <wp:extent cx="49034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03470" cy="154305"/>
                    </a:xfrm>
                    <a:prstGeom prst="rect">
                      <a:avLst/>
                    </a:prstGeom>
                    <a:noFill/>
                  </pic:spPr>
                </pic:pic>
              </a:graphicData>
            </a:graphic>
          </wp:anchor>
        </w:drawing>
      </w:r>
    </w:p>
    <w:p>
      <w:pPr>
        <w:spacing w:after="0" w:line="238"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Uses:</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Payments for the revolving credit facility</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Capital expenditures</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Acquisition of Drop Down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Buyout of Repowering Partnership II LLC noncontrolling interest</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172085</wp:posOffset>
            </wp:positionV>
            <wp:extent cx="49034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03470" cy="154305"/>
                    </a:xfrm>
                    <a:prstGeom prst="rect">
                      <a:avLst/>
                    </a:prstGeom>
                    <a:noFill/>
                  </pic:spPr>
                </pic:pic>
              </a:graphicData>
            </a:graphic>
          </wp:anchor>
        </w:drawing>
      </w:r>
    </w:p>
    <w:p>
      <w:pPr>
        <w:spacing w:after="0" w:line="278"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1760"/>
        <w:spacing w:after="0"/>
        <w:rPr>
          <w:sz w:val="20"/>
          <w:szCs w:val="20"/>
          <w:color w:val="auto"/>
        </w:rPr>
      </w:pPr>
      <w:r>
        <w:rPr>
          <w:rFonts w:ascii="Arial" w:cs="Arial" w:eastAsia="Arial" w:hAnsi="Arial"/>
          <w:sz w:val="18"/>
          <w:szCs w:val="18"/>
          <w:b w:val="1"/>
          <w:bCs w:val="1"/>
          <w:color w:val="auto"/>
        </w:rPr>
        <w:t>Twelve Months</w:t>
      </w:r>
    </w:p>
    <w:p>
      <w:pPr>
        <w:jc w:val="center"/>
        <w:ind w:right="1760"/>
        <w:spacing w:after="0"/>
        <w:rPr>
          <w:sz w:val="20"/>
          <w:szCs w:val="20"/>
          <w:color w:val="auto"/>
        </w:rPr>
      </w:pPr>
      <w:r>
        <w:rPr>
          <w:rFonts w:ascii="Arial" w:cs="Arial" w:eastAsia="Arial" w:hAnsi="Arial"/>
          <w:sz w:val="18"/>
          <w:szCs w:val="18"/>
          <w:b w:val="1"/>
          <w:bCs w:val="1"/>
          <w:color w:val="auto"/>
        </w:rPr>
        <w:t>Ended</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12/31/20</w:t>
      </w:r>
    </w:p>
    <w:p>
      <w:pPr>
        <w:spacing w:after="0" w:line="251"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1,084</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545</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265</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247</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79</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62</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67"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(1,527)</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(265)</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(124)</w:t>
      </w:r>
    </w:p>
    <w:p>
      <w:pPr>
        <w:spacing w:after="0" w:line="26" w:lineRule="exact"/>
        <w:rPr>
          <w:sz w:val="20"/>
          <w:szCs w:val="20"/>
          <w:color w:val="auto"/>
        </w:rPr>
      </w:pPr>
    </w:p>
    <w:p>
      <w:pPr>
        <w:jc w:val="right"/>
        <w:ind w:right="1780"/>
        <w:spacing w:after="0"/>
        <w:rPr>
          <w:sz w:val="20"/>
          <w:szCs w:val="20"/>
          <w:color w:val="auto"/>
        </w:rPr>
      </w:pPr>
      <w:r>
        <w:rPr>
          <w:rFonts w:ascii="Arial" w:cs="Arial" w:eastAsia="Arial" w:hAnsi="Arial"/>
          <w:sz w:val="16"/>
          <w:szCs w:val="16"/>
          <w:color w:val="auto"/>
        </w:rPr>
        <w:t>(122)</w:t>
      </w:r>
    </w:p>
    <w:p>
      <w:pPr>
        <w:spacing w:after="0" w:line="28"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(11)</w:t>
      </w:r>
    </w:p>
    <w:p>
      <w:pPr>
        <w:spacing w:after="0" w:line="292" w:lineRule="exact"/>
        <w:rPr>
          <w:sz w:val="20"/>
          <w:szCs w:val="20"/>
          <w:color w:val="auto"/>
        </w:rPr>
      </w:pPr>
    </w:p>
    <w:p>
      <w:pPr>
        <w:ind w:left="1180" w:hanging="1175"/>
        <w:spacing w:after="0"/>
        <w:tabs>
          <w:tab w:leader="none" w:pos="1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48</w:t>
      </w:r>
    </w:p>
    <w:p>
      <w:pPr>
        <w:spacing w:after="0" w:line="200" w:lineRule="exact"/>
        <w:rPr>
          <w:sz w:val="20"/>
          <w:szCs w:val="20"/>
          <w:color w:val="auto"/>
        </w:rPr>
      </w:pPr>
    </w:p>
    <w:p>
      <w:pPr>
        <w:sectPr>
          <w:pgSz w:w="11900" w:h="16838" w:orient="portrait"/>
          <w:cols w:equalWidth="0" w:num="2">
            <w:col w:w="7640" w:space="440"/>
            <w:col w:w="3160"/>
          </w:cols>
          <w:pgMar w:left="320" w:top="1008" w:right="339" w:bottom="1440" w:gutter="0" w:footer="0" w:header="0"/>
        </w:sectPr>
      </w:pPr>
    </w:p>
    <w:p>
      <w:pPr>
        <w:spacing w:after="0" w:line="39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00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Appendix Table A-7: Adjusted EBITDA and Cash Available for Distribution Guidance</w:t>
      </w:r>
    </w:p>
    <w:p>
      <w:pPr>
        <w:spacing w:after="0" w:line="1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8"/>
              <w:spacing w:after="0"/>
              <w:rPr>
                <w:sz w:val="20"/>
                <w:szCs w:val="20"/>
                <w:color w:val="auto"/>
              </w:rPr>
            </w:pPr>
            <w:r>
              <w:rPr>
                <w:rFonts w:ascii="Arial" w:cs="Arial" w:eastAsia="Arial" w:hAnsi="Arial"/>
                <w:sz w:val="18"/>
                <w:szCs w:val="18"/>
                <w:b w:val="1"/>
                <w:bCs w:val="1"/>
                <w:color w:val="auto"/>
              </w:rPr>
              <w:t>2021 Full</w:t>
            </w:r>
          </w:p>
        </w:tc>
        <w:tc>
          <w:tcPr>
            <w:tcW w:w="160" w:type="dxa"/>
            <w:vAlign w:val="bottom"/>
          </w:tcPr>
          <w:p>
            <w:pPr>
              <w:spacing w:after="0"/>
              <w:rPr>
                <w:sz w:val="17"/>
                <w:szCs w:val="17"/>
                <w:color w:val="auto"/>
              </w:rPr>
            </w:pPr>
          </w:p>
        </w:tc>
        <w:tc>
          <w:tcPr>
            <w:tcW w:w="108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restart"/>
          </w:tcPr>
          <w:p>
            <w:pPr>
              <w:jc w:val="right"/>
              <w:ind w:right="278"/>
              <w:spacing w:after="0" w:line="176" w:lineRule="exact"/>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CAFD Outlook</w:t>
            </w:r>
          </w:p>
        </w:tc>
        <w:tc>
          <w:tcPr>
            <w:tcW w:w="0" w:type="dxa"/>
            <w:vAlign w:val="bottom"/>
          </w:tcPr>
          <w:p>
            <w:pPr>
              <w:spacing w:after="0"/>
              <w:rPr>
                <w:sz w:val="1"/>
                <w:szCs w:val="1"/>
                <w:color w:val="auto"/>
              </w:rPr>
            </w:pPr>
          </w:p>
        </w:tc>
      </w:tr>
      <w:tr>
        <w:trPr>
          <w:trHeight w:val="140"/>
        </w:trPr>
        <w:tc>
          <w:tcPr>
            <w:tcW w:w="5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12"/>
                <w:szCs w:val="12"/>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w w:val="92"/>
              </w:rPr>
              <w:t>Guidance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29"/>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76"/>
        </w:trPr>
        <w:tc>
          <w:tcPr>
            <w:tcW w:w="52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 to reflect CWEN share of Adjusted EBITDA in</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unconsolidated affiliates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1,210</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1,335</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Adjustment to reflect sale-type lease</w:t>
            </w:r>
            <w:r>
              <w:rPr>
                <w:rFonts w:ascii="Arial" w:cs="Arial" w:eastAsia="Arial" w:hAnsi="Arial"/>
                <w:sz w:val="23"/>
                <w:szCs w:val="23"/>
                <w:color w:val="auto"/>
                <w:vertAlign w:val="superscript"/>
              </w:rPr>
              <w:t>11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12</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Payment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968</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Net contributions to non-controlling interest</w:t>
            </w:r>
            <w:r>
              <w:rPr>
                <w:rFonts w:ascii="Arial" w:cs="Arial" w:eastAsia="Arial" w:hAnsi="Arial"/>
                <w:sz w:val="23"/>
                <w:szCs w:val="23"/>
                <w:color w:val="auto"/>
                <w:vertAlign w:val="superscript"/>
              </w:rPr>
              <w:t>14</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Available for Distribution</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Add Back: Principal amortization of indebtedness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Cash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714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Adjustment to reflect cash generated from sales-type lease projects</w:t>
      </w:r>
    </w:p>
    <w:p>
      <w:pPr>
        <w:spacing w:after="0" w:line="32" w:lineRule="exact"/>
        <w:rPr>
          <w:rFonts w:ascii="Arial" w:cs="Arial" w:eastAsia="Arial" w:hAnsi="Arial"/>
          <w:sz w:val="20"/>
          <w:szCs w:val="20"/>
          <w:color w:val="auto"/>
          <w:vertAlign w:val="superscript"/>
        </w:rPr>
      </w:pPr>
    </w:p>
    <w:p>
      <w:pPr>
        <w:ind w:left="160" w:hanging="152"/>
        <w:spacing w:after="0" w:line="186"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Distribution from unconsolidated affiliates can be classified as Return of Investment on Unconsolidated Affiliates when actuals are reported. This is below cash from operating activities</w:t>
      </w:r>
    </w:p>
    <w:p>
      <w:pPr>
        <w:spacing w:after="0" w:line="19" w:lineRule="exact"/>
        <w:rPr>
          <w:rFonts w:ascii="Arial" w:cs="Arial" w:eastAsia="Arial" w:hAnsi="Arial"/>
          <w:sz w:val="19"/>
          <w:szCs w:val="19"/>
          <w:color w:val="auto"/>
          <w:vertAlign w:val="superscript"/>
        </w:rPr>
      </w:pPr>
    </w:p>
    <w:p>
      <w:pPr>
        <w:ind w:left="160" w:hanging="152"/>
        <w:spacing w:after="0" w:line="186"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Primarily relates to Thermal Development Expenses</w:t>
      </w:r>
    </w:p>
    <w:p>
      <w:pPr>
        <w:spacing w:after="0" w:line="19" w:lineRule="exact"/>
        <w:rPr>
          <w:rFonts w:ascii="Arial" w:cs="Arial" w:eastAsia="Arial" w:hAnsi="Arial"/>
          <w:sz w:val="19"/>
          <w:szCs w:val="19"/>
          <w:color w:val="auto"/>
          <w:vertAlign w:val="superscript"/>
        </w:rPr>
      </w:pPr>
    </w:p>
    <w:p>
      <w:pPr>
        <w:ind w:left="160" w:hanging="152"/>
        <w:spacing w:after="0" w:line="186"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Includes tax equity proceeds and distributions to tax equity partners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Appendix Table A-8: Growth Investments 5 Year Average CAFD</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08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 net</w:t>
      </w:r>
    </w:p>
    <w:p>
      <w:pPr>
        <w:spacing w:after="0" w:line="23" w:lineRule="exact"/>
        <w:rPr>
          <w:sz w:val="20"/>
          <w:szCs w:val="20"/>
          <w:color w:val="auto"/>
        </w:rPr>
      </w:pPr>
    </w:p>
    <w:p>
      <w:pPr>
        <w:ind w:left="140" w:right="380"/>
        <w:spacing w:after="0" w:line="234" w:lineRule="auto"/>
        <w:rPr>
          <w:sz w:val="20"/>
          <w:szCs w:val="20"/>
          <w:color w:val="auto"/>
        </w:rPr>
      </w:pPr>
      <w:r>
        <w:rPr>
          <w:rFonts w:ascii="Arial" w:cs="Arial" w:eastAsia="Arial" w:hAnsi="Arial"/>
          <w:sz w:val="18"/>
          <w:szCs w:val="18"/>
          <w:color w:val="auto"/>
        </w:rPr>
        <w:t>Depreciation, Amortization, and ARO Expense</w:t>
      </w:r>
    </w:p>
    <w:p>
      <w:pPr>
        <w:spacing w:after="0" w:line="1" w:lineRule="exact"/>
        <w:rPr>
          <w:sz w:val="20"/>
          <w:szCs w:val="20"/>
          <w:color w:val="auto"/>
        </w:rPr>
      </w:pPr>
    </w:p>
    <w:p>
      <w:pPr>
        <w:jc w:val="both"/>
        <w:ind w:left="140" w:right="400"/>
        <w:spacing w:after="0" w:line="224" w:lineRule="auto"/>
        <w:rPr>
          <w:sz w:val="20"/>
          <w:szCs w:val="20"/>
          <w:color w:val="auto"/>
        </w:rPr>
      </w:pPr>
      <w:r>
        <w:rPr>
          <w:rFonts w:ascii="Arial" w:cs="Arial" w:eastAsia="Arial" w:hAnsi="Arial"/>
          <w:sz w:val="18"/>
          <w:szCs w:val="18"/>
          <w:color w:val="auto"/>
        </w:rPr>
        <w:t>Adjustment to reflect CWEN share of Adjusted EBITDA in unconsolidated affiliates</w:t>
      </w:r>
    </w:p>
    <w:p>
      <w:pPr>
        <w:spacing w:after="0" w:line="10" w:lineRule="exact"/>
        <w:rPr>
          <w:sz w:val="20"/>
          <w:szCs w:val="20"/>
          <w:color w:val="auto"/>
        </w:rPr>
      </w:pPr>
    </w:p>
    <w:p>
      <w:pPr>
        <w:jc w:val="right"/>
        <w:ind w:right="1800"/>
        <w:spacing w:after="0"/>
        <w:rPr>
          <w:sz w:val="20"/>
          <w:szCs w:val="20"/>
          <w:color w:val="auto"/>
        </w:rPr>
      </w:pPr>
      <w:r>
        <w:rPr>
          <w:rFonts w:ascii="Arial" w:cs="Arial" w:eastAsia="Arial" w:hAnsi="Arial"/>
          <w:sz w:val="17"/>
          <w:szCs w:val="17"/>
          <w:b w:val="1"/>
          <w:bCs w:val="1"/>
          <w:color w:val="auto"/>
        </w:rPr>
        <w:t>Adjusted EBITDA</w:t>
      </w:r>
    </w:p>
    <w:p>
      <w:pPr>
        <w:spacing w:after="0" w:line="39"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Cash interest paid</w:t>
      </w:r>
    </w:p>
    <w:p>
      <w:pPr>
        <w:spacing w:after="0" w:line="34" w:lineRule="exact"/>
        <w:rPr>
          <w:sz w:val="20"/>
          <w:szCs w:val="20"/>
          <w:color w:val="auto"/>
        </w:rPr>
      </w:pPr>
    </w:p>
    <w:p>
      <w:pPr>
        <w:ind w:left="140" w:right="760"/>
        <w:spacing w:after="0" w:line="234" w:lineRule="auto"/>
        <w:rPr>
          <w:sz w:val="20"/>
          <w:szCs w:val="20"/>
          <w:color w:val="auto"/>
        </w:rPr>
      </w:pPr>
      <w:r>
        <w:rPr>
          <w:rFonts w:ascii="Arial" w:cs="Arial" w:eastAsia="Arial" w:hAnsi="Arial"/>
          <w:sz w:val="18"/>
          <w:szCs w:val="18"/>
          <w:color w:val="auto"/>
        </w:rPr>
        <w:t>Pro-rata Adjusted EBITDA from unconsolidated affiliates</w:t>
      </w:r>
    </w:p>
    <w:p>
      <w:pPr>
        <w:spacing w:after="0" w:line="1" w:lineRule="exact"/>
        <w:rPr>
          <w:sz w:val="20"/>
          <w:szCs w:val="20"/>
          <w:color w:val="auto"/>
        </w:rPr>
      </w:pPr>
    </w:p>
    <w:p>
      <w:pPr>
        <w:ind w:left="140" w:right="260" w:firstLine="45"/>
        <w:spacing w:after="0" w:line="234" w:lineRule="auto"/>
        <w:rPr>
          <w:sz w:val="20"/>
          <w:szCs w:val="20"/>
          <w:color w:val="auto"/>
        </w:rPr>
      </w:pPr>
      <w:r>
        <w:rPr>
          <w:rFonts w:ascii="Arial" w:cs="Arial" w:eastAsia="Arial" w:hAnsi="Arial"/>
          <w:sz w:val="18"/>
          <w:szCs w:val="18"/>
          <w:color w:val="auto"/>
        </w:rPr>
        <w:t>Cash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wp:posOffset>
            </wp:positionV>
            <wp:extent cx="2108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Cash from Operating Activities</w:t>
      </w:r>
    </w:p>
    <w:p>
      <w:pPr>
        <w:spacing w:after="0" w:line="27" w:lineRule="exact"/>
        <w:rPr>
          <w:sz w:val="20"/>
          <w:szCs w:val="20"/>
          <w:color w:val="auto"/>
        </w:rPr>
      </w:pPr>
    </w:p>
    <w:p>
      <w:pPr>
        <w:ind w:left="140" w:right="360"/>
        <w:spacing w:after="0" w:line="234" w:lineRule="auto"/>
        <w:rPr>
          <w:sz w:val="20"/>
          <w:szCs w:val="20"/>
          <w:color w:val="auto"/>
        </w:rPr>
      </w:pPr>
      <w:r>
        <w:rPr>
          <w:rFonts w:ascii="Arial" w:cs="Arial" w:eastAsia="Arial" w:hAnsi="Arial"/>
          <w:sz w:val="18"/>
          <w:szCs w:val="18"/>
          <w:color w:val="auto"/>
        </w:rPr>
        <w:t>Net distributions from non-controlling interest</w:t>
      </w:r>
    </w:p>
    <w:p>
      <w:pPr>
        <w:spacing w:after="0" w:line="1" w:lineRule="exact"/>
        <w:rPr>
          <w:sz w:val="20"/>
          <w:szCs w:val="20"/>
          <w:color w:val="auto"/>
        </w:rPr>
      </w:pPr>
    </w:p>
    <w:p>
      <w:pPr>
        <w:ind w:left="140" w:right="360"/>
        <w:spacing w:after="0" w:line="305" w:lineRule="auto"/>
        <w:rPr>
          <w:sz w:val="20"/>
          <w:szCs w:val="20"/>
          <w:color w:val="auto"/>
        </w:rPr>
      </w:pPr>
      <w:r>
        <w:rPr>
          <w:rFonts w:ascii="Arial" w:cs="Arial" w:eastAsia="Arial" w:hAnsi="Arial"/>
          <w:sz w:val="16"/>
          <w:szCs w:val="16"/>
          <w:color w:val="auto"/>
        </w:rPr>
        <w:t>Maintenance capital expenditures 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2108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u w:val="single" w:color="auto"/>
          <w:color w:val="auto"/>
        </w:rPr>
        <w:t>Estimated Cash Available for Distribution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02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Dropdown</w:t>
            </w:r>
          </w:p>
        </w:tc>
        <w:tc>
          <w:tcPr>
            <w:tcW w:w="140" w:type="dxa"/>
            <w:vAlign w:val="bottom"/>
          </w:tcPr>
          <w:p>
            <w:pPr>
              <w:spacing w:after="0"/>
              <w:rPr>
                <w:sz w:val="17"/>
                <w:szCs w:val="17"/>
                <w:color w:val="auto"/>
              </w:rPr>
            </w:pPr>
          </w:p>
        </w:tc>
        <w:tc>
          <w:tcPr>
            <w:tcW w:w="1000" w:type="dxa"/>
            <w:vAlign w:val="bottom"/>
            <w:vMerge w:val="restart"/>
          </w:tcPr>
          <w:p>
            <w:pPr>
              <w:jc w:val="center"/>
              <w:ind w:right="38"/>
              <w:spacing w:after="0"/>
              <w:rPr>
                <w:sz w:val="20"/>
                <w:szCs w:val="20"/>
                <w:color w:val="auto"/>
              </w:rPr>
            </w:pPr>
            <w:r>
              <w:rPr>
                <w:rFonts w:ascii="Arial" w:cs="Arial" w:eastAsia="Arial" w:hAnsi="Arial"/>
                <w:sz w:val="18"/>
                <w:szCs w:val="18"/>
                <w:b w:val="1"/>
                <w:bCs w:val="1"/>
                <w:color w:val="auto"/>
                <w:w w:val="92"/>
              </w:rPr>
              <w:t>Langford</w:t>
            </w: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1"/>
              </w:rPr>
              <w:t>Agua Caliente</w:t>
            </w:r>
          </w:p>
        </w:tc>
        <w:tc>
          <w:tcPr>
            <w:tcW w:w="100" w:type="dxa"/>
            <w:vAlign w:val="bottom"/>
          </w:tcPr>
          <w:p>
            <w:pPr>
              <w:spacing w:after="0"/>
              <w:rPr>
                <w:sz w:val="17"/>
                <w:szCs w:val="17"/>
                <w:color w:val="auto"/>
              </w:rPr>
            </w:pPr>
          </w:p>
        </w:tc>
        <w:tc>
          <w:tcPr>
            <w:tcW w:w="1440" w:type="dxa"/>
            <w:vAlign w:val="bottom"/>
            <w:vMerge w:val="restart"/>
          </w:tcPr>
          <w:p>
            <w:pPr>
              <w:jc w:val="center"/>
              <w:ind w:right="17"/>
              <w:spacing w:after="0"/>
              <w:rPr>
                <w:sz w:val="20"/>
                <w:szCs w:val="20"/>
                <w:color w:val="auto"/>
              </w:rPr>
            </w:pPr>
            <w:r>
              <w:rPr>
                <w:rFonts w:ascii="Arial" w:cs="Arial" w:eastAsia="Arial" w:hAnsi="Arial"/>
                <w:sz w:val="18"/>
                <w:szCs w:val="18"/>
                <w:b w:val="1"/>
                <w:bCs w:val="1"/>
                <w:color w:val="auto"/>
                <w:w w:val="91"/>
              </w:rPr>
              <w:t>Co-Investment in</w:t>
            </w:r>
          </w:p>
        </w:tc>
        <w:tc>
          <w:tcPr>
            <w:tcW w:w="120" w:type="dxa"/>
            <w:vAlign w:val="bottom"/>
          </w:tcPr>
          <w:p>
            <w:pPr>
              <w:spacing w:after="0"/>
              <w:rPr>
                <w:sz w:val="17"/>
                <w:szCs w:val="17"/>
                <w:color w:val="auto"/>
              </w:rPr>
            </w:pPr>
          </w:p>
        </w:tc>
        <w:tc>
          <w:tcPr>
            <w:tcW w:w="144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Co-Investment in</w:t>
            </w:r>
          </w:p>
        </w:tc>
        <w:tc>
          <w:tcPr>
            <w:tcW w:w="160" w:type="dxa"/>
            <w:vAlign w:val="bottom"/>
          </w:tcPr>
          <w:p>
            <w:pPr>
              <w:spacing w:after="0"/>
              <w:rPr>
                <w:sz w:val="17"/>
                <w:szCs w:val="17"/>
                <w:color w:val="auto"/>
              </w:rPr>
            </w:pPr>
          </w:p>
        </w:tc>
        <w:tc>
          <w:tcPr>
            <w:tcW w:w="1000" w:type="dxa"/>
            <w:vAlign w:val="bottom"/>
            <w:vMerge w:val="restart"/>
          </w:tcPr>
          <w:p>
            <w:pPr>
              <w:jc w:val="center"/>
              <w:ind w:right="78"/>
              <w:spacing w:after="0"/>
              <w:rPr>
                <w:sz w:val="20"/>
                <w:szCs w:val="20"/>
                <w:color w:val="auto"/>
              </w:rPr>
            </w:pPr>
            <w:r>
              <w:rPr>
                <w:rFonts w:ascii="Arial" w:cs="Arial" w:eastAsia="Arial" w:hAnsi="Arial"/>
                <w:sz w:val="18"/>
                <w:szCs w:val="18"/>
                <w:b w:val="1"/>
                <w:bCs w:val="1"/>
                <w:color w:val="auto"/>
                <w:w w:val="97"/>
              </w:rPr>
              <w:t>Mt Storm</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020" w:type="dxa"/>
            <w:vAlign w:val="bottom"/>
            <w:vMerge w:val="restart"/>
          </w:tcPr>
          <w:p>
            <w:pPr>
              <w:jc w:val="center"/>
              <w:ind w:right="57"/>
              <w:spacing w:after="0" w:line="176" w:lineRule="exact"/>
              <w:rPr>
                <w:sz w:val="20"/>
                <w:szCs w:val="20"/>
                <w:color w:val="auto"/>
              </w:rPr>
            </w:pPr>
            <w:r>
              <w:rPr>
                <w:rFonts w:ascii="Arial" w:cs="Arial" w:eastAsia="Arial" w:hAnsi="Arial"/>
                <w:sz w:val="18"/>
                <w:szCs w:val="18"/>
                <w:b w:val="1"/>
                <w:bCs w:val="1"/>
                <w:color w:val="auto"/>
                <w:w w:val="91"/>
              </w:rPr>
              <w:t>Portfolio</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center"/>
              <w:ind w:right="17"/>
              <w:spacing w:after="0" w:line="176" w:lineRule="exact"/>
              <w:rPr>
                <w:sz w:val="20"/>
                <w:szCs w:val="20"/>
                <w:color w:val="auto"/>
              </w:rPr>
            </w:pPr>
            <w:r>
              <w:rPr>
                <w:rFonts w:ascii="Arial" w:cs="Arial" w:eastAsia="Arial" w:hAnsi="Arial"/>
                <w:sz w:val="18"/>
                <w:szCs w:val="18"/>
                <w:b w:val="1"/>
                <w:bCs w:val="1"/>
                <w:color w:val="auto"/>
                <w:w w:val="93"/>
              </w:rPr>
              <w:t>1.6GW Portfolio</w:t>
            </w: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5 Year Ave. -</w:t>
            </w:r>
          </w:p>
        </w:tc>
        <w:tc>
          <w:tcPr>
            <w:tcW w:w="1180" w:type="dxa"/>
            <w:vAlign w:val="bottom"/>
            <w:gridSpan w:val="2"/>
            <w:vMerge w:val="restart"/>
          </w:tcPr>
          <w:p>
            <w:pPr>
              <w:jc w:val="right"/>
              <w:ind w:right="18"/>
              <w:spacing w:after="0"/>
              <w:rPr>
                <w:sz w:val="20"/>
                <w:szCs w:val="20"/>
                <w:color w:val="auto"/>
              </w:rPr>
            </w:pPr>
            <w:r>
              <w:rPr>
                <w:rFonts w:ascii="Arial" w:cs="Arial" w:eastAsia="Arial" w:hAnsi="Arial"/>
                <w:sz w:val="18"/>
                <w:szCs w:val="18"/>
                <w:b w:val="1"/>
                <w:bCs w:val="1"/>
                <w:color w:val="auto"/>
                <w:w w:val="98"/>
              </w:rPr>
              <w:t>5 Year Ave. -</w:t>
            </w: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1.6GW Portfolio</w:t>
            </w:r>
          </w:p>
        </w:tc>
        <w:tc>
          <w:tcPr>
            <w:tcW w:w="1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5 Year Ave. -</w:t>
            </w:r>
          </w:p>
        </w:tc>
        <w:tc>
          <w:tcPr>
            <w:tcW w:w="0" w:type="dxa"/>
            <w:vAlign w:val="bottom"/>
          </w:tcPr>
          <w:p>
            <w:pPr>
              <w:spacing w:after="0"/>
              <w:rPr>
                <w:sz w:val="1"/>
                <w:szCs w:val="1"/>
                <w:color w:val="auto"/>
              </w:rPr>
            </w:pPr>
          </w:p>
        </w:tc>
      </w:tr>
      <w:tr>
        <w:trPr>
          <w:trHeight w:val="176"/>
        </w:trPr>
        <w:tc>
          <w:tcPr>
            <w:tcW w:w="11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5 Year Ave. -</w:t>
            </w:r>
          </w:p>
        </w:tc>
        <w:tc>
          <w:tcPr>
            <w:tcW w:w="11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5 Year Ave. - 2023-</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020" w:type="dxa"/>
            <w:vAlign w:val="bottom"/>
            <w:vMerge w:val="restart"/>
          </w:tcPr>
          <w:p>
            <w:pPr>
              <w:jc w:val="center"/>
              <w:ind w:right="77"/>
              <w:spacing w:after="0"/>
              <w:rPr>
                <w:sz w:val="20"/>
                <w:szCs w:val="20"/>
                <w:color w:val="auto"/>
              </w:rPr>
            </w:pPr>
            <w:r>
              <w:rPr>
                <w:rFonts w:ascii="Arial" w:cs="Arial" w:eastAsia="Arial" w:hAnsi="Arial"/>
                <w:sz w:val="18"/>
                <w:szCs w:val="18"/>
                <w:b w:val="1"/>
                <w:bCs w:val="1"/>
                <w:color w:val="auto"/>
                <w:w w:val="90"/>
              </w:rPr>
              <w:t>2021-2025</w:t>
            </w:r>
          </w:p>
        </w:tc>
        <w:tc>
          <w:tcPr>
            <w:tcW w:w="140" w:type="dxa"/>
            <w:vAlign w:val="bottom"/>
          </w:tcPr>
          <w:p>
            <w:pPr>
              <w:spacing w:after="0"/>
              <w:rPr>
                <w:sz w:val="15"/>
                <w:szCs w:val="15"/>
                <w:color w:val="auto"/>
              </w:rPr>
            </w:pPr>
          </w:p>
        </w:tc>
        <w:tc>
          <w:tcPr>
            <w:tcW w:w="1000" w:type="dxa"/>
            <w:vAlign w:val="bottom"/>
          </w:tcPr>
          <w:p>
            <w:pPr>
              <w:jc w:val="center"/>
              <w:ind w:right="58"/>
              <w:spacing w:after="0" w:line="176" w:lineRule="exact"/>
              <w:rPr>
                <w:sz w:val="20"/>
                <w:szCs w:val="20"/>
                <w:color w:val="auto"/>
              </w:rPr>
            </w:pPr>
            <w:r>
              <w:rPr>
                <w:rFonts w:ascii="Arial" w:cs="Arial" w:eastAsia="Arial" w:hAnsi="Arial"/>
                <w:sz w:val="18"/>
                <w:szCs w:val="18"/>
                <w:b w:val="1"/>
                <w:bCs w:val="1"/>
                <w:color w:val="auto"/>
                <w:w w:val="90"/>
              </w:rPr>
              <w:t>2021-2025</w:t>
            </w:r>
          </w:p>
        </w:tc>
        <w:tc>
          <w:tcPr>
            <w:tcW w:w="160" w:type="dxa"/>
            <w:vAlign w:val="bottom"/>
          </w:tcPr>
          <w:p>
            <w:pPr>
              <w:spacing w:after="0"/>
              <w:rPr>
                <w:sz w:val="15"/>
                <w:szCs w:val="15"/>
                <w:color w:val="auto"/>
              </w:rPr>
            </w:pPr>
          </w:p>
        </w:tc>
        <w:tc>
          <w:tcPr>
            <w:tcW w:w="1020" w:type="dxa"/>
            <w:vAlign w:val="bottom"/>
          </w:tcPr>
          <w:p>
            <w:pPr>
              <w:jc w:val="right"/>
              <w:ind w:right="118"/>
              <w:spacing w:after="0" w:line="176" w:lineRule="exact"/>
              <w:rPr>
                <w:sz w:val="20"/>
                <w:szCs w:val="20"/>
                <w:color w:val="auto"/>
              </w:rPr>
            </w:pPr>
            <w:r>
              <w:rPr>
                <w:rFonts w:ascii="Arial" w:cs="Arial" w:eastAsia="Arial" w:hAnsi="Arial"/>
                <w:sz w:val="18"/>
                <w:szCs w:val="18"/>
                <w:b w:val="1"/>
                <w:bCs w:val="1"/>
                <w:color w:val="auto"/>
                <w:w w:val="92"/>
              </w:rPr>
              <w:t>2021-2025</w:t>
            </w:r>
          </w:p>
        </w:tc>
        <w:tc>
          <w:tcPr>
            <w:tcW w:w="100" w:type="dxa"/>
            <w:vAlign w:val="bottom"/>
          </w:tcPr>
          <w:p>
            <w:pPr>
              <w:spacing w:after="0"/>
              <w:rPr>
                <w:sz w:val="15"/>
                <w:szCs w:val="15"/>
                <w:color w:val="auto"/>
              </w:rPr>
            </w:pPr>
          </w:p>
        </w:tc>
        <w:tc>
          <w:tcPr>
            <w:tcW w:w="1440" w:type="dxa"/>
            <w:vAlign w:val="bottom"/>
          </w:tcPr>
          <w:p>
            <w:pPr>
              <w:jc w:val="center"/>
              <w:ind w:right="17"/>
              <w:spacing w:after="0" w:line="176" w:lineRule="exact"/>
              <w:rPr>
                <w:sz w:val="20"/>
                <w:szCs w:val="20"/>
                <w:color w:val="auto"/>
              </w:rPr>
            </w:pPr>
            <w:r>
              <w:rPr>
                <w:rFonts w:ascii="Arial" w:cs="Arial" w:eastAsia="Arial" w:hAnsi="Arial"/>
                <w:sz w:val="18"/>
                <w:szCs w:val="18"/>
                <w:b w:val="1"/>
                <w:bCs w:val="1"/>
                <w:color w:val="auto"/>
                <w:w w:val="90"/>
              </w:rPr>
              <w:t>- 2022</w:t>
            </w:r>
          </w:p>
        </w:tc>
        <w:tc>
          <w:tcPr>
            <w:tcW w:w="120" w:type="dxa"/>
            <w:vAlign w:val="bottom"/>
          </w:tcPr>
          <w:p>
            <w:pPr>
              <w:spacing w:after="0"/>
              <w:rPr>
                <w:sz w:val="15"/>
                <w:szCs w:val="15"/>
                <w:color w:val="auto"/>
              </w:rPr>
            </w:pPr>
          </w:p>
        </w:tc>
        <w:tc>
          <w:tcPr>
            <w:tcW w:w="1440" w:type="dxa"/>
            <w:vAlign w:val="bottom"/>
            <w:vMerge w:val="restart"/>
          </w:tcPr>
          <w:p>
            <w:pPr>
              <w:jc w:val="center"/>
              <w:ind w:right="37"/>
              <w:spacing w:after="0"/>
              <w:rPr>
                <w:sz w:val="20"/>
                <w:szCs w:val="20"/>
                <w:color w:val="auto"/>
              </w:rPr>
            </w:pPr>
            <w:r>
              <w:rPr>
                <w:rFonts w:ascii="Arial" w:cs="Arial" w:eastAsia="Arial" w:hAnsi="Arial"/>
                <w:sz w:val="18"/>
                <w:szCs w:val="18"/>
                <w:b w:val="1"/>
                <w:bCs w:val="1"/>
                <w:color w:val="auto"/>
                <w:w w:val="89"/>
              </w:rPr>
              <w:t>2027</w:t>
            </w:r>
          </w:p>
        </w:tc>
        <w:tc>
          <w:tcPr>
            <w:tcW w:w="160" w:type="dxa"/>
            <w:vAlign w:val="bottom"/>
          </w:tcPr>
          <w:p>
            <w:pPr>
              <w:spacing w:after="0"/>
              <w:rPr>
                <w:sz w:val="15"/>
                <w:szCs w:val="15"/>
                <w:color w:val="auto"/>
              </w:rPr>
            </w:pPr>
          </w:p>
        </w:tc>
        <w:tc>
          <w:tcPr>
            <w:tcW w:w="1000" w:type="dxa"/>
            <w:vAlign w:val="bottom"/>
          </w:tcPr>
          <w:p>
            <w:pPr>
              <w:jc w:val="center"/>
              <w:ind w:right="58"/>
              <w:spacing w:after="0" w:line="176" w:lineRule="exact"/>
              <w:rPr>
                <w:sz w:val="20"/>
                <w:szCs w:val="20"/>
                <w:color w:val="auto"/>
              </w:rPr>
            </w:pPr>
            <w:r>
              <w:rPr>
                <w:rFonts w:ascii="Arial" w:cs="Arial" w:eastAsia="Arial" w:hAnsi="Arial"/>
                <w:sz w:val="18"/>
                <w:szCs w:val="18"/>
                <w:b w:val="1"/>
                <w:bCs w:val="1"/>
                <w:color w:val="auto"/>
                <w:w w:val="90"/>
              </w:rPr>
              <w:t>2022-2026</w:t>
            </w: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583"/>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8"/>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2"/>
        </w:trPr>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-2305685</wp:posOffset>
            </wp:positionV>
            <wp:extent cx="711517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-1379220</wp:posOffset>
            </wp:positionV>
            <wp:extent cx="711517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-711200</wp:posOffset>
            </wp:positionV>
            <wp:extent cx="711517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-307975</wp:posOffset>
            </wp:positionV>
            <wp:extent cx="71151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-1679575</wp:posOffset>
            </wp:positionV>
            <wp:extent cx="7115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-2614295</wp:posOffset>
            </wp:positionV>
            <wp:extent cx="711517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200"/>
            <w:col w:w="7760"/>
          </w:cols>
          <w:pgMar w:left="320" w:top="1008" w:right="339" w:bottom="1440" w:gutter="0" w:footer="0" w:header="0"/>
          <w:type w:val="continuous"/>
        </w:sectPr>
      </w:pPr>
    </w:p>
    <w:p>
      <w:pPr>
        <w:spacing w:after="0" w:line="35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00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non-GAAP measure, Cash Available for Distribution is defined as of December 31, 2020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2021-03-01T06:49:43Z</dcterms:created>
  <dcterms:modified xsi:type="dcterms:W3CDTF">2021-03-01T06:49:43Z</dcterms:modified>
</cp:coreProperties>
</file>