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25,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32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52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CWEN</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28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Eleventh Supplemental Indenture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25, 2022, Clearway Energy Operating LLC (“Clearway Operating LLC”), a subsidiary of Clearway Energy LLC (“Clearway LLC”), the guarantors currently party to the 2028 Notes Indenture (defined below), PAWVA Wind Holdings LLC (“PAWVA”), Capistrano Portfolio Holdings LLC (“Capistrano” and, together with PAWVA, the “Guaranteeing Subsidiaries”) and Delaware Trust Company, as trustee (the “Trustee”) entered into the eleventh supplemental indenture (the “Eleventh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Eleventh Supplemental Indenture, the Guaranteeing Subsidiaries became guarantors of Clearway Operating LLC’s obligations under the 2028 Notes. Each of Clearway Operating LLC, Clearway LLC and the Guaranteeing Subsidiaries are subsidiaries of Clearway Energy, Inc.</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Eleventh Supplemental Indenture does not purport to be complete and is qualified in its entirety by reference to the Eleventh Supplemental Indenture, which is attached as Exhibit 4.1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Supplemental Indenture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25, 2022, Clearway Operating LLC, the guarantors currently party to the 2031 Notes Indenture (defined below), the Guaranteeing Subsidiaries and the Trustee also entered into the third supplemental indenture (the “Third Supplemental Indenture”), supplementing the indenture, dated as of March 9, 2021 (as amended or supplemented to the date hereof, the “2031 Notes Indenture”), by and among Clearway Operating LLC, the guarantors party thereto and the Trustee, pursuant to which Clearway Operating LLC issued $925,000,000 in aggregate principal amount of its 3.750% Senior Notes due 2031 (the “2031 Notes”). Pursuant to the Third Supplemental Indenture, the Guaranteeing Subsidiaries became guarantors of Clearway Operating LLC’s obligations under the 2031 Notes.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Third Supplemental Indenture does not purport to be complete and is qualified in its entirety by reference to the Third Supplemental Indenture, which is attached as Exhibit 4.2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Supplemental Indenture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25, 2022, Clearway Operating LLC, the guarantors currently party to the 2032 Notes Indenture (defined below), the Guaranteeing Subsidiaries and the Trustee also entered into the second supplemental indenture (the “Second Supplemental Indenture”), supplementing the indenture, dated as of October 1, 2021 (as amended or supplemented to the date hereof, the “2032 Notes Indenture”), by and among Clearway Operating LLC, the guarantors party thereto and the Trustee, pursuant to which Clearway Operating LLC issued $350,000,000 in aggregate principal amount of its 3.750% Senior Notes due 2032 (the “2032 Notes”). Pursuant to the Second Supplemental Indenture, the Guaranteeing Subsidiaries became guarantors of Clearway Operating LLC’s obligations under the 2032 Notes.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Second Supplemental Indenture does not purport to be complete and is qualified in its entirety by reference to the Second Supplemental Indenture, which is attached as Exhibit 4.3 to this Current Report on Form 8-K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560" w:type="dxa"/>
            <w:vAlign w:val="bottom"/>
            <w:tcBorders>
              <w:bottom w:val="single" w:sz="8" w:color="auto"/>
            </w:tcBorders>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Eleventh Supplemental Indenture, dated as of May 25, 2022, among Clearway Energy Operating LLC, the guarantors named therein</w:t>
            </w:r>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and Delaware Trust Company.</w:t>
            </w:r>
          </w:p>
        </w:tc>
        <w:tc>
          <w:tcPr>
            <w:tcW w:w="7560" w:type="dxa"/>
            <w:vAlign w:val="bottom"/>
            <w:tcBorders>
              <w:top w:val="single" w:sz="8" w:color="0000EE"/>
            </w:tcBorders>
            <w:gridSpan w:val="2"/>
          </w:tcPr>
          <w:p>
            <w:pPr>
              <w:spacing w:after="0"/>
              <w:rPr>
                <w:sz w:val="17"/>
                <w:szCs w:val="17"/>
                <w:color w:val="auto"/>
              </w:rPr>
            </w:pPr>
          </w:p>
        </w:tc>
      </w:tr>
      <w:tr>
        <w:trPr>
          <w:trHeight w:val="250"/>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Third Supplemental Indenture, dated as of May 25, 2022, among Clearway Energy Operating LLC, the guarantors named therein and</w:t>
            </w:r>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Delaware Trust Company.</w:t>
            </w:r>
          </w:p>
        </w:tc>
        <w:tc>
          <w:tcPr>
            <w:tcW w:w="2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7880" w:type="dxa"/>
            <w:vAlign w:val="bottom"/>
            <w:gridSpan w:val="3"/>
          </w:tcPr>
          <w:p>
            <w:pPr>
              <w:spacing w:after="0" w:line="20" w:lineRule="exact"/>
              <w:rPr>
                <w:sz w:val="1"/>
                <w:szCs w:val="1"/>
                <w:color w:val="auto"/>
              </w:rPr>
            </w:pPr>
          </w:p>
        </w:tc>
      </w:tr>
      <w:tr>
        <w:trPr>
          <w:trHeight w:val="250"/>
        </w:trPr>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Second Supplemental Indenture, dated as of May 25, 2022, among Clearway Energy Operating LLC, the guarantors named therein and</w:t>
            </w:r>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Delaware Trust Company.</w:t>
            </w: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3" w:lineRule="exact"/>
        <w:rPr>
          <w:sz w:val="20"/>
          <w:szCs w:val="20"/>
          <w:color w:val="auto"/>
        </w:rPr>
      </w:pPr>
    </w:p>
    <w:p>
      <w:pPr>
        <w:ind w:left="5600" w:right="3240" w:hanging="5106"/>
        <w:spacing w:after="0" w:line="845" w:lineRule="auto"/>
        <w:tabs>
          <w:tab w:leader="none" w:pos="14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 2022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ELEVENTH SUPPLEMENTAL INDENTURE</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ELEVENTH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May 25, 2022, among PAWVA Wind Holdings LLC (“</w:t>
      </w:r>
      <w:r>
        <w:rPr>
          <w:rFonts w:ascii="Times New Roman" w:cs="Times New Roman" w:eastAsia="Times New Roman" w:hAnsi="Times New Roman"/>
          <w:sz w:val="18"/>
          <w:szCs w:val="18"/>
          <w:u w:val="single" w:color="auto"/>
          <w:color w:val="auto"/>
        </w:rPr>
        <w:t>PAWVA</w:t>
      </w:r>
      <w:r>
        <w:rPr>
          <w:rFonts w:ascii="Times New Roman" w:cs="Times New Roman" w:eastAsia="Times New Roman" w:hAnsi="Times New Roman"/>
          <w:sz w:val="18"/>
          <w:szCs w:val="18"/>
          <w:color w:val="auto"/>
        </w:rPr>
        <w:t>”), Capistrano Portfolio Holdings LLC (“</w:t>
      </w:r>
      <w:r>
        <w:rPr>
          <w:rFonts w:ascii="Times New Roman" w:cs="Times New Roman" w:eastAsia="Times New Roman" w:hAnsi="Times New Roman"/>
          <w:sz w:val="18"/>
          <w:szCs w:val="18"/>
          <w:u w:val="single" w:color="auto"/>
          <w:color w:val="auto"/>
        </w:rPr>
        <w:t>Capistrano</w:t>
      </w:r>
      <w:r>
        <w:rPr>
          <w:rFonts w:ascii="Times New Roman" w:cs="Times New Roman" w:eastAsia="Times New Roman" w:hAnsi="Times New Roman"/>
          <w:sz w:val="18"/>
          <w:szCs w:val="18"/>
          <w:color w:val="auto"/>
        </w:rPr>
        <w:t>” and, together with PAWVA, the “</w:t>
      </w:r>
      <w:r>
        <w:rPr>
          <w:rFonts w:ascii="Times New Roman" w:cs="Times New Roman" w:eastAsia="Times New Roman" w:hAnsi="Times New Roman"/>
          <w:sz w:val="18"/>
          <w:szCs w:val="18"/>
          <w:i w:val="1"/>
          <w:iCs w:val="1"/>
          <w:color w:val="auto"/>
        </w:rPr>
        <w:t>Guaranteeing Subsidiaries</w:t>
      </w:r>
      <w:r>
        <w:rPr>
          <w:rFonts w:ascii="Times New Roman" w:cs="Times New Roman" w:eastAsia="Times New Roman" w:hAnsi="Times New Roman"/>
          <w:sz w:val="18"/>
          <w:szCs w:val="18"/>
          <w:color w:val="auto"/>
        </w:rPr>
        <w:t>”), subsidiaries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December 11, 2019 providing for the issuance of 4.750% Senior Notes due 2028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Subsidiaries shall execute and deliver to the Trustee a supplemental indenture pursuant to which the Guaranteeing Subsidiaries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76" w:lineRule="exact"/>
        <w:rPr>
          <w:sz w:val="20"/>
          <w:szCs w:val="20"/>
          <w:color w:val="auto"/>
        </w:rPr>
      </w:pPr>
    </w:p>
    <w:p>
      <w:pPr>
        <w:ind w:left="1380" w:hanging="724"/>
        <w:spacing w:after="0"/>
        <w:tabs>
          <w:tab w:leader="none" w:pos="1380"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476"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AGREEMENT TO GUARANTEE. The Guaranteeing Subsidiaries hereby become parties to the Indenture as Guarantors and as such will have all the rights and be subject to all the Obligations and agreements of Guarantors under the Indenture. The Guaranteeing Subsidiaries hereby agree to provide full and unconditional Guarantees on the terms and subject to the conditions set forth in the Subsidiary Guarantee and in the Indenture including but not limited to Article 10 thereof.</w:t>
      </w:r>
    </w:p>
    <w:p>
      <w:pPr>
        <w:spacing w:after="0" w:line="179" w:lineRule="exact"/>
        <w:rPr>
          <w:rFonts w:ascii="Times New Roman" w:cs="Times New Roman" w:eastAsia="Times New Roman" w:hAnsi="Times New Roman"/>
          <w:sz w:val="18"/>
          <w:szCs w:val="18"/>
          <w:color w:val="010000"/>
        </w:rPr>
      </w:pPr>
    </w:p>
    <w:p>
      <w:pPr>
        <w:jc w:val="both"/>
        <w:ind w:firstLine="656"/>
        <w:spacing w:after="0" w:line="258" w:lineRule="auto"/>
        <w:tabs>
          <w:tab w:leader="none" w:pos="1368"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ind w:firstLine="656"/>
        <w:spacing w:after="0" w:line="266" w:lineRule="auto"/>
        <w:tabs>
          <w:tab w:leader="none" w:pos="1408"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75" w:lineRule="exact"/>
        <w:rPr>
          <w:rFonts w:ascii="Times New Roman" w:cs="Times New Roman" w:eastAsia="Times New Roman" w:hAnsi="Times New Roman"/>
          <w:sz w:val="18"/>
          <w:szCs w:val="18"/>
          <w:color w:val="010000"/>
        </w:rPr>
      </w:pPr>
    </w:p>
    <w:p>
      <w:pPr>
        <w:ind w:right="20" w:firstLine="656"/>
        <w:spacing w:after="0" w:line="282" w:lineRule="auto"/>
        <w:tabs>
          <w:tab w:leader="none" w:pos="1449"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010000"/>
        </w:rPr>
      </w:pPr>
    </w:p>
    <w:p>
      <w:pPr>
        <w:ind w:left="1380" w:hanging="724"/>
        <w:spacing w:after="0"/>
        <w:tabs>
          <w:tab w:leader="none" w:pos="1380"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462"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7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395"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79" w:lineRule="exact"/>
        <w:rPr>
          <w:rFonts w:ascii="Times New Roman" w:cs="Times New Roman" w:eastAsia="Times New Roman" w:hAnsi="Times New Roman"/>
          <w:sz w:val="18"/>
          <w:szCs w:val="18"/>
          <w:color w:val="010000"/>
        </w:rPr>
      </w:pPr>
    </w:p>
    <w:p>
      <w:pPr>
        <w:jc w:val="both"/>
        <w:ind w:firstLine="656"/>
        <w:spacing w:after="0" w:line="252" w:lineRule="auto"/>
        <w:tabs>
          <w:tab w:leader="none" w:pos="1381"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PAWVA WIND HOLDINGS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CAPISTRANO PORTFOLIO HOLDINGS LLC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Chief Financial Officer &amp;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Eleventh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450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CWSP RATTLESNAKE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DAGGETT SOLAR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MARSH LANDING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UTAH SOLAR MASTER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WV WIND HOLDINGS LLC</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Eleventh Supplemental Indenture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80"/>
          </w:cols>
          <w:pgMar w:left="1440" w:top="904" w:right="12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Gregory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Gregory Daniels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Assistant Vice President</w:t>
      </w:r>
    </w:p>
    <w:p>
      <w:pPr>
        <w:spacing w:after="0" w:line="221" w:lineRule="exact"/>
        <w:rPr>
          <w:sz w:val="20"/>
          <w:szCs w:val="20"/>
          <w:color w:val="auto"/>
        </w:rPr>
      </w:pPr>
    </w:p>
    <w:p>
      <w:pPr>
        <w:jc w:val="right"/>
        <w:ind w:right="219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Eleventh Supplemental Indenture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SUPPLEMENTAL INDENTURE</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THIRD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May 25, 2022, among PAWVA Wind Holdings LLC (“</w:t>
      </w:r>
      <w:r>
        <w:rPr>
          <w:rFonts w:ascii="Times New Roman" w:cs="Times New Roman" w:eastAsia="Times New Roman" w:hAnsi="Times New Roman"/>
          <w:sz w:val="18"/>
          <w:szCs w:val="18"/>
          <w:u w:val="single" w:color="auto"/>
          <w:color w:val="auto"/>
        </w:rPr>
        <w:t>PAWVA</w:t>
      </w:r>
      <w:r>
        <w:rPr>
          <w:rFonts w:ascii="Times New Roman" w:cs="Times New Roman" w:eastAsia="Times New Roman" w:hAnsi="Times New Roman"/>
          <w:sz w:val="18"/>
          <w:szCs w:val="18"/>
          <w:color w:val="auto"/>
        </w:rPr>
        <w:t>”), Capistrano Portfolio Holdings LLC (“</w:t>
      </w:r>
      <w:r>
        <w:rPr>
          <w:rFonts w:ascii="Times New Roman" w:cs="Times New Roman" w:eastAsia="Times New Roman" w:hAnsi="Times New Roman"/>
          <w:sz w:val="18"/>
          <w:szCs w:val="18"/>
          <w:u w:val="single" w:color="auto"/>
          <w:color w:val="auto"/>
        </w:rPr>
        <w:t>Capistrano</w:t>
      </w:r>
      <w:r>
        <w:rPr>
          <w:rFonts w:ascii="Times New Roman" w:cs="Times New Roman" w:eastAsia="Times New Roman" w:hAnsi="Times New Roman"/>
          <w:sz w:val="18"/>
          <w:szCs w:val="18"/>
          <w:color w:val="auto"/>
        </w:rPr>
        <w:t>” and, together with PAWVA, the “</w:t>
      </w:r>
      <w:r>
        <w:rPr>
          <w:rFonts w:ascii="Times New Roman" w:cs="Times New Roman" w:eastAsia="Times New Roman" w:hAnsi="Times New Roman"/>
          <w:sz w:val="18"/>
          <w:szCs w:val="18"/>
          <w:i w:val="1"/>
          <w:iCs w:val="1"/>
          <w:color w:val="auto"/>
        </w:rPr>
        <w:t>Guaranteeing Subsidiaries</w:t>
      </w:r>
      <w:r>
        <w:rPr>
          <w:rFonts w:ascii="Times New Roman" w:cs="Times New Roman" w:eastAsia="Times New Roman" w:hAnsi="Times New Roman"/>
          <w:sz w:val="18"/>
          <w:szCs w:val="18"/>
          <w:color w:val="auto"/>
        </w:rPr>
        <w:t>”), subsidiaries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March 9, 2021 providing for the issuance of 3.750% Senior Notes due 2031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Subsidiaries shall execute and deliver to the Trustee a supplemental indenture pursuant to which the Guaranteeing Subsidiaries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76" w:lineRule="exact"/>
        <w:rPr>
          <w:sz w:val="20"/>
          <w:szCs w:val="20"/>
          <w:color w:val="auto"/>
        </w:rPr>
      </w:pPr>
    </w:p>
    <w:p>
      <w:pPr>
        <w:ind w:left="1380" w:hanging="724"/>
        <w:spacing w:after="0"/>
        <w:tabs>
          <w:tab w:leader="none" w:pos="138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476"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AGREEMENT TO GUARANTEE. The Guaranteeing Subsidiaries hereby become parties to the Indenture as Guarantors and as such will have all the rights and be subject to all the Obligations and agreements of a Guarantor under the Indenture. The Guaranteeing Subsidiaries hereby agree to provide full and unconditional Guarantees on the terms and subject to the conditions set forth in the Subsidiary Guarantee and in the Indenture including but not limited to Article 10 thereof.</w:t>
      </w:r>
    </w:p>
    <w:p>
      <w:pPr>
        <w:spacing w:after="0" w:line="179" w:lineRule="exact"/>
        <w:rPr>
          <w:rFonts w:ascii="Times New Roman" w:cs="Times New Roman" w:eastAsia="Times New Roman" w:hAnsi="Times New Roman"/>
          <w:sz w:val="18"/>
          <w:szCs w:val="18"/>
          <w:color w:val="010000"/>
        </w:rPr>
      </w:pPr>
    </w:p>
    <w:p>
      <w:pPr>
        <w:jc w:val="both"/>
        <w:ind w:firstLine="656"/>
        <w:spacing w:after="0" w:line="258" w:lineRule="auto"/>
        <w:tabs>
          <w:tab w:leader="none" w:pos="1368"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both"/>
        <w:ind w:firstLine="656"/>
        <w:spacing w:after="0" w:line="266" w:lineRule="auto"/>
        <w:tabs>
          <w:tab w:leader="none" w:pos="1408"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75" w:lineRule="exact"/>
        <w:rPr>
          <w:rFonts w:ascii="Times New Roman" w:cs="Times New Roman" w:eastAsia="Times New Roman" w:hAnsi="Times New Roman"/>
          <w:sz w:val="18"/>
          <w:szCs w:val="18"/>
          <w:color w:val="010000"/>
        </w:rPr>
      </w:pPr>
    </w:p>
    <w:p>
      <w:pPr>
        <w:ind w:right="20" w:firstLine="656"/>
        <w:spacing w:after="0" w:line="282" w:lineRule="auto"/>
        <w:tabs>
          <w:tab w:leader="none" w:pos="1449"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010000"/>
        </w:rPr>
      </w:pPr>
    </w:p>
    <w:p>
      <w:pPr>
        <w:ind w:left="1380" w:hanging="724"/>
        <w:spacing w:after="0"/>
        <w:tabs>
          <w:tab w:leader="none" w:pos="1380"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462"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7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395"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79" w:lineRule="exact"/>
        <w:rPr>
          <w:rFonts w:ascii="Times New Roman" w:cs="Times New Roman" w:eastAsia="Times New Roman" w:hAnsi="Times New Roman"/>
          <w:sz w:val="18"/>
          <w:szCs w:val="18"/>
          <w:color w:val="010000"/>
        </w:rPr>
      </w:pPr>
    </w:p>
    <w:p>
      <w:pPr>
        <w:jc w:val="both"/>
        <w:ind w:firstLine="656"/>
        <w:spacing w:after="0" w:line="252" w:lineRule="auto"/>
        <w:tabs>
          <w:tab w:leader="none" w:pos="1381"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PAWVA WIND HOLDINGS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CAPISTRANO PORTFOLIO HOLDINGS LLC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Chief Financial Officer &amp;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450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CWSP RATTLESNAKE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DAGGETT SOLAR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MARSH LANDING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UTAH SOLAR MASTER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WV WIND HOLDINGS LLC</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Third Supplemental Indenture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80"/>
          </w:cols>
          <w:pgMar w:left="1440" w:top="904" w:right="1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Gregory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Gregory Daniels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Assistant Vice President</w:t>
      </w:r>
    </w:p>
    <w:p>
      <w:pPr>
        <w:spacing w:after="0" w:line="205"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SUPPLEMENTAL INDENTURE</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SECOND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May 25, 2022, among PAWVA Wind Holdings LLC (“</w:t>
      </w:r>
      <w:r>
        <w:rPr>
          <w:rFonts w:ascii="Times New Roman" w:cs="Times New Roman" w:eastAsia="Times New Roman" w:hAnsi="Times New Roman"/>
          <w:sz w:val="18"/>
          <w:szCs w:val="18"/>
          <w:u w:val="single" w:color="auto"/>
          <w:color w:val="auto"/>
        </w:rPr>
        <w:t>PAWVA</w:t>
      </w:r>
      <w:r>
        <w:rPr>
          <w:rFonts w:ascii="Times New Roman" w:cs="Times New Roman" w:eastAsia="Times New Roman" w:hAnsi="Times New Roman"/>
          <w:sz w:val="18"/>
          <w:szCs w:val="18"/>
          <w:color w:val="auto"/>
        </w:rPr>
        <w:t>”), Capistrano Portfolio Holdings LLC (“</w:t>
      </w:r>
      <w:r>
        <w:rPr>
          <w:rFonts w:ascii="Times New Roman" w:cs="Times New Roman" w:eastAsia="Times New Roman" w:hAnsi="Times New Roman"/>
          <w:sz w:val="18"/>
          <w:szCs w:val="18"/>
          <w:u w:val="single" w:color="auto"/>
          <w:color w:val="auto"/>
        </w:rPr>
        <w:t>Capistrano</w:t>
      </w:r>
      <w:r>
        <w:rPr>
          <w:rFonts w:ascii="Times New Roman" w:cs="Times New Roman" w:eastAsia="Times New Roman" w:hAnsi="Times New Roman"/>
          <w:sz w:val="18"/>
          <w:szCs w:val="18"/>
          <w:color w:val="auto"/>
        </w:rPr>
        <w:t>” and, together with PAWVA, the “</w:t>
      </w:r>
      <w:r>
        <w:rPr>
          <w:rFonts w:ascii="Times New Roman" w:cs="Times New Roman" w:eastAsia="Times New Roman" w:hAnsi="Times New Roman"/>
          <w:sz w:val="18"/>
          <w:szCs w:val="18"/>
          <w:i w:val="1"/>
          <w:iCs w:val="1"/>
          <w:color w:val="auto"/>
        </w:rPr>
        <w:t>Guaranteeing Subsidiaries</w:t>
      </w:r>
      <w:r>
        <w:rPr>
          <w:rFonts w:ascii="Times New Roman" w:cs="Times New Roman" w:eastAsia="Times New Roman" w:hAnsi="Times New Roman"/>
          <w:sz w:val="18"/>
          <w:szCs w:val="18"/>
          <w:color w:val="auto"/>
        </w:rPr>
        <w:t>”), subsidiaries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October 1, 2021 providing for the issuance of 3.750% Senior Notes due 2032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Subsidiaries shall execute and deliver to the Trustee a supplemental indenture pursuant to which the Guaranteeing Subsidiaries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76" w:lineRule="exact"/>
        <w:rPr>
          <w:sz w:val="20"/>
          <w:szCs w:val="20"/>
          <w:color w:val="auto"/>
        </w:rPr>
      </w:pPr>
    </w:p>
    <w:p>
      <w:pPr>
        <w:ind w:left="1600" w:hanging="944"/>
        <w:spacing w:after="0"/>
        <w:tabs>
          <w:tab w:leader="none" w:pos="160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606"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AGREEMENT TO GUARANTEE. The Guaranteeing Subsidiaries hereby become parties to the Indenture as Guarantors and as such will have all the rights and be subject to all the Obligations and agreements of a Guarantor under the Indenture. The Guaranteeing Subsidiaries hereby agree to provide full and unconditional Guarantees on the terms and subject to the conditions set forth in the Subsidiary Guarantee and in the Indenture including but not limited to Article 10 thereof.</w:t>
      </w:r>
    </w:p>
    <w:p>
      <w:pPr>
        <w:spacing w:after="0" w:line="179" w:lineRule="exact"/>
        <w:rPr>
          <w:rFonts w:ascii="Times New Roman" w:cs="Times New Roman" w:eastAsia="Times New Roman" w:hAnsi="Times New Roman"/>
          <w:sz w:val="18"/>
          <w:szCs w:val="18"/>
          <w:color w:val="010000"/>
        </w:rPr>
      </w:pPr>
    </w:p>
    <w:p>
      <w:pPr>
        <w:jc w:val="both"/>
        <w:ind w:firstLine="656"/>
        <w:spacing w:after="0" w:line="258" w:lineRule="auto"/>
        <w:tabs>
          <w:tab w:leader="none" w:pos="2024"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both"/>
        <w:ind w:firstLine="656"/>
        <w:spacing w:after="0" w:line="266" w:lineRule="auto"/>
        <w:tabs>
          <w:tab w:leader="none" w:pos="1673"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75" w:lineRule="exact"/>
        <w:rPr>
          <w:rFonts w:ascii="Times New Roman" w:cs="Times New Roman" w:eastAsia="Times New Roman" w:hAnsi="Times New Roman"/>
          <w:sz w:val="18"/>
          <w:szCs w:val="18"/>
          <w:color w:val="010000"/>
        </w:rPr>
      </w:pPr>
    </w:p>
    <w:p>
      <w:pPr>
        <w:ind w:firstLine="656"/>
        <w:spacing w:after="0" w:line="282" w:lineRule="auto"/>
        <w:tabs>
          <w:tab w:leader="none" w:pos="1903"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010000"/>
        </w:rPr>
      </w:pPr>
    </w:p>
    <w:p>
      <w:pPr>
        <w:ind w:left="1600" w:hanging="944"/>
        <w:spacing w:after="0"/>
        <w:tabs>
          <w:tab w:leader="none" w:pos="1600"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010000"/>
        </w:rPr>
      </w:pPr>
    </w:p>
    <w:p>
      <w:pPr>
        <w:jc w:val="both"/>
        <w:ind w:right="20" w:firstLine="656"/>
        <w:spacing w:after="0" w:line="266" w:lineRule="auto"/>
        <w:tabs>
          <w:tab w:leader="none" w:pos="1606"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8. </w:t>
      </w:r>
      <w:r>
        <w:rPr>
          <w:rFonts w:ascii="Times New Roman" w:cs="Times New Roman" w:eastAsia="Times New Roman" w:hAnsi="Times New Roman"/>
          <w:sz w:val="18"/>
          <w:szCs w:val="18"/>
          <w:color w:val="000000"/>
        </w:rPr>
        <w:t>RATIFICATION OF INDENTURE; SUPPLEMENTAL INDENTURE FOR ADDITIONAL GUARANTEES PART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0" w:lineRule="exact"/>
        <w:rPr>
          <w:sz w:val="20"/>
          <w:szCs w:val="20"/>
          <w:color w:val="auto"/>
        </w:rPr>
      </w:pPr>
    </w:p>
    <w:p>
      <w:pPr>
        <w:jc w:val="both"/>
        <w:ind w:firstLine="656"/>
        <w:spacing w:after="0" w:line="252" w:lineRule="auto"/>
        <w:tabs>
          <w:tab w:leader="none" w:pos="1592"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PAWVA WIND HOLDINGS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CAPISTRANO PORTFOLIO HOLDINGS LLC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Executive Vice President, Chief Financial Officer &amp;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Second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452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CWSP RATTLESNAKE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DAGGETT SOLAR HOLDCO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DG-CS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LANGFORD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LIGHTHOUSE RENEWABLE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MARSH LANDING HOLDCO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NIMH SOLAR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OCOTILLO WINDPOWER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ROSAMOND SOLAR HOLDCO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THERMAL CANADA INFRASTRUCTURE HOLDINGS LLC</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UTAH SOLAR MASTER HOLDCO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WV WIND HOLDINGS LLC</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Second Supplemental Indenture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80"/>
          </w:cols>
          <w:pgMar w:left="1440" w:top="904" w:right="1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Daniels</w:t>
            </w: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Gregory Daniels</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pacing w:after="0" w:line="212"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Second Supplemental Indenture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decimal"/>
      <w:start w:val="104"/>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4"/>
    </w:lvl>
  </w:abstractNum>
  <w:abstractNum w:abstractNumId="9">
    <w:nsid w:val="4DB127F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2022-06-01T07:04:27Z</dcterms:created>
  <dcterms:modified xsi:type="dcterms:W3CDTF">2022-06-01T07:04:27Z</dcterms:modified>
</cp:coreProperties>
</file>