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Plotkin Chad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SVP and CFO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706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49,212</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5,278 dividend equivalent rights that may only be settled in Class C Common Stock. There has been a de minimus adjustment of 1 share as a result of rounding fractional shares.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64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2020-12-03T16:20:27Z</dcterms:created>
  <dcterms:modified xsi:type="dcterms:W3CDTF">2020-12-03T16:20:27Z</dcterms:modified>
</cp:coreProperties>
</file>