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8, 2016</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22" w:right="359" w:bottom="1440" w:gutter="0" w:footer="0" w:header="0"/>
        </w:sectPr>
      </w:pPr>
    </w:p>
    <w:p>
      <w:pPr>
        <w:spacing w:after="0" w:line="36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333-203369</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32-0407370</w:t>
      </w:r>
    </w:p>
    <w:p>
      <w:pPr>
        <w:spacing w:after="0" w:line="90" w:lineRule="exact"/>
        <w:rPr>
          <w:sz w:val="24"/>
          <w:szCs w:val="24"/>
          <w:color w:val="auto"/>
        </w:rPr>
      </w:pPr>
    </w:p>
    <w:p>
      <w:pPr>
        <w:sectPr>
          <w:pgSz w:w="11900" w:h="16838" w:orient="portrait"/>
          <w:cols w:equalWidth="0" w:num="3">
            <w:col w:w="4580" w:space="720"/>
            <w:col w:w="3140" w:space="720"/>
            <w:col w:w="2140"/>
          </w:cols>
          <w:pgMar w:left="240" w:top="922" w:right="359" w:bottom="1440" w:gutter="0" w:footer="0" w:header="0"/>
          <w:type w:val="continuous"/>
        </w:sect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60" w:space="720"/>
            <w:col w:w="2780"/>
          </w:cols>
          <w:pgMar w:left="240" w:top="922" w:right="359" w:bottom="1440" w:gutter="0" w:footer="0" w:header="0"/>
          <w:type w:val="continuous"/>
        </w:sectPr>
      </w:pP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922" w:right="359" w:bottom="1440" w:gutter="0" w:footer="0" w:header="0"/>
          <w:type w:val="continuous"/>
        </w:sect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9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August 8, 2016, NRG Yield Operating LLC (the “</w:t>
      </w:r>
      <w:r>
        <w:rPr>
          <w:rFonts w:ascii="Arial" w:cs="Arial" w:eastAsia="Arial" w:hAnsi="Arial"/>
          <w:sz w:val="18"/>
          <w:szCs w:val="18"/>
          <w:u w:val="single" w:color="auto"/>
          <w:color w:val="auto"/>
        </w:rPr>
        <w:t>Purchaser</w:t>
      </w:r>
      <w:r>
        <w:rPr>
          <w:rFonts w:ascii="Arial" w:cs="Arial" w:eastAsia="Arial" w:hAnsi="Arial"/>
          <w:sz w:val="18"/>
          <w:szCs w:val="18"/>
          <w:color w:val="auto"/>
        </w:rPr>
        <w:t>”), a subsidiary of NRG Yield LLC (“</w:t>
      </w:r>
      <w:r>
        <w:rPr>
          <w:rFonts w:ascii="Arial" w:cs="Arial" w:eastAsia="Arial" w:hAnsi="Arial"/>
          <w:sz w:val="18"/>
          <w:szCs w:val="18"/>
          <w:u w:val="single" w:color="auto"/>
          <w:color w:val="auto"/>
        </w:rPr>
        <w:t>NRG Yield</w:t>
      </w:r>
      <w:r>
        <w:rPr>
          <w:rFonts w:ascii="Arial" w:cs="Arial" w:eastAsia="Arial" w:hAnsi="Arial"/>
          <w:sz w:val="18"/>
          <w:szCs w:val="18"/>
          <w:color w:val="auto"/>
        </w:rPr>
        <w:t>”) and owner of a 48.95% interest in CVSR Holdco LLC (“</w:t>
      </w:r>
      <w:r>
        <w:rPr>
          <w:rFonts w:ascii="Arial" w:cs="Arial" w:eastAsia="Arial" w:hAnsi="Arial"/>
          <w:sz w:val="18"/>
          <w:szCs w:val="18"/>
          <w:u w:val="single" w:color="auto"/>
          <w:color w:val="auto"/>
        </w:rPr>
        <w:t>CVSR</w:t>
      </w:r>
      <w:r>
        <w:rPr>
          <w:rFonts w:ascii="Arial" w:cs="Arial" w:eastAsia="Arial" w:hAnsi="Arial"/>
          <w:sz w:val="18"/>
          <w:szCs w:val="18"/>
          <w:color w:val="auto"/>
        </w:rPr>
        <w:t>”), entered into a purchase and sale agreement (the “</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with NRG Solar CVSR Holdings 2 LLC (the “</w:t>
      </w:r>
      <w:r>
        <w:rPr>
          <w:rFonts w:ascii="Arial" w:cs="Arial" w:eastAsia="Arial" w:hAnsi="Arial"/>
          <w:sz w:val="18"/>
          <w:szCs w:val="18"/>
          <w:u w:val="single" w:color="auto"/>
          <w:color w:val="auto"/>
        </w:rPr>
        <w:t>Seller</w:t>
      </w:r>
      <w:r>
        <w:rPr>
          <w:rFonts w:ascii="Arial" w:cs="Arial" w:eastAsia="Arial" w:hAnsi="Arial"/>
          <w:sz w:val="18"/>
          <w:szCs w:val="18"/>
          <w:color w:val="auto"/>
        </w:rPr>
        <w:t>”), a wholly-owned subsidiary of NRG Energy, Inc. Pursuant to the terms of the Purchase and Sale Agreement, the Purchaser agreed to acquire the remaining 51.05% interest in CVSR, which indirectly owns the CVSR solar facility (the “</w:t>
      </w:r>
      <w:r>
        <w:rPr>
          <w:rFonts w:ascii="Arial" w:cs="Arial" w:eastAsia="Arial" w:hAnsi="Arial"/>
          <w:sz w:val="18"/>
          <w:szCs w:val="18"/>
          <w:u w:val="single" w:color="auto"/>
          <w:color w:val="auto"/>
        </w:rPr>
        <w:t>Transaction</w:t>
      </w:r>
      <w:r>
        <w:rPr>
          <w:rFonts w:ascii="Arial" w:cs="Arial" w:eastAsia="Arial" w:hAnsi="Arial"/>
          <w:sz w:val="18"/>
          <w:szCs w:val="18"/>
          <w:color w:val="auto"/>
        </w:rPr>
        <w:t>”). The purchase price for the Transaction is $78.5 million in cash consideration, subject to customary working capital adjustments, plus the assumption of approximately $496 million of non-recourse project debt as of the closing date.</w:t>
      </w:r>
    </w:p>
    <w:p>
      <w:pPr>
        <w:spacing w:after="0" w:line="193"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Purchase and Sale Agreement contains customary representations and warranties and covenants by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closing of the Transaction is subject to closing conditions and certain third party approvals. NRG Yield expects the Transaction to close during the third quarter of 2016.</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foregoing description of the Purchase and Sale Agreement is not complete and is qualified in its entirety by reference to the full text of</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Purchase and Sale Agreement, a copy of which is filed as Exhibit 2.1 to NRG Yield, Inc.'s Form 8-K dated August 9, 2016,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525"/>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Purchase and Sale Agreement, dated as of August 8, 2016, between NRG Solar CVSR Holdings 2 LLC and NRG Yield Operating</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LLC (incorporated by reference to Exhibit 2.1 of NRG Yield, Inc.’s Form 8-K dated August 9, 2016).</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The registrant agrees to furnish supplementally a copy of any omitted schedule to the Securities and Exchange Commission upon request.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2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2016</w:t>
      </w: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240" w:top="1013"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20" w:type="dxa"/>
            <w:vAlign w:val="bottom"/>
          </w:tcPr>
          <w:p>
            <w:pPr>
              <w:ind w:left="336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525"/>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8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Purchase and Sale Agreement, dated as of August 8, 2016, between NRG Solar CVSR Holdings 2 LLC and NRG Yield</w:t>
            </w:r>
          </w:p>
        </w:tc>
      </w:tr>
      <w:tr>
        <w:trPr>
          <w:trHeight w:val="230"/>
        </w:trPr>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20" w:type="dxa"/>
            <w:vAlign w:val="bottom"/>
          </w:tcPr>
          <w:p>
            <w:pPr>
              <w:ind w:left="20"/>
              <w:spacing w:after="0"/>
              <w:rPr>
                <w:sz w:val="20"/>
                <w:szCs w:val="20"/>
                <w:color w:val="auto"/>
              </w:rPr>
            </w:pPr>
            <w:r>
              <w:rPr>
                <w:rFonts w:ascii="Arial" w:cs="Arial" w:eastAsia="Arial" w:hAnsi="Arial"/>
                <w:sz w:val="18"/>
                <w:szCs w:val="18"/>
                <w:color w:val="auto"/>
                <w:w w:val="99"/>
              </w:rPr>
              <w:t>Operating LLC (incorporated by reference to Exhibit 2.1 of NRG Yield, Inc.’s Form 8-K dated August 9, 2016).</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The registrant agrees to furnish supplementally a copy of any omitted schedule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4</w:t>
      </w:r>
    </w:p>
    <w:sectPr>
      <w:pgSz w:w="11900" w:h="16838" w:orient="portrait"/>
      <w:cols w:equalWidth="0" w:num="1">
        <w:col w:w="10400"/>
      </w:cols>
      <w:pgMar w:left="240" w:top="1026"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2019-12-09T02:02:39Z</dcterms:created>
  <dcterms:modified xsi:type="dcterms:W3CDTF">2019-12-09T02:02:39Z</dcterms:modified>
</cp:coreProperties>
</file>