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972185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1880" w:right="2840" w:hanging="1397"/>
        <w:spacing w:after="0" w:line="657" w:lineRule="auto"/>
        <w:tabs>
          <w:tab w:leader="none" w:pos="1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ind w:left="4240" w:right="2800" w:hanging="3757"/>
        <w:spacing w:after="0" w:line="507" w:lineRule="auto"/>
        <w:tabs>
          <w:tab w:leader="none" w:pos="18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333-203369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NRG Yield LLC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504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32-0407370</w:t>
            </w:r>
          </w:p>
        </w:tc>
      </w:tr>
      <w:tr>
        <w:trPr>
          <w:trHeight w:val="216"/>
        </w:trPr>
        <w:tc>
          <w:tcPr>
            <w:tcW w:w="5040" w:type="dxa"/>
            <w:vAlign w:val="bottom"/>
          </w:tcPr>
          <w:p>
            <w:pPr>
              <w:jc w:val="center"/>
              <w:ind w:right="15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040" w:type="dxa"/>
            <w:vAlign w:val="bottom"/>
          </w:tcPr>
          <w:p>
            <w:pPr>
              <w:jc w:val="center"/>
              <w:ind w:right="15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2"/>
        </w:trPr>
        <w:tc>
          <w:tcPr>
            <w:tcW w:w="504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804 Carnegie Center, Princeton, New Jersey</w:t>
            </w:r>
          </w:p>
        </w:tc>
        <w:tc>
          <w:tcPr>
            <w:tcW w:w="3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234"/>
        </w:trPr>
        <w:tc>
          <w:tcPr>
            <w:tcW w:w="504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524-4500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3" w:lineRule="exact"/>
        <w:rPr>
          <w:sz w:val="24"/>
          <w:szCs w:val="24"/>
          <w:color w:val="auto"/>
        </w:rPr>
      </w:pPr>
    </w:p>
    <w:p>
      <w:pPr>
        <w:jc w:val="both"/>
        <w:ind w:firstLine="270"/>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w:t>
      </w:r>
    </w:p>
    <w:p>
      <w:pPr>
        <w:spacing w:after="0" w:line="74" w:lineRule="exact"/>
        <w:rPr>
          <w:sz w:val="24"/>
          <w:szCs w:val="24"/>
          <w:color w:val="auto"/>
        </w:rPr>
      </w:pPr>
    </w:p>
    <w:p>
      <w:pPr>
        <w:ind w:left="6880"/>
        <w:spacing w:after="0"/>
        <w:tabs>
          <w:tab w:leader="none" w:pos="74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Times New Roman" w:cs="Times New Roman" w:eastAsia="Times New Roman" w:hAnsi="Times New Roman"/>
          <w:sz w:val="16"/>
          <w:szCs w:val="16"/>
          <w:color w:val="auto"/>
        </w:rPr>
        <w:t>o</w:t>
      </w:r>
      <w:r>
        <w:rPr>
          <w:rFonts w:ascii="Times New Roman" w:cs="Times New Roman" w:eastAsia="Times New Roman" w:hAnsi="Times New Roman"/>
          <w:sz w:val="16"/>
          <w:szCs w:val="16"/>
          <w:b w:val="1"/>
          <w:bCs w:val="1"/>
          <w:color w:val="auto"/>
        </w:rPr>
        <w:tab/>
        <w:t xml:space="preserve">No </w:t>
      </w:r>
      <w:r>
        <w:rPr>
          <w:rFonts w:ascii="Times New Roman" w:cs="Times New Roman" w:eastAsia="Times New Roman" w:hAnsi="Times New Roman"/>
          <w:sz w:val="16"/>
          <w:szCs w:val="16"/>
          <w:color w:val="auto"/>
        </w:rPr>
        <w:t>o</w:t>
      </w:r>
    </w:p>
    <w:p>
      <w:pPr>
        <w:spacing w:after="0" w:line="115" w:lineRule="exact"/>
        <w:rPr>
          <w:sz w:val="24"/>
          <w:szCs w:val="24"/>
          <w:color w:val="auto"/>
        </w:rPr>
      </w:pPr>
    </w:p>
    <w:p>
      <w:pPr>
        <w:jc w:val="both"/>
        <w:ind w:firstLine="27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8" w:lineRule="exact"/>
        <w:rPr>
          <w:sz w:val="24"/>
          <w:szCs w:val="24"/>
          <w:color w:val="auto"/>
        </w:rPr>
      </w:pPr>
    </w:p>
    <w:p>
      <w:pPr>
        <w:ind w:left="6880"/>
        <w:spacing w:after="0"/>
        <w:tabs>
          <w:tab w:leader="none" w:pos="74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Times New Roman" w:cs="Times New Roman" w:eastAsia="Times New Roman" w:hAnsi="Times New Roman"/>
          <w:sz w:val="16"/>
          <w:szCs w:val="16"/>
          <w:color w:val="auto"/>
        </w:rPr>
        <w:t>x</w:t>
      </w:r>
      <w:r>
        <w:rPr>
          <w:rFonts w:ascii="Times New Roman" w:cs="Times New Roman" w:eastAsia="Times New Roman" w:hAnsi="Times New Roman"/>
          <w:sz w:val="16"/>
          <w:szCs w:val="16"/>
          <w:b w:val="1"/>
          <w:bCs w:val="1"/>
          <w:color w:val="auto"/>
        </w:rPr>
        <w:tab/>
        <w:t xml:space="preserve">No </w:t>
      </w:r>
      <w:r>
        <w:rPr>
          <w:rFonts w:ascii="Times New Roman" w:cs="Times New Roman" w:eastAsia="Times New Roman" w:hAnsi="Times New Roman"/>
          <w:sz w:val="16"/>
          <w:szCs w:val="16"/>
          <w:color w:val="auto"/>
        </w:rPr>
        <w:t>o</w:t>
      </w:r>
    </w:p>
    <w:p>
      <w:pPr>
        <w:spacing w:after="0" w:line="115" w:lineRule="exact"/>
        <w:rPr>
          <w:sz w:val="24"/>
          <w:szCs w:val="24"/>
          <w:color w:val="auto"/>
        </w:rPr>
      </w:pPr>
    </w:p>
    <w:p>
      <w:pPr>
        <w:jc w:val="both"/>
        <w:ind w:firstLine="27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0"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Times New Roman" w:cs="Times New Roman" w:eastAsia="Times New Roman" w:hAnsi="Times New Roman"/>
          <w:sz w:val="14"/>
          <w:szCs w:val="14"/>
          <w:b w:val="1"/>
          <w:bCs w:val="1"/>
          <w:color w:val="auto"/>
        </w:rPr>
        <w:t xml:space="preserve">Large accelerated filer </w:t>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Accelerated filer </w:t>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4"/>
          <w:szCs w:val="14"/>
          <w:b w:val="1"/>
          <w:bCs w:val="1"/>
          <w:color w:val="auto"/>
        </w:rPr>
        <w:t>Non-accelerated filer x</w:t>
      </w:r>
      <w:r>
        <w:rPr>
          <w:sz w:val="20"/>
          <w:szCs w:val="20"/>
          <w:color w:val="auto"/>
        </w:rPr>
        <w:tab/>
      </w:r>
      <w:r>
        <w:rPr>
          <w:rFonts w:ascii="Times New Roman" w:cs="Times New Roman" w:eastAsia="Times New Roman" w:hAnsi="Times New Roman"/>
          <w:sz w:val="14"/>
          <w:szCs w:val="14"/>
          <w:b w:val="1"/>
          <w:bCs w:val="1"/>
          <w:color w:val="auto"/>
        </w:rPr>
        <w:t xml:space="preserve">Smaller reporting company </w:t>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Times New Roman" w:cs="Times New Roman" w:eastAsia="Times New Roman" w:hAnsi="Times New Roman"/>
          <w:sz w:val="14"/>
          <w:szCs w:val="14"/>
          <w:color w:val="auto"/>
        </w:rPr>
        <w:t>o</w:t>
      </w:r>
    </w:p>
    <w:p>
      <w:pPr>
        <w:spacing w:after="0" w:line="4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(Do not check if a smaller reporting</w:t>
      </w:r>
    </w:p>
    <w:p>
      <w:pPr>
        <w:spacing w:after="0" w:line="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company)</w:t>
      </w:r>
    </w:p>
    <w:p>
      <w:pPr>
        <w:spacing w:after="0" w:line="11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11" w:lineRule="exact"/>
        <w:rPr>
          <w:sz w:val="24"/>
          <w:szCs w:val="24"/>
          <w:color w:val="auto"/>
        </w:rPr>
      </w:pPr>
    </w:p>
    <w:p>
      <w:pPr>
        <w:ind w:left="5240"/>
        <w:spacing w:after="0"/>
        <w:tabs>
          <w:tab w:leader="none" w:pos="58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Times New Roman" w:cs="Times New Roman" w:eastAsia="Times New Roman" w:hAnsi="Times New Roman"/>
          <w:sz w:val="16"/>
          <w:szCs w:val="16"/>
          <w:color w:val="auto"/>
        </w:rPr>
        <w:t>o</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Times New Roman" w:cs="Times New Roman" w:eastAsia="Times New Roman" w:hAnsi="Times New Roman"/>
          <w:sz w:val="16"/>
          <w:szCs w:val="16"/>
          <w:color w:val="auto"/>
        </w:rPr>
        <w:t>x</w:t>
      </w:r>
    </w:p>
    <w:p>
      <w:pPr>
        <w:spacing w:after="0" w:line="115" w:lineRule="exact"/>
        <w:rPr>
          <w:sz w:val="24"/>
          <w:szCs w:val="24"/>
          <w:color w:val="auto"/>
        </w:rPr>
      </w:pPr>
    </w:p>
    <w:p>
      <w:pPr>
        <w:jc w:val="both"/>
        <w:ind w:firstLine="270"/>
        <w:spacing w:after="0" w:line="281" w:lineRule="auto"/>
        <w:rPr>
          <w:sz w:val="20"/>
          <w:szCs w:val="20"/>
          <w:color w:val="auto"/>
        </w:rPr>
      </w:pPr>
      <w:r>
        <w:rPr>
          <w:rFonts w:ascii="Times New Roman" w:cs="Times New Roman" w:eastAsia="Times New Roman" w:hAnsi="Times New Roman"/>
          <w:sz w:val="16"/>
          <w:szCs w:val="16"/>
          <w:color w:val="auto"/>
        </w:rPr>
        <w:t>As of April 30, 2017, there were 34,586,250 Class A units outstanding, 42,738,750 Class B units outstanding, 63,213,831 Class C units outstanding, and 42,738,750 Class D units outstanding. There is no public market for the registrant's outstanding units.</w:t>
      </w:r>
    </w:p>
    <w:p>
      <w:pPr>
        <w:spacing w:after="0" w:line="28"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198120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112395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CAUTIONARY STATEMENT REGARDING FORWARD LOOKING INFORMATION</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111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38</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49</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1A — RISK FACTORS</w:t>
            </w: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rPr>
              <w:t>ITEM 3</w:t>
            </w:r>
          </w:p>
        </w:tc>
        <w:tc>
          <w:tcPr>
            <w:tcW w:w="103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 DEFAULTS UPON SENIOR SECURITIES</w:t>
            </w: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4</w:t>
            </w:r>
          </w:p>
        </w:tc>
        <w:tc>
          <w:tcPr>
            <w:tcW w:w="342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5</w:t>
            </w:r>
          </w:p>
        </w:tc>
        <w:tc>
          <w:tcPr>
            <w:tcW w:w="2680" w:type="dxa"/>
            <w:vAlign w:val="bottom"/>
            <w:tcBorders>
              <w:top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50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6</w:t>
            </w:r>
          </w:p>
        </w:tc>
        <w:tc>
          <w:tcPr>
            <w:tcW w:w="2120" w:type="dxa"/>
            <w:vAlign w:val="bottom"/>
            <w:tcBorders>
              <w:top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51</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52</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440" w:right="259" w:bottom="1440" w:gutter="0" w:footer="0" w:header="0"/>
        </w:sectPr>
      </w:pPr>
    </w:p>
    <w:bookmarkStart w:id="2" w:name="page3"/>
    <w:bookmarkEnd w:id="2"/>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the Company's Annual Report on Form 10-K for the year ended December 31, 2016, and the following:</w:t>
      </w:r>
    </w:p>
    <w:p>
      <w:pPr>
        <w:spacing w:after="0" w:line="13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distributions;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third parties;</w:t>
      </w:r>
    </w:p>
    <w:p>
      <w:pPr>
        <w:spacing w:after="0" w:line="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NRG;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w:t>
      </w:r>
    </w:p>
    <w:p>
      <w:pPr>
        <w:spacing w:after="0" w:line="14"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440" w:right="239" w:bottom="1440" w:gutter="0" w:footer="0" w:header="0"/>
        </w:sectPr>
      </w:pPr>
    </w:p>
    <w:bookmarkStart w:id="3" w:name="page4"/>
    <w:bookmarkEnd w:id="3"/>
    <w:p>
      <w:pPr>
        <w:ind w:left="4700"/>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p>
      <w:pPr>
        <w:sectPr>
          <w:pgSz w:w="11900" w:h="16838" w:orient="portrait"/>
          <w:cols w:equalWidth="0" w:num="1">
            <w:col w:w="11360"/>
          </w:cols>
          <w:pgMar w:left="280" w:top="1117" w:right="25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Senior Notes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 Senior Notes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NRG Yield LLC's Annual Report on Form 10-K for the year ended December 31, 2016</w:t>
      </w:r>
    </w:p>
    <w:p>
      <w:pPr>
        <w:spacing w:after="0" w:line="144"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$500 million aggregate principal amount of 5.375% unsecured senior notes due 2024, issued by NRG Yield Operating LLC</w:t>
      </w:r>
    </w:p>
    <w:p>
      <w:pPr>
        <w:spacing w:after="0" w:line="2"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$350 million aggregate principal amount of 5.00% unsecured senior notes due 2026, issued by NRG Yield Operating LLC</w:t>
      </w:r>
    </w:p>
    <w:p>
      <w:pPr>
        <w:spacing w:after="0" w:line="2" w:lineRule="exact"/>
        <w:rPr>
          <w:sz w:val="20"/>
          <w:szCs w:val="20"/>
          <w:color w:val="auto"/>
        </w:rPr>
      </w:pPr>
    </w:p>
    <w:p>
      <w:pPr>
        <w:ind w:right="1760"/>
        <w:spacing w:after="0" w:line="281" w:lineRule="auto"/>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p>
      <w:pPr>
        <w:spacing w:after="0" w:line="2" w:lineRule="exact"/>
        <w:rPr>
          <w:sz w:val="20"/>
          <w:szCs w:val="20"/>
          <w:color w:val="auto"/>
        </w:rPr>
      </w:pPr>
    </w:p>
    <w:p>
      <w:pPr>
        <w:sectPr>
          <w:pgSz w:w="11900" w:h="16838" w:orient="portrait"/>
          <w:cols w:equalWidth="0" w:num="2">
            <w:col w:w="2240" w:space="720"/>
            <w:col w:w="8400"/>
          </w:cols>
          <w:pgMar w:left="280" w:top="1117"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ATM Program</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Buffalo Bear</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CAFD</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Cash Available For Distribution, which the Company </w:t>
            </w:r>
            <w:r>
              <w:rPr>
                <w:rFonts w:ascii="Times New Roman" w:cs="Times New Roman" w:eastAsia="Times New Roman" w:hAnsi="Times New Roman"/>
                <w:sz w:val="18"/>
                <w:szCs w:val="18"/>
                <w:color w:val="231F20"/>
              </w:rPr>
              <w:t>defines as net income before interest expense, income taxes,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depreciation and amortization, plus cash distributions from unconsolidated affiliates, cash receipts from notes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from unconsolidated affiliates, cash interest paid, income taxes paid, principal amortization of indebtedness and</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changes in prepaid and accrued capacity payments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CVSR</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CVSR Drop Down</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CVSR Holdco</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DGPV Holdco 1</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NRG 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DGPV Holdco 2</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NRG DGPV Holdco 2 LLC</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Distributed Solar</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Drop Down Assets</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 CVSR Drop Down and March 2017 Drop Down Assets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Economic Gross Margin</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Energy and capacity revenue less cost of fuels</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El Segundo</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Center project</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ERCOT</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systems within Texas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EWG</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FERC</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GenConn</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HLBV</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IASB</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ISO</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January 2015 Drop Down Assets</w:t>
            </w:r>
          </w:p>
        </w:tc>
        <w:tc>
          <w:tcPr>
            <w:tcW w:w="86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3"/>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January 2, 2015</w:t>
            </w: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Kansas South</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Kansas South project</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Laredo Ridge</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252"/>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March 2017 Drop Down Assets</w:t>
            </w: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486"/>
        </w:trPr>
        <w:tc>
          <w:tcPr>
            <w:tcW w:w="2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1117" w:right="2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Marsh Landing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NRG Marsh Landing LLC, formerly GenOn Marsh Landing LLC</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Million British Thermal Units</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Megawatts</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Megawatts Thermal Equivalent</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North American Electric Reliability Corporation</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Net Exposure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 credit exposure to NRG Yield, Inc. net of collateral</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November 2015 Drop Down Assets</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75% of the Class B interests of NRG Wind TE Holdco, which owns a portfolio of 12 wind facilities totaling 814 net MW, which was acquired by Yield Operating LLC from NRG on November 3, 2015</w:t>
      </w:r>
    </w:p>
    <w:p>
      <w:pPr>
        <w:spacing w:after="0" w:line="2" w:lineRule="exact"/>
        <w:rPr>
          <w:sz w:val="20"/>
          <w:szCs w:val="20"/>
          <w:color w:val="auto"/>
        </w:rPr>
      </w:pPr>
    </w:p>
    <w:p>
      <w:pPr>
        <w:sectPr>
          <w:pgSz w:w="11900" w:h="16838" w:orient="portrait"/>
          <w:cols w:equalWidth="0" w:num="2">
            <w:col w:w="2580" w:space="38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NRG Energy, Inc.</w:t>
      </w:r>
    </w:p>
    <w:p>
      <w:pPr>
        <w:spacing w:after="0" w:line="74"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NRG Wind TE Holdco LLC</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Other comprehensive income/loss</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Pinnacle Wind, LLC, the operating subsidiary of Tapestry Wind LLC, which owns the Pinnacle project</w:t>
      </w:r>
    </w:p>
    <w:p>
      <w:pPr>
        <w:spacing w:after="0" w:line="74"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Power Purchase Agreement</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Public Utility Commission of Texas</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QF</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Times New Roman" w:cs="Times New Roman" w:eastAsia="Times New Roman" w:hAnsi="Times New Roman"/>
          <w:sz w:val="17"/>
          <w:szCs w:val="17"/>
          <w:color w:val="auto"/>
        </w:rPr>
        <w:t>Qualifying Facility under the Public Utility Regulatory Policies Act of 1978</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NRG RPV Holdco 1 LLC</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Regional Transmission Originator</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Collectively, the 2024 Senior Notes and the 2026 Senior Notes</w:t>
      </w:r>
    </w:p>
    <w:p>
      <w:pPr>
        <w:spacing w:after="0" w:line="74"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Taloga Wind, LLC, the operating subsidiary of Tapestry Wind LLC, which owns the Taloga project</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Collection of the Pinnacle, Buffalo Bear and Taloga projects</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 Holdco</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NRG Wind TE Holdco, 75% of which was acquired by the Company on November 3, 2015 as part of the November 2015 Drop Down Assets acquisition</w:t>
      </w:r>
    </w:p>
    <w:p>
      <w:pPr>
        <w:spacing w:after="0" w:line="200"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4"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63"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Utah Solar Portfolio</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18"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Utility Scale Solar</w:t>
      </w:r>
    </w:p>
    <w:p>
      <w:pPr>
        <w:spacing w:after="0" w:line="20" w:lineRule="exact"/>
        <w:rPr>
          <w:sz w:val="20"/>
          <w:szCs w:val="20"/>
          <w:color w:val="auto"/>
        </w:rPr>
      </w:pPr>
      <w:r>
        <w:rPr>
          <w:sz w:val="20"/>
          <w:szCs w:val="20"/>
          <w:color w:val="auto"/>
        </w:rPr>
        <w:br w:type="column"/>
      </w:r>
    </w:p>
    <w:p>
      <w:pPr>
        <w:ind w:right="20"/>
        <w:spacing w:after="0" w:line="281" w:lineRule="auto"/>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2"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Value at Risk</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74"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NRG Walnut Creek, LLC, the operating subsidiary of WCEP Holdings, LLC, which owns the Walnut Creek project</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NRG Yield Operating LLC, the holder of the project assets that belong to NRG Yield LLC</w:t>
      </w:r>
    </w:p>
    <w:p>
      <w:pPr>
        <w:spacing w:after="0" w:line="200" w:lineRule="exact"/>
        <w:rPr>
          <w:sz w:val="20"/>
          <w:szCs w:val="20"/>
          <w:color w:val="auto"/>
        </w:rPr>
      </w:pPr>
    </w:p>
    <w:p>
      <w:pPr>
        <w:sectPr>
          <w:pgSz w:w="11900" w:h="16838" w:orient="portrait"/>
          <w:cols w:equalWidth="0" w:num="2">
            <w:col w:w="2240" w:space="720"/>
            <w:col w:w="8400"/>
          </w:cols>
          <w:pgMar w:left="280" w:top="1283" w:right="259" w:bottom="1440" w:gutter="0" w:footer="0" w:header="0"/>
          <w:type w:val="continuous"/>
        </w:sectPr>
      </w:pP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80" w:top="1283" w:right="2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8"/>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operating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Cost of operations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Acquisition-related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35"/>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9"/>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 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NRG Yield LLC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6"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Retrospectively adjusted as discussed in Note 1, </w:t>
      </w:r>
      <w:r>
        <w:rPr>
          <w:rFonts w:ascii="Times New Roman" w:cs="Times New Roman" w:eastAsia="Times New Roman" w:hAnsi="Times New Roman"/>
          <w:sz w:val="15"/>
          <w:szCs w:val="15"/>
          <w:i w:val="1"/>
          <w:iCs w:val="1"/>
          <w:color w:val="auto"/>
        </w:rPr>
        <w:t>Nature of Business</w:t>
      </w:r>
      <w:r>
        <w:rPr>
          <w:rFonts w:ascii="Times New Roman" w:cs="Times New Roman" w:eastAsia="Times New Roman" w:hAnsi="Times New Roman"/>
          <w:sz w:val="15"/>
          <w:szCs w:val="15"/>
          <w:color w:val="auto"/>
        </w:rPr>
        <w: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8"/>
        </w:trPr>
        <w:tc>
          <w:tcPr>
            <w:tcW w:w="8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8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40" w:type="dxa"/>
            <w:vAlign w:val="bottom"/>
          </w:tcPr>
          <w:p>
            <w:pPr>
              <w:spacing w:after="0"/>
              <w:rPr>
                <w:sz w:val="20"/>
                <w:szCs w:val="20"/>
                <w:color w:val="auto"/>
              </w:rPr>
            </w:pPr>
          </w:p>
        </w:tc>
        <w:tc>
          <w:tcPr>
            <w:tcW w:w="84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40" w:type="dxa"/>
            <w:vAlign w:val="bottom"/>
          </w:tcPr>
          <w:p>
            <w:pPr>
              <w:spacing w:after="0"/>
              <w:rPr>
                <w:sz w:val="20"/>
                <w:szCs w:val="20"/>
                <w:color w:val="auto"/>
              </w:rPr>
            </w:pP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NRG Yield LLC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 xml:space="preserve"> Retrospectively adjusted as discussed in Note 1, </w:t>
      </w:r>
      <w:r>
        <w:rPr>
          <w:rFonts w:ascii="Times New Roman" w:cs="Times New Roman" w:eastAsia="Times New Roman" w:hAnsi="Times New Roman"/>
          <w:sz w:val="16"/>
          <w:szCs w:val="16"/>
          <w:i w:val="1"/>
          <w:iCs w:val="1"/>
          <w:color w:val="auto"/>
        </w:rPr>
        <w:t>Nature of Business</w:t>
      </w:r>
      <w:r>
        <w:rPr>
          <w:rFonts w:ascii="Times New Roman" w:cs="Times New Roman" w:eastAsia="Times New Roman" w:hAnsi="Times New Roman"/>
          <w:sz w:val="16"/>
          <w:szCs w:val="16"/>
          <w:color w:val="auto"/>
        </w:rPr>
        <w: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17" w:right="239" w:bottom="1440" w:gutter="0" w:footer="0" w:header="0"/>
        </w:sectPr>
      </w:pPr>
    </w:p>
    <w:bookmarkStart w:id="7" w:name="page8"/>
    <w:bookmarkEnd w:id="7"/>
    <w:p>
      <w:pPr>
        <w:ind w:left="4992"/>
        <w:spacing w:after="0"/>
        <w:rPr>
          <w:sz w:val="20"/>
          <w:szCs w:val="20"/>
          <w:color w:val="auto"/>
        </w:rPr>
      </w:pPr>
      <w:r>
        <w:rPr>
          <w:rFonts w:ascii="Times New Roman" w:cs="Times New Roman" w:eastAsia="Times New Roman" w:hAnsi="Times New Roman"/>
          <w:sz w:val="18"/>
          <w:szCs w:val="18"/>
          <w:b w:val="1"/>
          <w:bCs w:val="1"/>
          <w:color w:val="auto"/>
        </w:rPr>
        <w:t>NRG YIELD LLC</w:t>
      </w:r>
    </w:p>
    <w:p>
      <w:pPr>
        <w:spacing w:after="0" w:line="171"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5"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20" w:type="dxa"/>
            <w:vAlign w:val="bottom"/>
          </w:tcPr>
          <w:p>
            <w:pPr>
              <w:spacing w:after="0"/>
              <w:rPr>
                <w:sz w:val="13"/>
                <w:szCs w:val="13"/>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xml:space="preserve">December 31, 2016 </w:t>
            </w:r>
            <w:r>
              <w:rPr>
                <w:rFonts w:ascii="Times New Roman" w:cs="Times New Roman" w:eastAsia="Times New Roman" w:hAnsi="Times New Roman"/>
                <w:sz w:val="8"/>
                <w:szCs w:val="8"/>
                <w:b w:val="1"/>
                <w:bCs w:val="1"/>
                <w:color w:val="auto"/>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43"/>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LIABILITIES AND MEMBERS' EQUITY</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 external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 affiliates</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 — affiliate</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Contributed capital</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52" w:hanging="152"/>
        <w:spacing w:after="0"/>
        <w:tabs>
          <w:tab w:leader="none" w:pos="152"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Retrospectively adjusted as discussed in Note 1, </w:t>
      </w:r>
      <w:r>
        <w:rPr>
          <w:rFonts w:ascii="Times New Roman" w:cs="Times New Roman" w:eastAsia="Times New Roman" w:hAnsi="Times New Roman"/>
          <w:sz w:val="15"/>
          <w:szCs w:val="15"/>
          <w:i w:val="1"/>
          <w:iCs w:val="1"/>
          <w:color w:val="auto"/>
        </w:rPr>
        <w:t>Nature of Business</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92"/>
          </w:cols>
          <w:pgMar w:left="248" w:top="1117" w:right="259"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r>
              <w:rPr>
                <w:rFonts w:ascii="Times New Roman" w:cs="Times New Roman" w:eastAsia="Times New Roman" w:hAnsi="Times New Roman"/>
                <w:sz w:val="8"/>
                <w:szCs w:val="8"/>
                <w:b w:val="1"/>
                <w:bCs w:val="1"/>
                <w:color w:val="auto"/>
              </w:rPr>
              <w:t>(a)</w:t>
            </w:r>
          </w:p>
        </w:tc>
      </w:tr>
      <w:tr>
        <w:trPr>
          <w:trHeight w:val="250"/>
        </w:trPr>
        <w:tc>
          <w:tcPr>
            <w:tcW w:w="8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21"/>
                <w:szCs w:val="2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intangibles and out-of-market contracts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disposal of asset components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contributions from noncontrolling interests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distributions and return of capital to NRG prior to the acquisition of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Class C units</w:t>
            </w:r>
          </w:p>
        </w:tc>
        <w:tc>
          <w:tcPr>
            <w:tcW w:w="8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distributions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8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the issuance of long-term debt — external</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(a) </w:t>
      </w:r>
      <w:r>
        <w:rPr>
          <w:rFonts w:ascii="Times New Roman" w:cs="Times New Roman" w:eastAsia="Times New Roman" w:hAnsi="Times New Roman"/>
          <w:sz w:val="16"/>
          <w:szCs w:val="16"/>
          <w:color w:val="auto"/>
        </w:rPr>
        <w:t>Retrospectively adjusted as discussed in Note 1,</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6"/>
          <w:szCs w:val="16"/>
          <w:i w:val="1"/>
          <w:iCs w:val="1"/>
          <w:color w:val="auto"/>
        </w:rPr>
        <w:t>Nature of Business</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17"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w:t>
      </w:r>
    </w:p>
    <w:p>
      <w:pPr>
        <w:spacing w:after="0" w:line="12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owns a diversified portfolio of contracted renewable and conventional generation and thermal infrastructure assets in the U.S. The Company’s contracted generation portfolio collectively represents </w:t>
      </w:r>
      <w:r>
        <w:rPr>
          <w:rFonts w:ascii="Times New Roman" w:cs="Times New Roman" w:eastAsia="Times New Roman" w:hAnsi="Times New Roman"/>
          <w:sz w:val="18"/>
          <w:szCs w:val="18"/>
          <w:color w:val="231F20"/>
        </w:rPr>
        <w:t>4,879 net MW</w:t>
      </w:r>
      <w:r>
        <w:rPr>
          <w:rFonts w:ascii="Times New Roman" w:cs="Times New Roman" w:eastAsia="Times New Roman" w:hAnsi="Times New Roman"/>
          <w:sz w:val="18"/>
          <w:szCs w:val="18"/>
          <w:color w:val="auto"/>
        </w:rPr>
        <w:t xml:space="preserve"> as of March 31, 2017</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Times New Roman" w:cs="Times New Roman" w:eastAsia="Times New Roman" w:hAnsi="Times New Roman"/>
          <w:sz w:val="18"/>
          <w:szCs w:val="18"/>
          <w:color w:val="231F20"/>
        </w:rPr>
        <w:t>16 years as of</w:t>
      </w:r>
      <w:r>
        <w:rPr>
          <w:rFonts w:ascii="Times New Roman" w:cs="Times New Roman" w:eastAsia="Times New Roman" w:hAnsi="Times New Roman"/>
          <w:sz w:val="18"/>
          <w:szCs w:val="18"/>
          <w:color w:val="auto"/>
        </w:rPr>
        <w:t xml:space="preserve"> March 31, 2017 </w:t>
      </w:r>
      <w:r>
        <w:rPr>
          <w:rFonts w:ascii="Times New Roman" w:cs="Times New Roman" w:eastAsia="Times New Roman" w:hAnsi="Times New Roman"/>
          <w:sz w:val="18"/>
          <w:szCs w:val="18"/>
          <w:color w:val="231F20"/>
        </w:rPr>
        <w:t>based on CAFD. The Company also owns thermal infrastructure assets with an aggregate steam and chilled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51435</wp:posOffset>
            </wp:positionV>
            <wp:extent cx="4853940" cy="385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5394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17" w:right="239" w:bottom="1440" w:gutter="0" w:footer="0" w:header="0"/>
        </w:sectPr>
      </w:pPr>
    </w:p>
    <w:bookmarkStart w:id="10" w:name="page11"/>
    <w:bookmarkEnd w:id="10"/>
    <w:p>
      <w:pPr>
        <w:ind w:left="420"/>
        <w:spacing w:after="0"/>
        <w:rPr>
          <w:sz w:val="20"/>
          <w:szCs w:val="20"/>
          <w:color w:val="auto"/>
        </w:rPr>
      </w:pPr>
      <w:r>
        <w:rPr>
          <w:rFonts w:ascii="Times New Roman" w:cs="Times New Roman" w:eastAsia="Times New Roman" w:hAnsi="Times New Roman"/>
          <w:sz w:val="18"/>
          <w:szCs w:val="18"/>
          <w:color w:val="auto"/>
        </w:rPr>
        <w:t>As of March 31, 2017, the Company's operating assets are comprised of the following projects: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vMerge w:val="restart"/>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100" w:type="dxa"/>
            <w:vAlign w:val="bottom"/>
          </w:tcPr>
          <w:p>
            <w:pPr>
              <w:spacing w:after="0"/>
              <w:rPr>
                <w:sz w:val="13"/>
                <w:szCs w:val="13"/>
                <w:color w:val="auto"/>
              </w:rPr>
            </w:pPr>
          </w:p>
        </w:tc>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Offtake Counterparty</w:t>
            </w:r>
          </w:p>
        </w:tc>
        <w:tc>
          <w:tcPr>
            <w:tcW w:w="100" w:type="dxa"/>
            <w:vAlign w:val="bottom"/>
            <w:vMerge w:val="restart"/>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El Segundo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GenConn Middletown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Alpine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Avenal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Avra Valley</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Tucson Electric Power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Blythe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Borrego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CVSR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Desert Sunlight 250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Kansas South</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Pacific Gas and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El Paso Electric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TA High Desert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Utah Solar Portfolio </w:t>
            </w:r>
            <w:r>
              <w:rPr>
                <w:rFonts w:ascii="Times New Roman" w:cs="Times New Roman" w:eastAsia="Times New Roman" w:hAnsi="Times New Roman"/>
                <w:sz w:val="8"/>
                <w:szCs w:val="8"/>
                <w:color w:val="auto"/>
              </w:rPr>
              <w: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PacifiCorp</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Apple I LLC Projects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2025 - 2033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Alta 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II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Alta III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Alta IV</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Alta V</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8"/>
                <w:szCs w:val="8"/>
                <w:color w:val="auto"/>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8"/>
                <w:szCs w:val="8"/>
                <w:color w:val="auto"/>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Southern California Edison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Crosswinds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NRG Power Marketing LLC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Elkhorn Ridge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Forward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Goat Wind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Dow Pipeline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Hardin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Interstate Power and Light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Laredo Ridge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23"/>
                <w:szCs w:val="23"/>
                <w:color w:val="auto"/>
              </w:rPr>
            </w:pPr>
          </w:p>
        </w:tc>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Odin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58"/>
        </w:trPr>
        <w:tc>
          <w:tcPr>
            <w:tcW w:w="43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Pinnacle</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3"/>
                <w:szCs w:val="13"/>
                <w:color w:val="auto"/>
              </w:rPr>
            </w:pPr>
          </w:p>
        </w:tc>
        <w:tc>
          <w:tcPr>
            <w:tcW w:w="3420" w:type="dxa"/>
            <w:vAlign w:val="bottom"/>
            <w:gridSpan w:val="2"/>
            <w:shd w:val="clear" w:color="auto" w:fill="CCEEFF"/>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434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San Juan Mesa </w:t>
            </w:r>
            <w:r>
              <w:rPr>
                <w:rFonts w:ascii="Times New Roman" w:cs="Times New Roman" w:eastAsia="Times New Roman" w:hAnsi="Times New Roman"/>
                <w:sz w:val="8"/>
                <w:szCs w:val="8"/>
                <w:color w:val="auto"/>
              </w:rPr>
              <w:t>(b) (f)</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Sleeping Bear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South Trent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AEP Energy Partners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Spanish Fork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PacifiCorp</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8"/>
                <w:szCs w:val="8"/>
                <w:color w:val="auto"/>
              </w:rPr>
              <w:t>(b)</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8"/>
                <w:szCs w:val="8"/>
                <w:color w:val="auto"/>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Taloga</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8"/>
                <w:szCs w:val="8"/>
                <w:color w:val="auto"/>
              </w:rPr>
              <w:t>(b) (f)</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12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100" w:type="dxa"/>
            <w:vAlign w:val="bottom"/>
          </w:tcPr>
          <w:p>
            <w:pPr>
              <w:spacing w:after="0"/>
              <w:rPr>
                <w:sz w:val="13"/>
                <w:szCs w:val="13"/>
                <w:color w:val="auto"/>
              </w:rPr>
            </w:pPr>
          </w:p>
        </w:tc>
        <w:tc>
          <w:tcPr>
            <w:tcW w:w="3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Offtake Counterparty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1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16"/>
                <w:szCs w:val="16"/>
                <w:color w:val="auto"/>
              </w:rPr>
            </w:pPr>
          </w:p>
        </w:tc>
        <w:tc>
          <w:tcPr>
            <w:tcW w:w="34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Borders>
              <w:bottom w:val="single" w:sz="8" w:color="CCEEFF"/>
            </w:tcBorders>
          </w:tcPr>
          <w:p>
            <w:pPr>
              <w:spacing w:after="0"/>
              <w:rPr>
                <w:sz w:val="22"/>
                <w:szCs w:val="22"/>
                <w:color w:val="auto"/>
              </w:rPr>
            </w:pPr>
          </w:p>
        </w:tc>
        <w:tc>
          <w:tcPr>
            <w:tcW w:w="33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xml:space="preserve">Thermal equivalent MWt </w:t>
            </w:r>
            <w:r>
              <w:rPr>
                <w:rFonts w:ascii="Times New Roman" w:cs="Times New Roman" w:eastAsia="Times New Roman" w:hAnsi="Times New Roman"/>
                <w:sz w:val="8"/>
                <w:szCs w:val="8"/>
                <w:color w:val="auto"/>
              </w:rPr>
              <w:t>(c)</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23"/>
                <w:szCs w:val="23"/>
                <w:color w:val="auto"/>
              </w:rPr>
            </w:pP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0" w:type="dxa"/>
            <w:vAlign w:val="bottom"/>
          </w:tcPr>
          <w:p>
            <w:pPr>
              <w:spacing w:after="0"/>
              <w:rPr>
                <w:sz w:val="1"/>
                <w:szCs w:val="1"/>
                <w:color w:val="auto"/>
              </w:rPr>
            </w:pPr>
          </w:p>
        </w:tc>
      </w:tr>
      <w:tr>
        <w:trPr>
          <w:trHeight w:val="275"/>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NRG Dover Energy Center LLC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NRG Power Marketing LLC</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23"/>
                <w:szCs w:val="23"/>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net capacity (excluding equivalent MWt)</w:t>
            </w:r>
            <w:r>
              <w:rPr>
                <w:rFonts w:ascii="Times New Roman" w:cs="Times New Roman" w:eastAsia="Times New Roman" w:hAnsi="Times New Roman"/>
                <w:sz w:val="8"/>
                <w:szCs w:val="8"/>
                <w:color w:val="auto"/>
              </w:rPr>
              <w:t>(d)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5,002</w:t>
            </w:r>
          </w:p>
        </w:tc>
        <w:tc>
          <w:tcPr>
            <w:tcW w:w="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6"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capacity represents the maximum, or rated, generating capacity of the facility multiplied by the Company's percentage ownership in the facility as of March 31, 2017.</w:t>
      </w:r>
    </w:p>
    <w:p>
      <w:pPr>
        <w:spacing w:after="0" w:line="10" w:lineRule="exact"/>
        <w:rPr>
          <w:rFonts w:ascii="Times New Roman" w:cs="Times New Roman" w:eastAsia="Times New Roman" w:hAnsi="Times New Roman"/>
          <w:sz w:val="19"/>
          <w:szCs w:val="19"/>
          <w:color w:val="auto"/>
          <w:vertAlign w:val="superscript"/>
        </w:rPr>
      </w:pPr>
    </w:p>
    <w:p>
      <w:pPr>
        <w:ind w:left="180" w:hanging="172"/>
        <w:spacing w:after="0" w:line="187"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Projects are part of tax equity arrangements</w:t>
      </w:r>
      <w:r>
        <w:rPr>
          <w:rFonts w:ascii="Times New Roman" w:cs="Times New Roman" w:eastAsia="Times New Roman" w:hAnsi="Times New Roman"/>
          <w:sz w:val="15"/>
          <w:szCs w:val="15"/>
          <w:i w:val="1"/>
          <w:iCs w:val="1"/>
          <w:color w:val="auto"/>
        </w:rPr>
        <w:t>.</w:t>
      </w:r>
    </w:p>
    <w:p>
      <w:pPr>
        <w:ind w:right="420" w:firstLine="8"/>
        <w:spacing w:after="0" w:line="232"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firstLine="8"/>
        <w:spacing w:after="0" w:line="207" w:lineRule="auto"/>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Company's total generation capacity is net of 6 MWs for noncontrolling interest for Spring Canyon II and III. The Company's generation capacity including this noncontrolling interest was 5,008 MWs.</w:t>
      </w:r>
    </w:p>
    <w:p>
      <w:pPr>
        <w:spacing w:after="0" w:line="1" w:lineRule="exact"/>
        <w:rPr>
          <w:rFonts w:ascii="Times New Roman" w:cs="Times New Roman" w:eastAsia="Times New Roman" w:hAnsi="Times New Roman"/>
          <w:sz w:val="22"/>
          <w:szCs w:val="22"/>
          <w:color w:val="auto"/>
          <w:vertAlign w:val="superscript"/>
        </w:rPr>
      </w:pPr>
    </w:p>
    <w:p>
      <w:pPr>
        <w:ind w:right="280" w:firstLine="8"/>
        <w:spacing w:after="0" w:line="232"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interests in Four Brothers Solar, LLC, Granite Mountain Holdings, LLC, and Iron Springs Holdings, LLC, all acquired as part of the March 2017 Drop Down Assets (ownership percentage is based upon cash to be distributed).</w:t>
      </w:r>
    </w:p>
    <w:p>
      <w:pPr>
        <w:ind w:left="180" w:hanging="172"/>
        <w:spacing w:after="0"/>
        <w:tabs>
          <w:tab w:leader="none" w:pos="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Projects are part of NRG Wind TE Holdco portfolio.</w:t>
      </w:r>
    </w:p>
    <w:p>
      <w:pPr>
        <w:spacing w:after="0" w:line="15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151 MW based on cash to be distributed. For further discussions, refer to Note 3,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24"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 xml:space="preserve">As further described in Note 3,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on March 27, 2017, the Company acquired the following interests from NRG, referred to as the March 2017 Drop Down Assets: (i) Agua Caliente Borrower 2 LLC, which owns a 16% interest in the Agua Caliente solar farm, one of the NRG ROFO assets and (ii) NRG's interests in seven utility-scale solar farms located in Utah that were part of NRG's November 2, 2016 acquisition of projects from SunEdison, or the Utah Solar Portfolio. The Company paid total cash consideration of $130 million, plus a $1 million working capital adjustment, and assumed non-recourse debt of $328 million, which is consolidated, as well as its pro-rata share of non-recourse project-level debt of $135 million. The acquisition was funded with cash on hand. The acquisition of the March 2017 Drop Down Assets was accounted for as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Aqua Caliente Borrower 2 LLC on January 1, 2016, and its interests in the Utah Solar Portfolio on November 2, 2016.</w:t>
      </w:r>
    </w:p>
    <w:p>
      <w:pPr>
        <w:spacing w:after="0" w:line="1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In addition, the Company's results of operations for the three months ended March 31, 2016 were recast for the Company's acquisition of the CVSR Drop Down Asset on September 1, 2016; refer to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in the Company's 2016 Report on Form 10-K for additional information.</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Company's audited consolidated financial statements for the year ended December 31, 2016 included in the 2016 Form 10-K. Interim results are not necessarily indicative of results for a full year.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4" w:right="239" w:bottom="1440" w:gutter="0" w:footer="0" w:header="0"/>
        </w:sectPr>
      </w:pPr>
    </w:p>
    <w:bookmarkStart w:id="13" w:name="page14"/>
    <w:bookmarkEnd w:id="13"/>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2017, and the results of operations, comprehensive income (loss) and cash flows for the three months ended March 31, 2017 and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Accumulated Amortization</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the property, plant and equipment, net, and accumulated amortization included in intangible assets, net, respectively, as of March 31, 2017 and December 31,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3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5"/>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1,025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6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r>
      <w:tr>
        <w:trPr>
          <w:trHeight w:val="405"/>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changes in the Company's noncontrolling interest balance:</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7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contributions from tax equity investors, net of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Distributions to NRG for its 25% interest in TE Holdco</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2017</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7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NRG Yield LLC's Class A, B, C and D units during the three months ended March 31, 2017:</w:t>
      </w:r>
    </w:p>
    <w:p>
      <w:pPr>
        <w:spacing w:after="0" w:line="394"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First Quarter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24765</wp:posOffset>
            </wp:positionV>
            <wp:extent cx="499110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1100" cy="180340"/>
                    </a:xfrm>
                    <a:prstGeom prst="rect">
                      <a:avLst/>
                    </a:prstGeom>
                    <a:noFill/>
                  </pic:spPr>
                </pic:pic>
              </a:graphicData>
            </a:graphic>
          </wp:anchor>
        </w:drawing>
      </w:r>
    </w:p>
    <w:p>
      <w:pPr>
        <w:spacing w:after="0" w:line="37" w:lineRule="exact"/>
        <w:rPr>
          <w:sz w:val="20"/>
          <w:szCs w:val="20"/>
          <w:color w:val="auto"/>
        </w:rPr>
      </w:pPr>
    </w:p>
    <w:p>
      <w:pPr>
        <w:ind w:left="1820"/>
        <w:spacing w:after="0"/>
        <w:tabs>
          <w:tab w:leader="none" w:pos="8280" w:val="left"/>
          <w:tab w:leader="none" w:pos="9240" w:val="left"/>
        </w:tabs>
        <w:rPr>
          <w:sz w:val="20"/>
          <w:szCs w:val="20"/>
          <w:color w:val="auto"/>
        </w:rPr>
      </w:pPr>
      <w:r>
        <w:rPr>
          <w:rFonts w:ascii="Times New Roman" w:cs="Times New Roman" w:eastAsia="Times New Roman" w:hAnsi="Times New Roman"/>
          <w:sz w:val="18"/>
          <w:szCs w:val="18"/>
          <w:b w:val="1"/>
          <w:bCs w:val="1"/>
          <w:color w:val="auto"/>
        </w:rPr>
        <w:t>Distributions per Class A, B, C and D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0.26</w:t>
      </w:r>
    </w:p>
    <w:p>
      <w:pPr>
        <w:spacing w:after="0" w:line="20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April 25, 2017, the Company declared a distribution on its Class A, Class B, Class C and Class D units of $0.27 per unit payable on June 15, 2017 to unit holders of record as of June 1,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prior-year amounts have been reclassified for comparative purposes.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ASU 2016-18 </w:t>
      </w:r>
      <w:r>
        <w:rPr>
          <w:rFonts w:ascii="Times New Roman" w:cs="Times New Roman" w:eastAsia="Times New Roman" w:hAnsi="Times New Roman"/>
          <w:sz w:val="18"/>
          <w:szCs w:val="18"/>
          <w:color w:val="auto"/>
        </w:rPr>
        <w:t>— In November 2016, the FASB issued ASU No. 2016-18,</w:t>
      </w:r>
      <w:r>
        <w:rPr>
          <w:rFonts w:ascii="Times New Roman" w:cs="Times New Roman" w:eastAsia="Times New Roman" w:hAnsi="Times New Roman"/>
          <w:sz w:val="18"/>
          <w:szCs w:val="18"/>
          <w:i w:val="1"/>
          <w:iCs w:val="1"/>
          <w:color w:val="auto"/>
        </w:rPr>
        <w:t xml:space="preserve"> Statement of Cash Flows (Topic 230)</w:t>
      </w:r>
      <w:r>
        <w:rPr>
          <w:rFonts w:ascii="Times New Roman" w:cs="Times New Roman" w:eastAsia="Times New Roman" w:hAnsi="Times New Roman"/>
          <w:sz w:val="18"/>
          <w:szCs w:val="18"/>
          <w:color w:val="auto"/>
        </w:rPr>
        <w:t>, Restricted Cash, or ASU No. 2016-</w:t>
      </w:r>
    </w:p>
    <w:p>
      <w:pPr>
        <w:spacing w:after="0" w:line="29" w:lineRule="exact"/>
        <w:rPr>
          <w:sz w:val="20"/>
          <w:szCs w:val="20"/>
          <w:color w:val="auto"/>
        </w:rPr>
      </w:pPr>
    </w:p>
    <w:p>
      <w:pPr>
        <w:jc w:val="both"/>
        <w:ind w:firstLine="8"/>
        <w:spacing w:after="0" w:line="252" w:lineRule="auto"/>
        <w:tabs>
          <w:tab w:leader="none" w:pos="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of ASU No. 2016-18 require an entity to 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calculated the impact of the ASU No. 2016-18 on its statement of cash flows to be a decrease of $59 million and $23 million in the net cash used in investing activities for the three months ended March 31, 2017 and 2016, respectively.</w:t>
      </w:r>
    </w:p>
    <w:p>
      <w:pPr>
        <w:spacing w:after="0" w:line="134"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ASU 2016-02 </w:t>
      </w:r>
      <w:r>
        <w:rPr>
          <w:rFonts w:ascii="Times New Roman" w:cs="Times New Roman" w:eastAsia="Times New Roman" w:hAnsi="Times New Roman"/>
          <w:sz w:val="18"/>
          <w:szCs w:val="18"/>
          <w:color w:val="auto"/>
        </w:rPr>
        <w:t>— In February 2016, the FASB issued ASU No. 2016-02,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(Topic 842), or Topic 842, with the objective to increase transparency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expects to adopt the standard effective January 1, 2019 utilizing the required modified retrospective approach for the earliest period presented. The Company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As this review is still in process, it is currently not practicable to quantify the impact of adopting Topic 842 at this time.</w:t>
      </w:r>
    </w:p>
    <w:p>
      <w:pPr>
        <w:spacing w:after="0" w:line="13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ASU 2014-09 </w:t>
      </w:r>
      <w:r>
        <w:rPr>
          <w:rFonts w:ascii="Times New Roman" w:cs="Times New Roman" w:eastAsia="Times New Roman" w:hAnsi="Times New Roman"/>
          <w:sz w:val="18"/>
          <w:szCs w:val="18"/>
          <w:color w:val="auto"/>
        </w:rPr>
        <w:t>— In May 2014, the FASB issued ASU No. 2014-09,</w:t>
      </w:r>
      <w:r>
        <w:rPr>
          <w:rFonts w:ascii="Times New Roman" w:cs="Times New Roman" w:eastAsia="Times New Roman" w:hAnsi="Times New Roman"/>
          <w:sz w:val="18"/>
          <w:szCs w:val="18"/>
          <w:i w:val="1"/>
          <w:iCs w:val="1"/>
          <w:color w:val="auto"/>
        </w:rPr>
        <w:t xml:space="preserve"> Revenue from Contracts with Customers (Topic 606), </w:t>
      </w:r>
      <w:r>
        <w:rPr>
          <w:rFonts w:ascii="Times New Roman" w:cs="Times New Roman" w:eastAsia="Times New Roman" w:hAnsi="Times New Roman"/>
          <w:sz w:val="18"/>
          <w:szCs w:val="18"/>
          <w:color w:val="auto"/>
        </w:rPr>
        <w:t>or ASU No. 2014-09,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further amended through various updates issued by the FASB 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expects to adopt the standard effective January 1, 2018 and apply the guidance retrospectively to contracts at the date of adoption. The Company will recognize the cumulative effect of applying Topic 606 at the date of initial application, as prescribed under the modified retrospective transition method. The Company also expects to elect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As leases are excluded from the scope of Topic 606, the Company expects the standard to have an immaterial impact on the Company's results of operations, cash flows and financial position; however, the Company continues to assess the impact in connection with its plan of adoption.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p>
    <w:p>
      <w:pPr>
        <w:spacing w:after="0" w:line="31"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March 2017 Drop Down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27, 2017, the Company acquired the following interests from NRG: (i) Agua Caliente Borrower 2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which owns a 16% interest (approximately 31% of NRG's 51% interest) in the Agua Caliente solar farm, one of the NRG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$130 million, plus $1 million of working capital. The acquisition of the March 2017 Drop Down Assets was funded with cash on hand. The Company recorded the acquired interests as equity method investments. The Company also assumed non-recourse debt of $328 million, which it consolidates, as further described in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well as its pro-rata share of non-recourse project-level debt of $135 million, as further described below.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17" w:right="239" w:bottom="1440" w:gutter="0" w:footer="0" w:header="0"/>
        </w:sectPr>
      </w:pPr>
    </w:p>
    <w:bookmarkStart w:id="15" w:name="page16"/>
    <w:bookmarkEnd w:id="15"/>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 xml:space="preserve">The assets and liabilities transferred to the Company relate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 - Related Issues.</w:t>
      </w:r>
      <w:r>
        <w:rPr>
          <w:rFonts w:ascii="Times New Roman" w:cs="Times New Roman" w:eastAsia="Times New Roman" w:hAnsi="Times New Roman"/>
          <w:sz w:val="18"/>
          <w:szCs w:val="18"/>
          <w:color w:val="auto"/>
        </w:rPr>
        <w:t xml:space="preserve"> The difference between the cash paid and the historical value of the entities' equity of $139 million was recorded as an adjustment to the Company's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34"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of the March 2017 Drop Down Assets as of March 27, 2017: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 in projects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456</w:t>
            </w:r>
          </w:p>
        </w:tc>
      </w:tr>
      <w:tr>
        <w:trPr>
          <w:trHeight w:val="237"/>
        </w:trPr>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70"/>
        </w:trPr>
        <w:tc>
          <w:tcPr>
            <w:tcW w:w="99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Debt (Current and non-current) </w:t>
            </w:r>
            <w:r>
              <w:rPr>
                <w:rFonts w:ascii="Times New Roman" w:cs="Times New Roman" w:eastAsia="Times New Roman" w:hAnsi="Times New Roman"/>
                <w:sz w:val="25"/>
                <w:szCs w:val="25"/>
                <w:color w:val="auto"/>
                <w:vertAlign w:val="superscript"/>
              </w:rPr>
              <w:t>(a)</w:t>
            </w: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1"/>
        </w:trPr>
        <w:tc>
          <w:tcPr>
            <w:tcW w:w="9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6"/>
          <w:szCs w:val="16"/>
          <w:color w:val="auto"/>
        </w:rPr>
        <w:t xml:space="preserve"> Net of $8 million of debt issuance costs.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Company's 2016 Form 10-K.</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March 31, 2017:</w:t>
      </w:r>
    </w:p>
    <w:p>
      <w:pPr>
        <w:spacing w:after="0" w:line="15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NRG Wind TE</w:t>
            </w: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Alta Wind TE</w:t>
            </w:r>
          </w:p>
        </w:tc>
        <w:tc>
          <w:tcPr>
            <w:tcW w:w="140" w:type="dxa"/>
            <w:vAlign w:val="bottom"/>
          </w:tcPr>
          <w:p>
            <w:pPr>
              <w:spacing w:after="0"/>
              <w:rPr>
                <w:sz w:val="13"/>
                <w:szCs w:val="13"/>
                <w:color w:val="auto"/>
              </w:rPr>
            </w:pPr>
          </w:p>
        </w:tc>
        <w:tc>
          <w:tcPr>
            <w:tcW w:w="11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Spring Canyon</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Holdco</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Holdco</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7"/>
        </w:trPr>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1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33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Method and Variable Interest Entities, </w:t>
      </w:r>
      <w:r>
        <w:rPr>
          <w:rFonts w:ascii="Times New Roman" w:cs="Times New Roman" w:eastAsia="Times New Roman" w:hAnsi="Times New Roman"/>
          <w:sz w:val="18"/>
          <w:szCs w:val="18"/>
          <w:color w:val="auto"/>
        </w:rPr>
        <w:t>to the Company's 2016 Form 10-K.</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March 31, 2017 is limited to its equity investment in the unconsolidated entities, as further summarized in the table below:</w:t>
      </w:r>
    </w:p>
    <w:p>
      <w:pPr>
        <w:spacing w:after="0" w:line="8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5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 loss</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 Brothers Solar, LLC</w:t>
            </w:r>
          </w:p>
        </w:tc>
        <w:tc>
          <w:tcPr>
            <w:tcW w:w="34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Granite Mountain Holdings,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Iron Springs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NRG DGPV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NRG DGPV Holdco 2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NRG RPV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GenConn Energy LLC</w:t>
            </w:r>
          </w:p>
        </w:tc>
        <w:tc>
          <w:tcPr>
            <w:tcW w:w="3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Utah Solar Portfolio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above, on March 27, 2017, as part of the March 2017 Drop Down Assets acquisition, the Company acquired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summarized financial information for the Company's significant equity method investments: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2"/>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Statement Data:</w:t>
            </w: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Utah Solar Portfolio</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GenConn Energy LLC</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91"/>
        </w:trPr>
        <w:tc>
          <w:tcPr>
            <w:tcW w:w="3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5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Utah Solar Portfolio</w:t>
            </w:r>
          </w:p>
        </w:tc>
        <w:tc>
          <w:tcPr>
            <w:tcW w:w="3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1,105</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GenConn Energy LLC</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34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r>
      <w:tr>
        <w:trPr>
          <w:trHeight w:val="648"/>
        </w:trPr>
        <w:tc>
          <w:tcPr>
            <w:tcW w:w="3400" w:type="dxa"/>
            <w:vAlign w:val="bottom"/>
          </w:tcPr>
          <w:p>
            <w:pPr>
              <w:spacing w:after="0"/>
              <w:rPr>
                <w:sz w:val="24"/>
                <w:szCs w:val="24"/>
                <w:color w:val="auto"/>
              </w:rPr>
            </w:pPr>
          </w:p>
        </w:tc>
        <w:tc>
          <w:tcPr>
            <w:tcW w:w="352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11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Non-recourse project-level debt of unconsolidated affiliates</w:t>
      </w:r>
    </w:p>
    <w:p>
      <w:pPr>
        <w:spacing w:after="0" w:line="17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Agua Caliente Financing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above, the Company acquired a 16% interest in the Agua Caliente solar facility through its acquisition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Agua Caliente Borrower 2 LLC. As of March 31, 2017, Agua Caliente Solar LLC, the direct owner of the Agua Caliente solar facility, had $846 million outstanding under the Agua Caliente financing agreement with the Federal Financing Bank, or FFB, borrowed to finance the costs of constructing the facility. The Company's pro-rata share of Agua Caliente Financing was approximately $135 million as of March 31, 2017.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right="20" w:hanging="240"/>
        <w:spacing w:after="0" w:line="281"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right="20" w:hanging="240"/>
        <w:spacing w:after="0" w:line="281"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hanging="240"/>
        <w:spacing w:after="0" w:line="282"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carrying amounts and fair values of the Company’s recorded financial instruments not carried at fair market value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r>
      <w:tr>
        <w:trPr>
          <w:trHeight w:val="262"/>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65"/>
        </w:trPr>
        <w:tc>
          <w:tcPr>
            <w:tcW w:w="6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including current portion</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 affiliate</w:t>
            </w:r>
          </w:p>
        </w:tc>
        <w:tc>
          <w:tcPr>
            <w:tcW w:w="40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608</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 external, including current portion</w:t>
            </w: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5,418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5,451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5,435</w:t>
            </w:r>
          </w:p>
        </w:tc>
      </w:tr>
      <w:tr>
        <w:trPr>
          <w:trHeight w:val="27"/>
        </w:trPr>
        <w:tc>
          <w:tcPr>
            <w:tcW w:w="6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2017 and December 31, 2016:</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844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5,210</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333"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r>
      <w:tr>
        <w:trPr>
          <w:trHeight w:val="264"/>
        </w:trPr>
        <w:tc>
          <w:tcPr>
            <w:tcW w:w="7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8"/>
                <w:szCs w:val="8"/>
                <w:b w:val="1"/>
                <w:bCs w:val="1"/>
                <w:color w:val="auto"/>
              </w:rPr>
              <w:t>(a)</w:t>
            </w:r>
          </w:p>
        </w:tc>
      </w:tr>
      <w:tr>
        <w:trPr>
          <w:trHeight w:val="25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21"/>
                <w:szCs w:val="21"/>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249"/>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7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70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right="240" w:firstLine="8"/>
        <w:spacing w:after="0" w:line="251"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were no derivative assets or liabilities classified as Level 1 as of March 31, 2017. There were no derivative assets or liabilities classified as Level 3 as of March 31, 2017 and December 31, 2016.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2017, the credit reserve resulted in a $1 million increase in fair value in interest expense. It is possible that future market prices could vary from those used in recording assets and liabilities and such variations could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Company's 2016 Form 10-K</w:t>
      </w:r>
      <w:r>
        <w:rPr>
          <w:rFonts w:ascii="Times New Roman" w:cs="Times New Roman" w:eastAsia="Times New Roman" w:hAnsi="Times New Roman"/>
          <w:sz w:val="18"/>
          <w:szCs w:val="18"/>
          <w:color w:val="auto"/>
        </w:rPr>
        <w:t>,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17" w:right="239" w:bottom="1440" w:gutter="0" w:footer="0" w:header="0"/>
        </w:sectPr>
      </w:pPr>
    </w:p>
    <w:bookmarkStart w:id="19" w:name="page20"/>
    <w:bookmarkEnd w:id="19"/>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March 31, 2017, credit risk exposure to these counterparties attributable to the Company's ownership interests was approximately $3 billion for the next five years. The majority of these power contracts are with utilities with strong credit quality and public utility commission or other regulatory support, as further described in Note 12,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Company's 2016 Form 10-K</w:t>
      </w:r>
      <w:r>
        <w:rPr>
          <w:rFonts w:ascii="Times New Roman" w:cs="Times New Roman" w:eastAsia="Times New Roman" w:hAnsi="Times New Roman"/>
          <w:sz w:val="18"/>
          <w:szCs w:val="18"/>
          <w:color w:val="auto"/>
        </w:rPr>
        <w:t>. However, such regulated utility counterparties can be impacted by changes in government regulations, which the Company is unable to predict.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Accounting for Derivative Instruments and Hedging Activities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7,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to the </w:t>
      </w:r>
      <w:r>
        <w:rPr>
          <w:rFonts w:ascii="Times New Roman" w:cs="Times New Roman" w:eastAsia="Times New Roman" w:hAnsi="Times New Roman"/>
          <w:sz w:val="18"/>
          <w:szCs w:val="18"/>
          <w:color w:val="000000"/>
        </w:rPr>
        <w:t>Company's 2016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March 31, 2017, the Company had energy-related derivative instruments extending through 2020. At March 31, 2017,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the Company had interest rate derivative instruments on non-recourse debt extending through 2036, most of which are designated as cash flow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 of the Company's open derivative transactions broken out by commodity: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1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8"/>
                <w:szCs w:val="18"/>
                <w:color w:val="auto"/>
              </w:rPr>
            </w:pPr>
          </w:p>
        </w:tc>
        <w:tc>
          <w:tcPr>
            <w:tcW w:w="3480" w:type="dxa"/>
            <w:vAlign w:val="bottom"/>
            <w:gridSpan w:val="3"/>
          </w:tcPr>
          <w:p>
            <w:pPr>
              <w:jc w:val="right"/>
              <w:ind w:right="13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MMBtu</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2,070</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50"/>
        </w:trPr>
        <w:tc>
          <w:tcPr>
            <w:tcW w:w="4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5"/>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2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51"/>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0" w:name="page21"/>
    <w:bookmarkEnd w:id="20"/>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As of March 31, 2017 and December 31, 2016, there was no outstanding collateral paid or received. The following tables summarize the offsetting of derivatives by the counterparty master agreement level as of March 31, 2017 and December 31,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240" w:type="dxa"/>
            <w:vAlign w:val="bottom"/>
          </w:tcPr>
          <w:p>
            <w:pPr>
              <w:spacing w:after="0"/>
              <w:rPr>
                <w:sz w:val="13"/>
                <w:szCs w:val="1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20" w:type="dxa"/>
            <w:vAlign w:val="bottom"/>
          </w:tcPr>
          <w:p>
            <w:pPr>
              <w:spacing w:after="0"/>
              <w:rPr>
                <w:sz w:val="24"/>
                <w:szCs w:val="24"/>
                <w:color w:val="auto"/>
              </w:rPr>
            </w:pP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OCL balance attributable to interest rate swaps designated as cash flow hedge derivatives</w:t>
      </w:r>
      <w:r>
        <w:rPr>
          <w:rFonts w:ascii="Times New Roman" w:cs="Times New Roman" w:eastAsia="Times New Roman" w:hAnsi="Times New Roman"/>
          <w:sz w:val="18"/>
          <w:szCs w:val="18"/>
          <w:b w:val="1"/>
          <w:bCs w:val="1"/>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7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8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21"/>
                <w:szCs w:val="21"/>
                <w:color w:val="auto"/>
              </w:rPr>
            </w:pPr>
          </w:p>
        </w:tc>
      </w:tr>
      <w:tr>
        <w:trPr>
          <w:trHeight w:val="255"/>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beginning balance</w:t>
            </w: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Reclassified from accumulated OCL to income due to realization of previously deferred amounts</w:t>
            </w:r>
          </w:p>
        </w:tc>
        <w:tc>
          <w:tcPr>
            <w:tcW w:w="8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Accumulated OCL ending balance</w:t>
            </w:r>
          </w:p>
        </w:tc>
        <w:tc>
          <w:tcPr>
            <w:tcW w:w="8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noncontrolling interests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Accumulated OCL attributable to NRG Yield LLC</w:t>
            </w:r>
          </w:p>
        </w:tc>
        <w:tc>
          <w:tcPr>
            <w:tcW w:w="82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expected to be realized from OCL during the next 12 months</w:t>
            </w:r>
          </w:p>
        </w:tc>
        <w:tc>
          <w:tcPr>
            <w:tcW w:w="82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
        </w:trPr>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OCL into income and amounts recognized in income from the ineffective portion of cash flow hedges are recorded to interest expense. There was no ineffectiveness for the three months ended March 31, 2017 and 2016.</w:t>
      </w:r>
    </w:p>
    <w:p>
      <w:pPr>
        <w:spacing w:after="0" w:line="16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interest rate derivative instruments that are not designated as cash flow hedges. The effect of interest rate hedges is recorded to interest expense. For the three months ended March 31, 2017 and 2016, the impact to the consolidated statements of income was a gain of $2 million and a loss of $7 million, respectively.</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33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2016 Form 10-K. Long-term debt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2017, interest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4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 xml:space="preserve">rate % </w:t>
            </w:r>
            <w:r>
              <w:rPr>
                <w:rFonts w:ascii="Times New Roman" w:cs="Times New Roman" w:eastAsia="Times New Roman" w:hAnsi="Times New Roman"/>
                <w:sz w:val="8"/>
                <w:szCs w:val="8"/>
                <w:b w:val="1"/>
                <w:bCs w:val="1"/>
                <w:color w:val="auto"/>
              </w:rPr>
              <w:t>(a)</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 - affiliate, due 2019</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Long-term debt - affiliate, due 2020</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281</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2024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2026 Senior Notes</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Project-level debt: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Agua Caliente Borrower 2, due 2038</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Alpine, due 2022</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145</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L+1.750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Alta Wind I, lease financing arrangement, due 2034</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242</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7.015</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Alta Wind II, lease financing arrangement, due 2034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Alta Wind III, lease financing arrangement, due 2034</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198</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6.067</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Alta Wind IV, lease financing arrangement, due 2034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Alta Wind V, lease financing arrangement, due 2035</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206</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6.071</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Alta Realty Investments, due 2031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Alta Wind Asset Management, due 2031</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L+2.375</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Avra Valley, due 2031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L+1.750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Blythe, due 2028</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L+1.625</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Borrego, due 2025 and 2038</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69</w:t>
            </w:r>
          </w:p>
        </w:tc>
        <w:tc>
          <w:tcPr>
            <w:tcW w:w="19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L+ 2.500/5.650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CVSR, due 2037</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771</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2.339 - 3.775</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CVSR Holdco Notes, due 2037</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El Segundo Energy Center, due 2023</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443</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L+1.625 - L+2.250</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Energy Center Minneapolis, due 2017 and 2025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5.950 -7.250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Energy Center Minneapolis Series D Notes, due 2031</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125</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Kansas South, due 2031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L+2.000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Laredo Ridge, due 2028</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L+1.875</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Marsh Landing, due 2017 and 2023</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370</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L+1.750 - L+1.875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Apple I LLC projects and related subsidiaries financing agreement, due 2030</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0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Roadrunner, due 2031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L+1.625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South Trent Wind, due 2020</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L+1.625</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TA High Desert, due 2020 and 2032</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L+2.500/5.150</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Tapestry, due 2021</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172</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L+1.625</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Utah Solar Portfolio, due 2022</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287</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L+2.625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Viento, due 2023</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178</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L+2.750</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Walnut Creek, due 2023</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310</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L+1.625</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WCEP Holdings, due 2023</w:t>
            </w:r>
          </w:p>
        </w:tc>
        <w:tc>
          <w:tcPr>
            <w:tcW w:w="32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L+3.000</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Subtotal project-level debt: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4,601</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9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debt</w:t>
            </w: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6,036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6,069</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net debt issuance costs</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long-term debt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5,716</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4" w:lineRule="exact"/>
        <w:rPr>
          <w:sz w:val="20"/>
          <w:szCs w:val="20"/>
          <w:color w:val="auto"/>
        </w:rPr>
      </w:pPr>
    </w:p>
    <w:p>
      <w:pPr>
        <w:jc w:val="both"/>
        <w:ind w:left="80" w:hanging="4"/>
        <w:spacing w:after="0" w:line="227" w:lineRule="auto"/>
        <w:tabs>
          <w:tab w:leader="none" w:pos="2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March 31, 2017, L+ equals 3 month LIBOR plus x%, except for the Alpine term loan, Marsh Landing term loan, Utah Solar Portfolio, Viento, Walnut Creek term loan, and NRG Yield LLC and NRG Yield Operating LLC Revolving Credit Facility, where L+ equals 1 month LIBOR plus x% and Kansas South, where L+ equals 6 month LIBOR plus x%.</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17" w:right="239" w:bottom="1440" w:gutter="0" w:footer="0" w:header="0"/>
        </w:sectPr>
      </w:pPr>
    </w:p>
    <w:bookmarkStart w:id="23" w:name="page24"/>
    <w:bookmarkEnd w:id="23"/>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March 31, 2017, the Company was in compliance with all of the required covenants.</w:t>
      </w:r>
    </w:p>
    <w:p>
      <w:pPr>
        <w:spacing w:after="0" w:line="108" w:lineRule="exact"/>
        <w:rPr>
          <w:sz w:val="20"/>
          <w:szCs w:val="20"/>
          <w:color w:val="auto"/>
        </w:rPr>
      </w:pPr>
    </w:p>
    <w:p>
      <w:pPr>
        <w:ind w:left="420" w:right="1880"/>
        <w:spacing w:after="0" w:line="438" w:lineRule="auto"/>
        <w:rPr>
          <w:sz w:val="20"/>
          <w:szCs w:val="20"/>
          <w:color w:val="auto"/>
        </w:rPr>
      </w:pPr>
      <w:r>
        <w:rPr>
          <w:rFonts w:ascii="Times New Roman" w:cs="Times New Roman" w:eastAsia="Times New Roman" w:hAnsi="Times New Roman"/>
          <w:sz w:val="18"/>
          <w:szCs w:val="18"/>
          <w:color w:val="auto"/>
        </w:rPr>
        <w:t xml:space="preserve">The discussion below describes material changes to or additions of long-term debt for the three months ended March 31, 2017. </w:t>
      </w:r>
      <w:r>
        <w:rPr>
          <w:rFonts w:ascii="Times New Roman" w:cs="Times New Roman" w:eastAsia="Times New Roman" w:hAnsi="Times New Roman"/>
          <w:sz w:val="18"/>
          <w:szCs w:val="18"/>
          <w:b w:val="1"/>
          <w:bCs w:val="1"/>
          <w:i w:val="1"/>
          <w:iCs w:val="1"/>
          <w:color w:val="auto"/>
        </w:rPr>
        <w:t>NRG Yield LLC and NRG Yield Operating LLC Revolving Credit Facility</w:t>
      </w:r>
    </w:p>
    <w:p>
      <w:pPr>
        <w:spacing w:after="0" w:line="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2017</w:t>
      </w:r>
      <w:r>
        <w:rPr>
          <w:rFonts w:ascii="Times New Roman" w:cs="Times New Roman" w:eastAsia="Times New Roman" w:hAnsi="Times New Roman"/>
          <w:sz w:val="18"/>
          <w:szCs w:val="18"/>
          <w:color w:val="231F20"/>
        </w:rPr>
        <w:t>, there were no outstanding borrowings under the revolving credit facility and the Company had $64 million of letters of credit outstanding.</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Thermal Financing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Times New Roman" w:cs="Times New Roman" w:eastAsia="Times New Roman" w:hAnsi="Times New Roman"/>
          <w:sz w:val="18"/>
          <w:szCs w:val="18"/>
          <w:color w:val="231F20"/>
        </w:rPr>
        <w:t>The Series F Notes will be secured by substantially all of the assets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NRG Energy Center Minneapolis LLC. NRG Thermal LLC has guaranteed the indebtedness and its guarantee is secured by a pledge of the equity interests in all of NRG Thermal LLC’s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related to the 2017 March Drop Down Assets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Aqua Caliente Borrower 2, due 2038</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On February 17, 2017, Agua Caliente Borrower 1 LLC, an indirect subsidiary of NRG, and Agua Caliente Borrower 2 LLC, issued $130 million of senior secured notes under the Agua Caliente Holdco financing agreement that bear interest at 5.43% and mature on December 31, 2038. As described in Note 3,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on March 27, 2017, the Company acquired Agua Caliente Borrower 2 LLC from NRG. Agua Caliente Borrower 2 LLC owns a 16% interest in the Agua Caliente solar farm and holds $41 million of the Agua Caliente Holdco debt. The debt is joint and several with respect to Agua Caliente Borrower 1 LLC and Agua Caliente Borrower 2 LLC and is secured by the equity interests of each borrower in the Agua Caliente solar facility.</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Utah Solar Portfolio, due 2022</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part of its March 2017 Drop Down Assets acquisition, the Company assumed non-recourse debt of $287 million relating to the Utah Solar Portfolio at interest rate of LIBOR plus 2.625%. The debt matures on December 16, 2022. The $287 million consisted of $222 million outstanding at the time of NRG acquisition of the Utah Solar Portfolio on November 2, 2016, and additional borrowings of $65 million, net of debt issuance costs, incurred during 2016.</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2017</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80" w:type="dxa"/>
            <w:vAlign w:val="bottom"/>
          </w:tcPr>
          <w:p>
            <w:pPr>
              <w:spacing w:after="0"/>
              <w:rPr>
                <w:sz w:val="12"/>
                <w:szCs w:val="12"/>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84"/>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1,937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5,901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8,366</w:t>
            </w:r>
          </w:p>
        </w:tc>
        <w:tc>
          <w:tcPr>
            <w:tcW w:w="0" w:type="dxa"/>
            <w:vAlign w:val="bottom"/>
          </w:tcPr>
          <w:p>
            <w:pPr>
              <w:spacing w:after="0"/>
              <w:rPr>
                <w:sz w:val="1"/>
                <w:szCs w:val="1"/>
                <w:color w:val="auto"/>
              </w:rPr>
            </w:pPr>
          </w:p>
        </w:tc>
      </w:tr>
      <w:tr>
        <w:trPr>
          <w:trHeight w:val="454"/>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80" w:type="dxa"/>
            <w:vAlign w:val="bottom"/>
          </w:tcPr>
          <w:p>
            <w:pPr>
              <w:spacing w:after="0"/>
              <w:rPr>
                <w:sz w:val="12"/>
                <w:szCs w:val="12"/>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2C2C2C"/>
              </w:rPr>
              <w:t>79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2C2C2C"/>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C2C2C"/>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2C2C2C"/>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2C2C2C"/>
                <w:w w:val="9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C2C2C"/>
              </w:rPr>
              <w:t>234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C2C2C"/>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85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2C2C2C"/>
              </w:rPr>
              <w:t>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2C2C2C"/>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C2C2C"/>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C2C2C"/>
              </w:rPr>
              <w:t>74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2C2C2C"/>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2C2C2C"/>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2</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2C2C2C"/>
              </w:rPr>
              <w:t>36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2C2C2C"/>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2C2C2C"/>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C2C2C"/>
              </w:rPr>
              <w:t>73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C2C2C"/>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C2C2C"/>
              </w:rPr>
              <w:t>(71)</w:t>
            </w:r>
          </w:p>
        </w:tc>
        <w:tc>
          <w:tcPr>
            <w:tcW w:w="0" w:type="dxa"/>
            <w:vAlign w:val="bottom"/>
          </w:tcPr>
          <w:p>
            <w:pPr>
              <w:spacing w:after="0"/>
              <w:rPr>
                <w:sz w:val="1"/>
                <w:szCs w:val="1"/>
                <w:color w:val="auto"/>
              </w:rPr>
            </w:pPr>
          </w:p>
        </w:tc>
      </w:tr>
      <w:tr>
        <w:trPr>
          <w:trHeight w:val="244"/>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10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28</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(12)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2C2C2C"/>
              </w:rPr>
              <w:t>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2C2C2C"/>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(18)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2C2C2C"/>
                <w:w w:val="9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these notes to the consolidated financial statements, NRG and certain subsidiaries of NRG provide services to the Company and its project entities. Amounts due to NRG subsidiaries are recorded as accounts payable - affiliate and amounts due to the Company from NRG or its subsidiaries are recorded as accounts receivable - affiliate in the Company's balance sheet.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PPA by and between Elbow Creek and NRG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October 2015, Elbow Creek, the Company's subsidiary in the Renewables segment, entered into a PPA with NRG Power Marketing for the sale of energy and environmental attributes with the effective date of November 1, 2015, and expiring on October 31, 2022. Elbow Creek generated $3 million of revenue during the three months ended March 31, 2017 and 2016, respectively.</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Energy Marketing Services Agreement by and between NRG Energy Center Minneapolis LLC and NRG</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NRG Energy Center Minneapolis LLC, or NRG Minneapolis, a subsidiary of the Company is party to an Energy Marketing Services Agreement with NRG Power Marketing, a wholly-owned subsidiary of NRG. Under the agreement, NRG Power Marketing procures fuel and fuel transportation for the operation of the Minneapolis generating facility. For the three months ended March 31, 2017 and 2016, NRG Minneapolis purchased $4 million and $3 million, respectively, of natural gas from NRG Power Marketing.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17" w:right="23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 (O&amp;M) Services Agreements by and between Thermal Entities and NRG</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Certain thermal entities which are wholly-owned subsidiaries of the Company are party to a Plant O&amp;M Services Agreement with NRG, pursuant to which NRG provides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Total fees incurred under the agreements were $8 million and $7 million for the three months ended March 31, 2017 and 2016, respectively. There was a balance of $19 million and $20 million due to NRG in accounts payable — affiliate as of March 31, 2017 and December 31, 2016, respectively. As of March 31, 2017, $13 million of the balance was recorded in the current liabilities of the consolidated balance sheet and $6 million was recorded in long term liabilities of the consolidated balance sheet.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Marsh Landing and NRG West Coast LLC</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The Company reimbursed costs under this agreement of $3 million and $2 million for the three months ended March 31, 2017 and 2016, respectively. There was a balance of $1 million due to NRG West Coast LLC in accounts payable — affiliate as of March 31, 2017.</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the Company and NRG Renew Operations &amp; Maintenance LLC</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an administrative services agreement with NRG Renew Operations and Maintenance LLC, or RENOM, a wholly-owned subsidiary of NRG, which provides O&amp;M services on behalf of these entities. The Company incurred total expenses for these services in the amount of $3 million and $2 million for the three months ended March 31, 2017 and 2016, respectively. There was a balance of $3 million and $5 million due to RENOM as of March 31, 2017 and December 31, 2016,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 by and between the Company and NRG</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NRG provides the Company with various operation, management, and administrative services, which include human resources, accounting, tax, legal, information systems, treasury, and risk management, as set forth in the Management Services Agreement. As of March 31, 2017, the base management fee was approximately $8 million per year, subject to an inflation-based adjustment annually at an inflation factor based on the year-over-year U.S. consumer price index. The fee is also subject to adjustments following the consummation of acquisitions and as a result of a change in the scope of services provided under the Management Services Agreement. Costs incurred under this agreement were $2 million for the three months ended March 31, 2017 and 2016, which included certain direct expenses incurred by NRG on behalf of the Company in addition to the base management fee. There was a balance of $2 million due to NRG in accounts payable — affiliate as of March 31, 2017.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1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2017, Yield Operating LLC had outstanding $500 million of the 2024 Senior Notes and $350 million of the 2026 Senior Notes, collectively Senior Notes, as described in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These Senior Notes are guaranteed by NRG Yield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noted below, each of the following guarantor subsidiaries fully and unconditionally guaranteed the Senior Notes as of March 31, 2017:</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NRG Yield RPV Holding LLC</w:t>
      </w:r>
    </w:p>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Yield Operating LLC conducts its business through and derives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condensed consolidating financial information presents the financial information of NRG Yield LLC, Yield Operating LLC, the issuer of the 2024 Senior Notes and the 2026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1,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the Company completed the acquisition of the March 2017 Drop Down Assets and CVSR Drop Down Asset from NRG on March 27, 2017 and September 1, 2016,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17" w:right="239" w:bottom="1440" w:gutter="0" w:footer="0" w:header="0"/>
        </w:sectPr>
      </w:pPr>
    </w:p>
    <w:bookmarkStart w:id="27" w:name="page28"/>
    <w:bookmarkEnd w:id="2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2017</w:t>
      </w:r>
    </w:p>
    <w:p>
      <w:pPr>
        <w:spacing w:after="0" w:line="1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Equity in earnings (losses)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1"/>
        </w:trPr>
        <w:tc>
          <w:tcPr>
            <w:tcW w:w="326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ind w:left="8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NRG Yield LLC</w:t>
            </w:r>
          </w:p>
        </w:tc>
        <w:tc>
          <w:tcPr>
            <w:tcW w:w="12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6"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significant intercompany transactions have been eliminated in consolidation.</w:t>
      </w:r>
    </w:p>
    <w:p>
      <w:pPr>
        <w:spacing w:after="0" w:line="2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240" w:top="1117" w:right="4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2017</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NRG Yield LLC</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8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4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5"/>
        </w:trPr>
        <w:tc>
          <w:tcPr>
            <w:tcW w:w="38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4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w:t>
            </w:r>
          </w:p>
        </w:tc>
        <w:tc>
          <w:tcPr>
            <w:tcW w:w="480" w:type="dxa"/>
            <w:vAlign w:val="bottom"/>
            <w:vMerge w:val="restart"/>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5"/>
        </w:trPr>
        <w:tc>
          <w:tcPr>
            <w:tcW w:w="3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NRG Yield LLC</w:t>
            </w: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6"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17" w:right="239" w:bottom="1440" w:gutter="0" w:footer="0" w:header="0"/>
        </w:sectPr>
      </w:pPr>
    </w:p>
    <w:bookmarkStart w:id="29" w:name="page30"/>
    <w:bookmarkEnd w:id="2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8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8,366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20" w:hanging="158"/>
        <w:spacing w:after="0"/>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All significant intercompany transactions have been eliminated in consolidation.</w:t>
      </w: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00"/>
          </w:cols>
          <w:pgMar w:left="240" w:top="1117"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8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 external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5,804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6,258</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8,366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0" w:hanging="158"/>
        <w:spacing w:after="0"/>
        <w:tabs>
          <w:tab w:leader="none" w:pos="16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All significant intercompany transactions have been eliminated in consolidation.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00"/>
          </w:cols>
          <w:pgMar w:left="300" w:top="1333" w:right="299" w:bottom="1440" w:gutter="0" w:footer="0" w:header="0"/>
        </w:sectPr>
      </w:pPr>
    </w:p>
    <w:bookmarkStart w:id="31" w:name="page32"/>
    <w:bookmarkEnd w:id="31"/>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2017</w:t>
      </w:r>
    </w:p>
    <w:p>
      <w:pPr>
        <w:spacing w:after="0" w:line="17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2C2C2C"/>
              </w:rPr>
              <w:t>NRG Yield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NRG Yield LLC</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2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C2C2C"/>
              </w:rPr>
              <w:t>Operating LLC</w:t>
            </w:r>
          </w:p>
        </w:tc>
        <w:tc>
          <w:tcPr>
            <w:tcW w:w="160" w:type="dxa"/>
            <w:vAlign w:val="bottom"/>
          </w:tcPr>
          <w:p>
            <w:pPr>
              <w:spacing w:after="0"/>
              <w:rPr>
                <w:sz w:val="12"/>
                <w:szCs w:val="12"/>
                <w:color w:val="auto"/>
              </w:rPr>
            </w:pPr>
          </w:p>
        </w:tc>
        <w:tc>
          <w:tcPr>
            <w:tcW w:w="10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2C2C2C"/>
              </w:rPr>
              <w:t>(Note Issuer)</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transactions between Yield LLC and subsidiaries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investments in unconsolidated affiliates</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funds under intercompany cash management</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arrangement</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contributions from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distributions and return of capital to NRG prior to the</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of) proceeds from distributions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Issuance of Class C units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issuance of long-term debt — external</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17" w:right="6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NRG Yield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20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Eliminations </w:t>
            </w:r>
            <w:r>
              <w:rPr>
                <w:rFonts w:ascii="Times New Roman" w:cs="Times New Roman" w:eastAsia="Times New Roman" w:hAnsi="Times New Roman"/>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operations</w:t>
            </w:r>
          </w:p>
        </w:tc>
        <w:tc>
          <w:tcPr>
            <w:tcW w:w="440" w:type="dxa"/>
            <w:vAlign w:val="bottom"/>
          </w:tcPr>
          <w:p>
            <w:pPr>
              <w:spacing w:after="0"/>
              <w:rPr>
                <w:sz w:val="21"/>
                <w:szCs w:val="21"/>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21"/>
                <w:szCs w:val="21"/>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income (losses) of consolidated</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affiliates</w:t>
            </w:r>
          </w:p>
        </w:tc>
        <w:tc>
          <w:tcPr>
            <w:tcW w:w="44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earnings (losses) of</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21"/>
                <w:szCs w:val="21"/>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interests</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1"/>
        </w:trPr>
        <w:tc>
          <w:tcPr>
            <w:tcW w:w="35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 NRG</w:t>
            </w:r>
          </w:p>
        </w:tc>
        <w:tc>
          <w:tcPr>
            <w:tcW w:w="4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Yield LLC</w:t>
            </w:r>
          </w:p>
        </w:tc>
        <w:tc>
          <w:tcPr>
            <w:tcW w:w="44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5"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17"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1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00" w:type="dxa"/>
            <w:vAlign w:val="bottom"/>
          </w:tcPr>
          <w:p>
            <w:pPr>
              <w:spacing w:after="0"/>
              <w:rPr>
                <w:sz w:val="13"/>
                <w:szCs w:val="13"/>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NRG Yield Operating</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NRG Yield LLC</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LLC</w:t>
            </w:r>
          </w:p>
        </w:tc>
        <w:tc>
          <w:tcPr>
            <w:tcW w:w="20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(a)</w:t>
            </w:r>
          </w:p>
        </w:tc>
        <w:tc>
          <w:tcPr>
            <w:tcW w:w="200" w:type="dxa"/>
            <w:vAlign w:val="bottom"/>
          </w:tcPr>
          <w:p>
            <w:pPr>
              <w:spacing w:after="0"/>
              <w:rPr>
                <w:sz w:val="12"/>
                <w:szCs w:val="12"/>
                <w:color w:val="auto"/>
              </w:rPr>
            </w:pPr>
          </w:p>
        </w:tc>
        <w:tc>
          <w:tcPr>
            <w:tcW w:w="12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40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loss attributable to</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1"/>
        </w:trPr>
        <w:tc>
          <w:tcPr>
            <w:tcW w:w="31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w:t>
            </w:r>
          </w:p>
        </w:tc>
        <w:tc>
          <w:tcPr>
            <w:tcW w:w="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NRG Yield LLC</w:t>
            </w:r>
          </w:p>
        </w:tc>
        <w:tc>
          <w:tcPr>
            <w:tcW w:w="400" w:type="dxa"/>
            <w:vAlign w:val="bottom"/>
            <w:tcBorders>
              <w:bottom w:val="single" w:sz="8" w:color="auto"/>
            </w:tcBorders>
            <w:vMerge w:val="continue"/>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6"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17"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8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LLC</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4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property, plant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6"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significant intercompany transactions have been eliminated in consolidation.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17"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NRG Yield</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 LLC</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8"/>
                <w:szCs w:val="8"/>
                <w:b w:val="1"/>
                <w:bCs w:val="1"/>
                <w:color w:val="auto"/>
              </w:rPr>
              <w:t>(a)</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Issuer)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 affiliate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Contributed capital</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Members' Equity</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17"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Guarantor</w:t>
            </w:r>
          </w:p>
        </w:tc>
        <w:tc>
          <w:tcPr>
            <w:tcW w:w="16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2C2C2C"/>
              </w:rPr>
              <w:t>NRG Yield</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2C2C2C"/>
              </w:rPr>
              <w:t>Operating LLC</w:t>
            </w:r>
          </w:p>
        </w:tc>
        <w:tc>
          <w:tcPr>
            <w:tcW w:w="24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4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2C2C2C"/>
              </w:rPr>
              <w:t>(Note Issuer)</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transactions from Yield LLC to</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4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4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4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investments in unconsolidated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4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of funds under intercompany cash management</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arrangement</w:t>
            </w:r>
          </w:p>
        </w:tc>
        <w:tc>
          <w:tcPr>
            <w:tcW w:w="4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contributions from noncontrolling interests</w:t>
            </w:r>
          </w:p>
        </w:tc>
        <w:tc>
          <w:tcPr>
            <w:tcW w:w="4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distributions and return of capital to NRG prior to the</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proceeds from distributions</w:t>
            </w: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4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4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1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Braun v. NRG Yield, Inc. </w:t>
      </w:r>
      <w:r>
        <w:rPr>
          <w:rFonts w:ascii="Times New Roman" w:cs="Times New Roman" w:eastAsia="Times New Roman" w:hAnsi="Times New Roman"/>
          <w:sz w:val="18"/>
          <w:szCs w:val="18"/>
          <w:color w:val="auto"/>
        </w:rPr>
        <w:t>— On April 19, 2016, plaintiffs filed a putative class action lawsuit against NRG Yield, Inc., the current and former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On August 3, 2016, the court approved a stipulation entered into by the parties. The stipulation provided that the plaintiffs would file an amended complaint by August 19, 2016, which they did on August 18, 2016. The defendants filed demurrers and a motion challenging jurisdiction on October 18, 2016. On February 24, 2017, the court approved the parties' stipulation which provides the plaintiffs' opposition is due on June 15, 2017 and defendants' reply is due on August 14, 2017.</w:t>
      </w:r>
    </w:p>
    <w:p>
      <w:pPr>
        <w:spacing w:after="0" w:line="12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Ahmed v. NRG Energy, Inc. and the NRG Yield Board of Directors </w:t>
      </w:r>
      <w:r>
        <w:rPr>
          <w:rFonts w:ascii="Times New Roman" w:cs="Times New Roman" w:eastAsia="Times New Roman" w:hAnsi="Times New Roman"/>
          <w:sz w:val="18"/>
          <w:szCs w:val="18"/>
          <w:color w:val="auto"/>
        </w:rPr>
        <w:t>— On September 15, 2016, plaintiffs filed a putative class action lawsuit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NRG Energy, Inc., the directors of NRG Yield, 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Oral argument is scheduled for June 20, 2017.</w:t>
      </w:r>
    </w:p>
    <w:p>
      <w:pPr>
        <w:spacing w:after="0" w:line="126"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GenOn Noteholders' Lawsuit </w:t>
      </w:r>
      <w:r>
        <w:rPr>
          <w:rFonts w:ascii="Times New Roman" w:cs="Times New Roman" w:eastAsia="Times New Roman" w:hAnsi="Times New Roman"/>
          <w:sz w:val="18"/>
          <w:szCs w:val="18"/>
          <w:color w:val="auto"/>
        </w:rPr>
        <w:t>— On December 13, 2016, certain indenture trustees for an ad hoc group of holders, or the Noteholders, of the GenOn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a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generally seek recovery of all monies paid under the services agreement and any other damages that the court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17"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the Results of Operations</w:t>
      </w:r>
    </w:p>
    <w:p>
      <w:pPr>
        <w:spacing w:after="0" w:line="200" w:lineRule="exact"/>
        <w:rPr>
          <w:sz w:val="20"/>
          <w:szCs w:val="20"/>
          <w:color w:val="auto"/>
        </w:rPr>
      </w:pPr>
    </w:p>
    <w:p>
      <w:pPr>
        <w:spacing w:after="0" w:line="2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discussion analyzes the Company's historical financial condition and results of operations, which were recast to include: a) the Company's September 2016 acquisition of the controlling interest in CVSR and b) the effect of the March 2017 Drop Down Assets, which were acquired from NRG on March 27, 2017.</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months ended March 31, 2017, and 2016. Also refer to the Company's 2016 Form 10-K, which includes detailed discussions of various items impacting the Company's business, results of operations and financial condition.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81" w:lineRule="auto"/>
        <w:tabs>
          <w:tab w:leader="none" w:pos="13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w:t>
      </w:r>
    </w:p>
    <w:p>
      <w:pPr>
        <w:spacing w:after="0" w:line="63" w:lineRule="exact"/>
        <w:rPr>
          <w:rFonts w:ascii="Times New Roman" w:cs="Times New Roman" w:eastAsia="Times New Roman" w:hAnsi="Times New Roman"/>
          <w:sz w:val="18"/>
          <w:szCs w:val="18"/>
          <w:color w:val="231F20"/>
        </w:rPr>
      </w:pPr>
    </w:p>
    <w:p>
      <w:pPr>
        <w:ind w:left="1300" w:right="180" w:hanging="320"/>
        <w:spacing w:after="0" w:line="281" w:lineRule="auto"/>
        <w:tabs>
          <w:tab w:leader="none" w:pos="13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 w:lineRule="exact"/>
        <w:rPr>
          <w:rFonts w:ascii="Times New Roman" w:cs="Times New Roman" w:eastAsia="Times New Roman" w:hAnsi="Times New Roman"/>
          <w:sz w:val="18"/>
          <w:szCs w:val="18"/>
          <w:color w:val="231F20"/>
        </w:rPr>
      </w:pPr>
    </w:p>
    <w:p>
      <w:pPr>
        <w:ind w:left="1300" w:right="460" w:hanging="320"/>
        <w:spacing w:after="0" w:line="281" w:lineRule="auto"/>
        <w:tabs>
          <w:tab w:leader="none" w:pos="130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 and</w:t>
      </w:r>
    </w:p>
    <w:p>
      <w:pPr>
        <w:spacing w:after="0" w:line="1" w:lineRule="exact"/>
        <w:rPr>
          <w:rFonts w:ascii="Times New Roman" w:cs="Times New Roman" w:eastAsia="Times New Roman" w:hAnsi="Times New Roman"/>
          <w:sz w:val="18"/>
          <w:szCs w:val="18"/>
          <w:color w:val="231F20"/>
        </w:rPr>
      </w:pPr>
    </w:p>
    <w:p>
      <w:pPr>
        <w:ind w:left="1300" w:right="18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1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NRG Yield LLC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distributions income from a diversified portfolio of lower-risk high-quality assets.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owns a diversified portfolio of contracted renewable and conventional generation and thermal infrastructure assets in the U.S. The Company’s contracted generation portfolio collectively represents </w:t>
      </w:r>
      <w:r>
        <w:rPr>
          <w:rFonts w:ascii="Times New Roman" w:cs="Times New Roman" w:eastAsia="Times New Roman" w:hAnsi="Times New Roman"/>
          <w:sz w:val="18"/>
          <w:szCs w:val="18"/>
          <w:color w:val="231F20"/>
        </w:rPr>
        <w:t>4,879 net MW as of March 31, 2017.</w:t>
      </w:r>
      <w:r>
        <w:rPr>
          <w:rFonts w:ascii="Times New Roman" w:cs="Times New Roman" w:eastAsia="Times New Roman" w:hAnsi="Times New Roman"/>
          <w:sz w:val="18"/>
          <w:szCs w:val="18"/>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Times New Roman" w:cs="Times New Roman" w:eastAsia="Times New Roman" w:hAnsi="Times New Roman"/>
          <w:sz w:val="18"/>
          <w:szCs w:val="18"/>
          <w:color w:val="231F20"/>
        </w:rPr>
        <w:t>16 years as of March 31, 2017,</w:t>
      </w:r>
      <w:r>
        <w:rPr>
          <w:rFonts w:ascii="Times New Roman" w:cs="Times New Roman" w:eastAsia="Times New Roman" w:hAnsi="Times New Roman"/>
          <w:sz w:val="18"/>
          <w:szCs w:val="18"/>
          <w:color w:val="auto"/>
        </w:rPr>
        <w:t xml:space="preserve"> based on CAFD</w:t>
      </w:r>
      <w:r>
        <w:rPr>
          <w:rFonts w:ascii="Times New Roman" w:cs="Times New Roman" w:eastAsia="Times New Roman" w:hAnsi="Times New Roman"/>
          <w:sz w:val="18"/>
          <w:szCs w:val="18"/>
          <w:color w:val="231F20"/>
        </w:rPr>
        <w:t>. The Company also owns thermal infrastructure assets with an aggregate steam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2016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120" w:lineRule="exact"/>
        <w:rPr>
          <w:sz w:val="20"/>
          <w:szCs w:val="20"/>
          <w:color w:val="auto"/>
        </w:rPr>
      </w:pPr>
    </w:p>
    <w:p>
      <w:pPr>
        <w:jc w:val="both"/>
        <w:ind w:firstLine="432"/>
        <w:spacing w:after="0" w:line="274" w:lineRule="auto"/>
        <w:rPr>
          <w:sz w:val="20"/>
          <w:szCs w:val="20"/>
          <w:color w:val="auto"/>
        </w:rPr>
      </w:pPr>
      <w:r>
        <w:rPr>
          <w:rFonts w:ascii="Times New Roman" w:cs="Times New Roman" w:eastAsia="Times New Roman" w:hAnsi="Times New Roman"/>
          <w:sz w:val="18"/>
          <w:szCs w:val="18"/>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1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described in the Company’s 2016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become more stringent over time, although this trend could slow or pause in the near term with respect to federal laws under the new U.S. presidential administration.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trends are described in the Company’s 2016 Form 10-K in Item 7, Management’s Discussion and Analysis of Financial Condition and Results of Operations - Trends Affecting Results of Operations and Future Business Performance.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1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Operational Matters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El Segundo Forced Outage</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January 2017, the El Segundo Energy Center began a forced outage on Units 5 and 6 due to increasing vibrations on successive operations at Unit 5. In consultation with the Company’s operations and maintenance service provider, a subsidiary of NRG Energy Inc., the Company elected to replace the rotor on Unit 5. Both Unit 5 and 6 returned to service on February 24, 2017. During the first quarter of 2017, the Company reached an agreement in principle with the original equipment manufacturer on the warranty claim and expects the capital and other expenses to be reduced from $12 million to approximately $5 million.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Walnut Creek Forced Outage</w:t>
      </w:r>
    </w:p>
    <w:p>
      <w:pPr>
        <w:spacing w:after="0" w:line="17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April 18, 2017, Unit 1 at Walnut Creek went into forced outage due to a mechanical failure of a high pressure turbine compressor part that caused downstream damage in the Unit. Unit 1 returned to service on April 30, 2017 and the estimated cost is approximately $8 million before the recovery of insurance proceeds, a significant portion of which the Company believes is recoverable by year end.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1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228"/>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otherwise noted)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9"/>
                <w:szCs w:val="19"/>
                <w:color w:val="auto"/>
              </w:rPr>
            </w:pPr>
          </w:p>
        </w:tc>
        <w:tc>
          <w:tcPr>
            <w:tcW w:w="9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21"/>
                <w:szCs w:val="21"/>
                <w:color w:val="auto"/>
              </w:rPr>
            </w:pP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48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8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fuels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Emissions credit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0" w:type="dxa"/>
            <w:vAlign w:val="bottom"/>
          </w:tcPr>
          <w:p>
            <w:pPr>
              <w:spacing w:after="0"/>
              <w:rPr>
                <w:sz w:val="21"/>
                <w:szCs w:val="21"/>
                <w:color w:val="auto"/>
              </w:rPr>
            </w:pP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0" w:type="dxa"/>
            <w:vAlign w:val="bottom"/>
          </w:tcPr>
          <w:p>
            <w:pPr>
              <w:spacing w:after="0"/>
              <w:rPr>
                <w:sz w:val="21"/>
                <w:szCs w:val="21"/>
                <w:color w:val="auto"/>
              </w:rPr>
            </w:pP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0" w:type="dxa"/>
            <w:vAlign w:val="bottom"/>
          </w:tcPr>
          <w:p>
            <w:pPr>
              <w:spacing w:after="0"/>
              <w:rPr>
                <w:sz w:val="21"/>
                <w:szCs w:val="21"/>
                <w:color w:val="auto"/>
              </w:rPr>
            </w:pP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0" w:type="dxa"/>
            <w:vAlign w:val="bottom"/>
          </w:tcPr>
          <w:p>
            <w:pPr>
              <w:spacing w:after="0"/>
              <w:rPr>
                <w:sz w:val="21"/>
                <w:szCs w:val="21"/>
                <w:color w:val="auto"/>
              </w:rPr>
            </w:pPr>
          </w:p>
        </w:tc>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NRG Yield LLC</w:t>
            </w: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r>
      <w:tr>
        <w:trPr>
          <w:trHeight w:val="265"/>
        </w:trPr>
        <w:tc>
          <w:tcPr>
            <w:tcW w:w="84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3"/>
                <w:szCs w:val="23"/>
                <w:color w:val="auto"/>
              </w:rPr>
            </w:pPr>
          </w:p>
        </w:tc>
      </w:tr>
      <w:tr>
        <w:trPr>
          <w:trHeight w:val="269"/>
        </w:trPr>
        <w:tc>
          <w:tcPr>
            <w:tcW w:w="846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1,662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w:t>
            </w:r>
          </w:p>
        </w:tc>
      </w:tr>
      <w:tr>
        <w:trPr>
          <w:trHeight w:val="270"/>
        </w:trPr>
        <w:tc>
          <w:tcPr>
            <w:tcW w:w="846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5"/>
                <w:szCs w:val="25"/>
                <w:color w:val="auto"/>
                <w:vertAlign w:val="superscript"/>
              </w:rPr>
              <w:t>(a)(b)</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r>
      <w:tr>
        <w:trPr>
          <w:trHeight w:val="341"/>
        </w:trPr>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5"/>
                <w:szCs w:val="25"/>
                <w:color w:val="auto"/>
                <w:vertAlign w:val="superscript"/>
              </w:rPr>
              <w:t>(c)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47"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16"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Volumes generated are not sold as the Conventional facilities sell capacity rather than energy.</w:t>
      </w:r>
    </w:p>
    <w:p>
      <w:pPr>
        <w:spacing w:after="0" w:line="30" w:lineRule="exact"/>
        <w:rPr>
          <w:rFonts w:ascii="Times New Roman" w:cs="Times New Roman" w:eastAsia="Times New Roman" w:hAnsi="Times New Roman"/>
          <w:sz w:val="19"/>
          <w:szCs w:val="19"/>
          <w:color w:val="auto"/>
          <w:vertAlign w:val="superscript"/>
        </w:rPr>
      </w:pPr>
    </w:p>
    <w:p>
      <w:pPr>
        <w:ind w:right="300" w:firstLine="8"/>
        <w:spacing w:after="0" w:line="235"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MWh sold do not include 7 MWh and 51 MWh generated by NRG Dover, a subsidiary of the Company, under the PPA with NRG Power Marketing during the three months ended March 31, 2017 and 2016, respectively, as further described in Note 8, </w:t>
      </w:r>
      <w:r>
        <w:rPr>
          <w:rFonts w:ascii="Times New Roman" w:cs="Times New Roman" w:eastAsia="Times New Roman" w:hAnsi="Times New Roman"/>
          <w:sz w:val="13"/>
          <w:szCs w:val="13"/>
          <w:i w:val="1"/>
          <w:iCs w:val="1"/>
          <w:color w:val="auto"/>
        </w:rPr>
        <w:t>Related Party Transactions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17"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March 31, 2017, and 2016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8"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3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three months ended March 31, 2017 and 2016: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Three months ended March 31, 2017</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Three months ended March 31, 2016</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fuels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Emissions credit amortization</w:t>
            </w: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Emissions credit amortization</w:t>
            </w:r>
          </w:p>
        </w:tc>
        <w:tc>
          <w:tcPr>
            <w:tcW w:w="11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1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7" w:right="239" w:bottom="1440" w:gutter="0" w:footer="0" w:header="0"/>
        </w:sectPr>
      </w:pPr>
    </w:p>
    <w:bookmarkStart w:id="43" w:name="page44"/>
    <w:bookmarkEnd w:id="4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margin decreased by $10 million and economic gross margin decreased by $16 million during the three months ended March 31, 2017, compared to the same period in 2016 due to:</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Renewables due to a 17% decrease in volume generated at the Alta Wind projects due to low wind resources, as well as a 14%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10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solar generation at solar projects caused by weather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Conventional Generation primarily due to lower revenues at El Segundo as a result of a forced outage in 2017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Decrease in economic gross margin</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5"/>
        </w:trPr>
        <w:tc>
          <w:tcPr>
            <w:tcW w:w="101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Emissions credit amortization of NOx allowances at Walnut Creek and El Segundo in compliance with amendments to the Regional Clean</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34"/>
        </w:trPr>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Air Incentives Market program in 2016</w:t>
            </w:r>
          </w:p>
        </w:tc>
        <w:tc>
          <w:tcPr>
            <w:tcW w:w="2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Decrease in gross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Operations and maintenance expense increased by $7 million during the three months ended March 31, 2017, compared to the same period in 2016, primarily due to a forced outage at El Segundo in 2017 and early disposal of asset components at Walnut Creek.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increased by $15 million during the three months ended March 31, 2017, compared to the same period in 2016, primarily due to an increase in equity earnings from the Utah Solar Portfolio, which was acquired by NRG in November 2016, and an increase from Elkhorn Ridge and RPV Holdco, partially offset by lower earnings from DGPV Holdco 1 and Desert Sunlight.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increased by $2 million during the three months ended March 31, 2017, compared to the same period in 2016, due to:</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the new long-term debt in the second half of 2016, including 2037 CVSR Holdco Notes, 2026 Senior Notes and Energy Center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Minneapolis Series D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Utah Solar Portfolio debt assumed in connection with the March 2017 Drop Down Assets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10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the fair value of interest rate swaps primarily acquired with the January 2015 Drop Down Assets and November 2015 Drop</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Down Assets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Higher revolver borrowings in 2016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Lower project level principal balances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the fair value of interest rate swaps, primarily relating to Alpine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2017, the Company had income of $2 million attributable to NRG's 25% ownership of the Class B interests in NRG Wind TE Holdco and a loss of $11 million attributable to noncontrolling interests with respect to its tax equity financing arrangements and the application of the HLBV method. For the three months ended March 31, 2016, the Company had income of $2 million attributable to NRG's 25% ownership of the Class B interests in NRG Wind TE Holdco and a loss of $13 million attributable to noncontrolling interests with respect to its tax equity financing arrangements and application of the HLBV method.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2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8"/>
          <w:szCs w:val="18"/>
          <w:color w:val="000000"/>
        </w:rPr>
        <w:t>As a normal part of the Company's business, depending on market conditions,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2017</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2016</w:t>
      </w:r>
      <w:r>
        <w:rPr>
          <w:rFonts w:ascii="Times New Roman" w:cs="Times New Roman" w:eastAsia="Times New Roman" w:hAnsi="Times New Roman"/>
          <w:sz w:val="18"/>
          <w:szCs w:val="18"/>
          <w:color w:val="231F20"/>
        </w:rPr>
        <w:t xml:space="preserve">, the Company's liquidity was approximately $747 million and $921 million, respectively, comprised of cash, restricted cash, and availability under the Company's revolving credit facility. The Company's liquidity includes $106 million and $165 million of restricted cash balances as of </w:t>
      </w:r>
      <w:r>
        <w:rPr>
          <w:rFonts w:ascii="Times New Roman" w:cs="Times New Roman" w:eastAsia="Times New Roman" w:hAnsi="Times New Roman"/>
          <w:sz w:val="18"/>
          <w:szCs w:val="18"/>
          <w:color w:val="000000"/>
        </w:rPr>
        <w:t>March 31, 2017</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2016</w:t>
      </w:r>
      <w:r>
        <w:rPr>
          <w:rFonts w:ascii="Times New Roman" w:cs="Times New Roman" w:eastAsia="Times New Roman" w:hAnsi="Times New Roman"/>
          <w:sz w:val="18"/>
          <w:szCs w:val="18"/>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Note 6,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As of </w:t>
      </w:r>
      <w:r>
        <w:rPr>
          <w:rFonts w:ascii="Times New Roman" w:cs="Times New Roman" w:eastAsia="Times New Roman" w:hAnsi="Times New Roman"/>
          <w:sz w:val="18"/>
          <w:szCs w:val="18"/>
          <w:color w:val="000000"/>
        </w:rPr>
        <w:t>March 31, 2017</w:t>
      </w:r>
      <w:r>
        <w:rPr>
          <w:rFonts w:ascii="Times New Roman" w:cs="Times New Roman" w:eastAsia="Times New Roman" w:hAnsi="Times New Roman"/>
          <w:sz w:val="18"/>
          <w:szCs w:val="18"/>
          <w:color w:val="231F20"/>
        </w:rPr>
        <w:t>, the Company had $431 million of available borrowings under its revolving credit facility.</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2017</w:t>
      </w:r>
      <w:r>
        <w:rPr>
          <w:rFonts w:ascii="Times New Roman" w:cs="Times New Roman" w:eastAsia="Times New Roman" w:hAnsi="Times New Roman"/>
          <w:sz w:val="18"/>
          <w:szCs w:val="18"/>
          <w:color w:val="231F20"/>
        </w:rPr>
        <w:t>, there were no outstanding borrowings and there were $64 million of letters of credit outstanding under the Company's revolving credit facility.</w:t>
      </w:r>
    </w:p>
    <w:p>
      <w:pPr>
        <w:spacing w:after="0" w:line="1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89"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34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2017, the Company's 2024 Senior Notes and 2026 Senior Notes are rated BB by S&amp;P and Ba2 by Moody's, respectively. The ratings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outlook is stable.</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6, </w:t>
      </w:r>
      <w:r>
        <w:rPr>
          <w:rFonts w:ascii="Times New Roman" w:cs="Times New Roman" w:eastAsia="Times New Roman" w:hAnsi="Times New Roman"/>
          <w:sz w:val="18"/>
          <w:szCs w:val="18"/>
          <w:i w:val="1"/>
          <w:iCs w:val="1"/>
          <w:color w:val="231F20"/>
        </w:rPr>
        <w:t>Long-term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Debt</w:t>
      </w:r>
      <w:r>
        <w:rPr>
          <w:rFonts w:ascii="Times New Roman" w:cs="Times New Roman" w:eastAsia="Times New Roman" w:hAnsi="Times New Roman"/>
          <w:sz w:val="18"/>
          <w:szCs w:val="18"/>
          <w:color w:val="231F20"/>
        </w:rPr>
        <w:t>, to this Form 10-Q and Note 10,</w:t>
      </w:r>
      <w:r>
        <w:rPr>
          <w:rFonts w:ascii="Times New Roman" w:cs="Times New Roman" w:eastAsia="Times New Roman" w:hAnsi="Times New Roman"/>
          <w:sz w:val="18"/>
          <w:szCs w:val="18"/>
          <w:i w:val="1"/>
          <w:iCs w:val="1"/>
          <w:color w:val="231F20"/>
        </w:rPr>
        <w:t xml:space="preserve"> Long-term Debt</w:t>
      </w:r>
      <w:r>
        <w:rPr>
          <w:rFonts w:ascii="Times New Roman" w:cs="Times New Roman" w:eastAsia="Times New Roman" w:hAnsi="Times New Roman"/>
          <w:sz w:val="18"/>
          <w:szCs w:val="18"/>
          <w:color w:val="231F20"/>
        </w:rPr>
        <w:t>, to the consolidated annual financial statements included in the Company's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2016 Form 10-K</w:t>
      </w:r>
      <w:r>
        <w:rPr>
          <w:rFonts w:ascii="Times New Roman" w:cs="Times New Roman" w:eastAsia="Times New Roman" w:hAnsi="Times New Roman"/>
          <w:sz w:val="18"/>
          <w:szCs w:val="18"/>
          <w:color w:val="231F20"/>
        </w:rPr>
        <w:t>,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Company's financing arrangements consist of the revolving credit facility, the Senior Notes, the ATM Program, its intercompany borrowings with Yield, Inc. and project-level financings for its various assets.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At-the-Market Equity Offering Program</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first fiscal quarter of 2017, Yield, Inc. sold 424,027 shares of common stock under the ATM Program for gross proceeds of $7 million, with commission fees of less than $100,000. Yield, Inc. used the net proceeds to acquire 424,027 Class C units from Yield LLC. At March 31, 2017, approximately $143 million remains available for issuance under the ATM Program.</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Thermal Financing</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Times New Roman" w:cs="Times New Roman" w:eastAsia="Times New Roman" w:hAnsi="Times New Roman"/>
          <w:sz w:val="18"/>
          <w:szCs w:val="18"/>
          <w:color w:val="231F20"/>
        </w:rPr>
        <w:t>The Series F Notes will be secured by substantially all of the assets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NRG Energy Center Minneapolis LLC. NRG Thermal LLC has guaranteed the indebtedness and its guarantee is secured by a pledge of the equity interests in all of NRG Thermal LLC’s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17" w:right="23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Item 1 —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(ii) capital expenditures; (iii) acquisitions and investments; and (iv) distributions.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Drop Down Offer from NRG Energy</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On May 1, 2017, NRG offered the Company the remaining 25% interest in NRG Wind TE Holdco, an 814 net MW portfolio of twelve wind projects. The Company currently owns a 75% interest in the portfolio which it acquired in 2015. The acquisition is subject to approval by NRG Yield's independent directors. The wind assets included in the portfolio are disclosed in </w:t>
      </w:r>
      <w:r>
        <w:rPr>
          <w:rFonts w:ascii="Times New Roman" w:cs="Times New Roman" w:eastAsia="Times New Roman" w:hAnsi="Times New Roman"/>
          <w:sz w:val="18"/>
          <w:szCs w:val="18"/>
          <w:color w:val="231F20"/>
        </w:rPr>
        <w:t>Item 1 — Note1,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Nature of Business</w:t>
      </w:r>
      <w:r>
        <w:rPr>
          <w:rFonts w:ascii="Times New Roman" w:cs="Times New Roman" w:eastAsia="Times New Roman" w:hAnsi="Times New Roman"/>
          <w:sz w:val="18"/>
          <w:szCs w:val="18"/>
          <w:color w:val="231F20"/>
        </w:rPr>
        <w: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73"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The Company develops annual capital spending plans based on projected requirements for maintenance and growth capital. For the three months ended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2017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2016</w:t>
      </w:r>
      <w:r>
        <w:rPr>
          <w:rFonts w:ascii="Times New Roman" w:cs="Times New Roman" w:eastAsia="Times New Roman" w:hAnsi="Times New Roman"/>
          <w:sz w:val="18"/>
          <w:szCs w:val="18"/>
          <w:color w:val="231F20"/>
        </w:rPr>
        <w:t>, the Company used approximately $4 million and $7 million, respectively, to fund capital expenditures, which</w:t>
      </w:r>
      <w:r>
        <w:rPr>
          <w:rFonts w:ascii="Times New Roman" w:cs="Times New Roman" w:eastAsia="Times New Roman" w:hAnsi="Times New Roman"/>
          <w:sz w:val="18"/>
          <w:szCs w:val="18"/>
          <w:color w:val="000000"/>
        </w:rPr>
        <w:t xml:space="preserve"> related primarily to maintenance expenses.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3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and thermal infrastructure assets developed and constructed by NRG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February 24, 2017, the Company amended and restated the ROFO Agreement, expanding the NRG ROFO pipeline with the addition of 234 net MW of utility-scale solar projects, consisting of Buckthorn, a 154 net MW solar facility in Texas, and Hawaii solar projects, which have a combined capacity of 80 net MW. Under the ROFO Agreement, NRG has granted the Company and its affiliates a right of first offer on any proposed sale, transfer or other disposition of certain assets of NRG until February 24, 2022.</w:t>
      </w:r>
    </w:p>
    <w:p>
      <w:pPr>
        <w:spacing w:after="0" w:line="12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Item 1 — Note 3,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on March 27, 2017, the Company acquired the following interests from NRG: (i) Agua Caliente Borrower 2 LLC, which owns a 16% interest (approximately 31% of NRG's 51% interest) in the Agua Caliente solar farm, one of the NRG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$130 million, plus $1 million of working capital and assumed non-recourse project debt. The purchase price for the acquisition was funded with cash on hand.</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2017, the Company invested $3 million in distributed solar investment partnerships with NRG.</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Cash Distributions to Yield, Inc. and NRG</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Times New Roman" w:cs="Times New Roman" w:eastAsia="Times New Roman" w:hAnsi="Times New Roman"/>
          <w:sz w:val="18"/>
          <w:szCs w:val="18"/>
          <w:color w:val="000000"/>
        </w:rPr>
        <w:t>he Class A common stock and Class C common stock are subject to available capital, market conditions, and compliance with associated laws, regulations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other contractual obligations. The Company expects that, based on current circumstances, comparable cash dividends will continue to be paid in the foreseeable future.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333" w:right="23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8"/>
          <w:szCs w:val="18"/>
          <w:color w:val="auto"/>
        </w:rPr>
        <w:t>The following table lists the distributions paid on the Company's Class A, B, C and D units during the three months ended March 31, 2017:</w:t>
      </w:r>
    </w:p>
    <w:p>
      <w:pPr>
        <w:spacing w:after="0" w:line="23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First Quarter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24765</wp:posOffset>
            </wp:positionV>
            <wp:extent cx="457073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0730" cy="180340"/>
                    </a:xfrm>
                    <a:prstGeom prst="rect">
                      <a:avLst/>
                    </a:prstGeom>
                    <a:noFill/>
                  </pic:spPr>
                </pic:pic>
              </a:graphicData>
            </a:graphic>
          </wp:anchor>
        </w:drawing>
      </w:r>
    </w:p>
    <w:p>
      <w:pPr>
        <w:spacing w:after="0" w:line="37" w:lineRule="exact"/>
        <w:rPr>
          <w:sz w:val="20"/>
          <w:szCs w:val="20"/>
          <w:color w:val="auto"/>
        </w:rPr>
      </w:pPr>
    </w:p>
    <w:p>
      <w:pPr>
        <w:ind w:left="2140"/>
        <w:spacing w:after="0"/>
        <w:tabs>
          <w:tab w:leader="none" w:pos="7920" w:val="left"/>
          <w:tab w:leader="none" w:pos="8920" w:val="left"/>
        </w:tabs>
        <w:rPr>
          <w:sz w:val="20"/>
          <w:szCs w:val="20"/>
          <w:color w:val="auto"/>
        </w:rPr>
      </w:pPr>
      <w:r>
        <w:rPr>
          <w:rFonts w:ascii="Times New Roman" w:cs="Times New Roman" w:eastAsia="Times New Roman" w:hAnsi="Times New Roman"/>
          <w:sz w:val="18"/>
          <w:szCs w:val="18"/>
          <w:b w:val="1"/>
          <w:bCs w:val="1"/>
          <w:color w:val="auto"/>
        </w:rPr>
        <w:t>Distributions per Class A, B, C and D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0.26</w:t>
      </w:r>
    </w:p>
    <w:p>
      <w:pPr>
        <w:spacing w:after="0" w:line="20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25, 2017, the Company declared a distribution on its Class A, Class B, Class C and Class D units of $0.27 per unit payable on June 15, 2017 to unit holders of record as of June 1, 2017.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three months ended March 31, 2017, compared to the three months ended March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80" w:type="dxa"/>
            <w:vAlign w:val="bottom"/>
            <w:tcBorders>
              <w:bottom w:val="single" w:sz="8" w:color="CCEEFF"/>
            </w:tcBorders>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53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operating income adjusted for non-cash items</w:t>
            </w:r>
          </w:p>
        </w:tc>
        <w:tc>
          <w:tcPr>
            <w:tcW w:w="2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10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Decrease in working capital driven primarily by higher interest payments in the first quarter of 2017 relating to the 2026 Senior Notes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Higher distributions from unconsolidated affiliates</w:t>
            </w:r>
          </w:p>
        </w:tc>
        <w:tc>
          <w:tcPr>
            <w:tcW w:w="2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3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made to acquire the March 2017 Drop Down Assets</w:t>
            </w:r>
          </w:p>
        </w:tc>
        <w:tc>
          <w:tcPr>
            <w:tcW w:w="2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5"/>
        </w:trPr>
        <w:tc>
          <w:tcPr>
            <w:tcW w:w="10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Decrease in investments in unconsolidated affiliates in 2017 primarily due to higher investment in RPV Holdco, DGPV Holdco 1 and</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DGPV Holdco 2 in 2016</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restricted cash</w:t>
            </w:r>
          </w:p>
        </w:tc>
        <w:tc>
          <w:tcPr>
            <w:tcW w:w="2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5"/>
        </w:trPr>
        <w:tc>
          <w:tcPr>
            <w:tcW w:w="1018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Lower capital expenditures in the first quarter of 2017 driven primarily by higher maintenance capital expense incurred in the Conventional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Renewables segments in the first quarter of 2016</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53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issuance of Class C units</w:t>
            </w:r>
          </w:p>
        </w:tc>
        <w:tc>
          <w:tcPr>
            <w:tcW w:w="2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borrowings under the revolving credit facility in 2016</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0180" w:type="dxa"/>
            <w:vAlign w:val="bottom"/>
            <w:gridSpan w:val="7"/>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01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Agua Caliente Borrower 2 LLC borrowings in the first quarter of 2017 partially offset by higher repayments of long-term</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and increased financing fees</w:t>
            </w:r>
          </w:p>
        </w:tc>
        <w:tc>
          <w:tcPr>
            <w:tcW w:w="2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net contributions from noncontrolling interests</w:t>
            </w: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distributions paid to unit holders</w:t>
            </w:r>
          </w:p>
        </w:tc>
        <w:tc>
          <w:tcPr>
            <w:tcW w:w="2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Higher payments of distributions to NRG for the Drop Down Assets relating to the pre-acquisition period</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3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47" w:name="page48"/>
    <w:bookmarkEnd w:id="4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4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March 31, 2017, the Company has several investments with an ownership interest percentage of 50%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in energy and energy-related entities that are accounted for under the equity method. DGPV Holdco 1, DGPV Holdco 2, RPV Holdco, GenConn and the Utah Solar Portfolio are variable interest entities for which the Company is not the primary beneficiary.</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Company's pro-rata share of non-recourse debt held by unconsolidated affiliates was approximately $592 million as of March 31, 2017. This indebtedness may restrict the ability of these subsidiaries to issue dividends or distributions to the Company. See also Note 3, </w:t>
      </w:r>
      <w:r>
        <w:rPr>
          <w:rFonts w:ascii="Times New Roman" w:cs="Times New Roman" w:eastAsia="Times New Roman" w:hAnsi="Times New Roman"/>
          <w:sz w:val="18"/>
          <w:szCs w:val="18"/>
          <w:i w:val="1"/>
          <w:iCs w:val="1"/>
          <w:color w:val="auto"/>
        </w:rPr>
        <w:t>Investments Accounted for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Equity Method and Variable Interest Entities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has a variety of contractual obligations and other commercial commitments that represent prospective cash requirements in addition to our capital expenditure programs, as disclosed in the Company's 2016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March 31, 2017</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March 31, 2017</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Item — 1 </w:t>
      </w:r>
      <w:r>
        <w:rPr>
          <w:rFonts w:ascii="Times New Roman" w:cs="Times New Roman" w:eastAsia="Times New Roman" w:hAnsi="Times New Roman"/>
          <w:sz w:val="18"/>
          <w:szCs w:val="18"/>
          <w:color w:val="000000"/>
        </w:rPr>
        <w:t>Note 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Activity (Losses)/Gains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contracts as of March 31, 2017</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20" w:type="dxa"/>
            <w:vAlign w:val="bottom"/>
            <w:gridSpan w:val="6"/>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2017</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2"/>
                <w:szCs w:val="12"/>
                <w:color w:val="auto"/>
              </w:rPr>
            </w:pPr>
          </w:p>
        </w:tc>
        <w:tc>
          <w:tcPr>
            <w:tcW w:w="10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Greater Than</w:t>
            </w:r>
          </w:p>
        </w:tc>
        <w:tc>
          <w:tcPr>
            <w:tcW w:w="2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2"/>
                <w:szCs w:val="12"/>
                <w:color w:val="auto"/>
              </w:rPr>
            </w:pPr>
          </w:p>
        </w:tc>
        <w:tc>
          <w:tcPr>
            <w:tcW w:w="98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 Losses</w:t>
            </w:r>
          </w:p>
        </w:tc>
        <w:tc>
          <w:tcPr>
            <w:tcW w:w="16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3 Years to 5</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60" w:type="dxa"/>
            <w:vAlign w:val="bottom"/>
            <w:gridSpan w:val="2"/>
          </w:tcPr>
          <w:p>
            <w:pPr>
              <w:jc w:val="right"/>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1 Year to 3 Years</w:t>
            </w:r>
          </w:p>
        </w:tc>
        <w:tc>
          <w:tcPr>
            <w:tcW w:w="180" w:type="dxa"/>
            <w:vAlign w:val="bottom"/>
          </w:tcPr>
          <w:p>
            <w:pPr>
              <w:spacing w:after="0"/>
              <w:rPr>
                <w:sz w:val="13"/>
                <w:szCs w:val="13"/>
                <w:color w:val="auto"/>
              </w:rPr>
            </w:pPr>
          </w:p>
        </w:tc>
        <w:tc>
          <w:tcPr>
            <w:tcW w:w="1060" w:type="dxa"/>
            <w:vAlign w:val="bottom"/>
          </w:tcPr>
          <w:p>
            <w:pPr>
              <w:jc w:val="center"/>
              <w:ind w:right="84"/>
              <w:spacing w:after="0" w:line="16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3"/>
                <w:szCs w:val="13"/>
                <w:color w:val="auto"/>
              </w:rPr>
            </w:pPr>
          </w:p>
        </w:tc>
        <w:tc>
          <w:tcPr>
            <w:tcW w:w="12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60" w:type="dxa"/>
            <w:vAlign w:val="bottom"/>
          </w:tcPr>
          <w:p>
            <w:pPr>
              <w:spacing w:after="0"/>
              <w:rPr>
                <w:sz w:val="13"/>
                <w:szCs w:val="13"/>
                <w:color w:val="auto"/>
              </w:rPr>
            </w:pPr>
          </w:p>
        </w:tc>
        <w:tc>
          <w:tcPr>
            <w:tcW w:w="980" w:type="dxa"/>
            <w:vAlign w:val="bottom"/>
          </w:tcPr>
          <w:p>
            <w:pPr>
              <w:jc w:val="center"/>
              <w:ind w:right="78"/>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Times New Roman" w:cs="Times New Roman" w:eastAsia="Times New Roman" w:hAnsi="Times New Roman"/>
          <w:sz w:val="18"/>
          <w:szCs w:val="18"/>
          <w:color w:val="000000"/>
        </w:rPr>
        <w:t>Company, measures the sensitivity of the portfolio to potential changes in market prices using VaR, a statistical model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which attempts to predict risk of loss based on market price and volatility. NRG's risk management policy places a limit on one-day holding period VaR, which limits the net open position.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440"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See Item — 1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1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that occurred in the first quarter of 2017 that materially affected, or are reasonably likely to materially affect, the Company’s internal control over financial reporting.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17"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3"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March 31, 2017, see Note 10,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 to this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2016 Form 10-K. There have been no material changes in the Company's risk factors since those reported in its 2016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Item 2 has been omitted from this report for the Registrants pursuant to the reduced disclosure format permitted by General Instruction H(2) to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Item 3 has been omitted from this report for the Registrants pursuant to the reduced disclosure format permitted by General Instruction H(2) to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17"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ectPr>
          <w:pgSz w:w="11900" w:h="16838" w:orient="portrait"/>
          <w:cols w:equalWidth="0" w:num="1">
            <w:col w:w="11400"/>
          </w:cols>
          <w:pgMar w:left="240" w:top="1117" w:right="259" w:bottom="1440" w:gutter="0" w:footer="0" w:header="0"/>
        </w:sectPr>
      </w:pPr>
    </w:p>
    <w:p>
      <w:pPr>
        <w:spacing w:after="0" w:line="353"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75"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NRG Yield, Inc. Annual Incentive Plan for Designated Corporate Officers.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7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to Exhibit 10.29 of NRG Yield, Inc.'s Annual Report on Form 10-K filed on February 28, 2017.</w:t>
      </w:r>
    </w:p>
    <w:p>
      <w:pPr>
        <w:spacing w:after="0" w:line="16" w:lineRule="exact"/>
        <w:rPr>
          <w:sz w:val="20"/>
          <w:szCs w:val="20"/>
          <w:color w:val="auto"/>
        </w:rPr>
      </w:pPr>
    </w:p>
    <w:p>
      <w:pPr>
        <w:sectPr>
          <w:pgSz w:w="11900" w:h="16838" w:orient="portrait"/>
          <w:cols w:equalWidth="0" w:num="2">
            <w:col w:w="6400" w:space="720"/>
            <w:col w:w="4280"/>
          </w:cols>
          <w:pgMar w:left="240" w:top="1117" w:right="25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31.1</w:t>
            </w:r>
          </w:p>
        </w:tc>
        <w:tc>
          <w:tcPr>
            <w:tcW w:w="540" w:type="dxa"/>
            <w:vAlign w:val="bottom"/>
          </w:tcPr>
          <w:p>
            <w:pPr>
              <w:spacing w:after="0"/>
              <w:rPr>
                <w:sz w:val="18"/>
                <w:szCs w:val="18"/>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Rule 13a-14(a)/15d-14(a) certification of Christopher S. Sotos.</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31.2</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Rule 13a-14(a)/15d-14(a) certification of Chad Plotkin.</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31.3</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Rule 13a-14(a)/15d-14(a) certification of David Callen.</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540" w:type="dxa"/>
            <w:vAlign w:val="bottom"/>
          </w:tcPr>
          <w:p>
            <w:pPr>
              <w:spacing w:after="0"/>
              <w:rPr>
                <w:sz w:val="23"/>
                <w:szCs w:val="23"/>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Section 1350 Certification.</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98"/>
              </w:rPr>
              <w:t>Furnished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INS</w:t>
            </w: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Instance Document.</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SCH</w:t>
            </w: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CAL</w:t>
            </w: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DEF</w:t>
            </w: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LAB</w:t>
            </w: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PRE</w:t>
            </w:r>
          </w:p>
        </w:tc>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22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Filed herewith.</w:t>
            </w:r>
          </w:p>
        </w:tc>
      </w:tr>
    </w:tbl>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exhibits that constitute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17" w:right="25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NRG YIELD LLC</w:t>
            </w:r>
          </w:p>
        </w:tc>
      </w:tr>
      <w:tr>
        <w:trPr>
          <w:trHeight w:val="234"/>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r>
      <w:tr>
        <w:trPr>
          <w:trHeight w:val="567"/>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Christopher S. Sotos</w:t>
            </w:r>
          </w:p>
        </w:tc>
      </w:tr>
      <w:tr>
        <w:trPr>
          <w:trHeight w:val="250"/>
        </w:trPr>
        <w:tc>
          <w:tcPr>
            <w:tcW w:w="3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CHAD PLOTKIN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Chad Plotkin</w:t>
            </w:r>
          </w:p>
        </w:tc>
      </w:tr>
      <w:tr>
        <w:trPr>
          <w:trHeight w:val="250"/>
        </w:trPr>
        <w:tc>
          <w:tcPr>
            <w:tcW w:w="3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CALLEN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Callen</w:t>
            </w:r>
          </w:p>
        </w:tc>
      </w:tr>
      <w:tr>
        <w:trPr>
          <w:trHeight w:val="250"/>
        </w:trPr>
        <w:tc>
          <w:tcPr>
            <w:tcW w:w="3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2017</w:t>
            </w: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972"/>
        </w:trPr>
        <w:tc>
          <w:tcPr>
            <w:tcW w:w="3460" w:type="dxa"/>
            <w:vAlign w:val="bottom"/>
          </w:tcPr>
          <w:p>
            <w:pPr>
              <w:spacing w:after="0"/>
              <w:rPr>
                <w:sz w:val="24"/>
                <w:szCs w:val="24"/>
                <w:color w:val="auto"/>
              </w:rPr>
            </w:pPr>
          </w:p>
        </w:tc>
        <w:tc>
          <w:tcPr>
            <w:tcW w:w="3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52</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1117" w:right="239" w:bottom="1440" w:gutter="0" w:footer="0" w:header="0"/>
        </w:sectPr>
      </w:pPr>
    </w:p>
    <w:bookmarkStart w:id="53" w:name="page54"/>
    <w:bookmarkEnd w:id="53"/>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Yield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1929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ectPr>
          <w:pgSz w:w="11900" w:h="16838" w:orient="portrait"/>
          <w:cols w:equalWidth="0" w:num="1">
            <w:col w:w="11420"/>
          </w:cols>
          <w:pgMar w:left="240" w:top="657" w:right="239" w:bottom="1440" w:gutter="0" w:footer="0" w:header="0"/>
        </w:sectPr>
      </w:pPr>
    </w:p>
    <w:bookmarkStart w:id="54" w:name="page55"/>
    <w:bookmarkEnd w:id="54"/>
    <w:p>
      <w:pPr>
        <w:ind w:left="102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Yield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34290</wp:posOffset>
            </wp:positionV>
            <wp:extent cx="16205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Chad Plotkin</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ectPr>
          <w:pgSz w:w="11900" w:h="16838" w:orient="portrait"/>
          <w:cols w:equalWidth="0" w:num="1">
            <w:col w:w="11420"/>
          </w:cols>
          <w:pgMar w:left="240" w:top="657" w:right="239" w:bottom="1440" w:gutter="0" w:footer="0" w:header="0"/>
        </w:sectPr>
      </w:pPr>
    </w:p>
    <w:bookmarkStart w:id="55" w:name="page56"/>
    <w:bookmarkEnd w:id="55"/>
    <w:p>
      <w:pPr>
        <w:ind w:left="1028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Yield LLC;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34290</wp:posOffset>
            </wp:positionV>
            <wp:extent cx="18440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David Callen</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NRG Yield LLC on Form 10-Q for the quarter ended March 31, 2017,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2017</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Chad Plotkin</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8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David Callen</w:t>
      </w:r>
    </w:p>
    <w:p>
      <w:pPr>
        <w:spacing w:after="0" w:line="6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decimal"/>
      <w:start w:val="18"/>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2019-12-29T05:57:22Z</dcterms:created>
  <dcterms:modified xsi:type="dcterms:W3CDTF">2019-12-29T05:57:22Z</dcterms:modified>
</cp:coreProperties>
</file>