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3, 2015</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NRG YIELD LLC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44" w:right="3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40"/>
          </w:cols>
          <w:pgMar w:left="240" w:top="544" w:right="3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211 Carnegie Center, Princeton, New Jersey 08540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00"/>
          </w:cols>
          <w:pgMar w:left="240" w:top="544" w:right="359" w:bottom="0" w:gutter="0" w:footer="0" w:header="0"/>
          <w:type w:val="continuous"/>
        </w:sectPr>
      </w:pP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4"/>
          <w:szCs w:val="24"/>
          <w:color w:val="auto"/>
        </w:rPr>
      </w:pPr>
    </w:p>
    <w:p>
      <w:pPr>
        <w:ind w:right="200" w:firstLine="648"/>
        <w:spacing w:after="0" w:line="279" w:lineRule="auto"/>
        <w:rPr>
          <w:sz w:val="20"/>
          <w:szCs w:val="20"/>
          <w:color w:val="auto"/>
        </w:rPr>
      </w:pPr>
      <w:r>
        <w:rPr>
          <w:rFonts w:ascii="Arial" w:cs="Arial" w:eastAsia="Arial" w:hAnsi="Arial"/>
          <w:sz w:val="17"/>
          <w:szCs w:val="17"/>
          <w:color w:val="auto"/>
        </w:rPr>
        <w:t>On November 3, 2015, NRG Yield Operating LLC (the “</w:t>
      </w:r>
      <w:r>
        <w:rPr>
          <w:rFonts w:ascii="Arial" w:cs="Arial" w:eastAsia="Arial" w:hAnsi="Arial"/>
          <w:sz w:val="17"/>
          <w:szCs w:val="17"/>
          <w:u w:val="single" w:color="auto"/>
          <w:color w:val="auto"/>
        </w:rPr>
        <w:t>Purchaser</w:t>
      </w:r>
      <w:r>
        <w:rPr>
          <w:rFonts w:ascii="Arial" w:cs="Arial" w:eastAsia="Arial" w:hAnsi="Arial"/>
          <w:sz w:val="17"/>
          <w:szCs w:val="17"/>
          <w:color w:val="auto"/>
        </w:rPr>
        <w:t>”), a subsidiary of NRG Yield LLC (“</w:t>
      </w:r>
      <w:r>
        <w:rPr>
          <w:rFonts w:ascii="Arial" w:cs="Arial" w:eastAsia="Arial" w:hAnsi="Arial"/>
          <w:sz w:val="17"/>
          <w:szCs w:val="17"/>
          <w:u w:val="single" w:color="auto"/>
          <w:color w:val="auto"/>
        </w:rPr>
        <w:t>Yield LLC</w:t>
      </w:r>
      <w:r>
        <w:rPr>
          <w:rFonts w:ascii="Arial" w:cs="Arial" w:eastAsia="Arial" w:hAnsi="Arial"/>
          <w:sz w:val="17"/>
          <w:szCs w:val="17"/>
          <w:color w:val="auto"/>
        </w:rPr>
        <w:t>”), completed its previously announced acquisition of 75% of the Class B Interests of NRG Wind TE Holdco LLC, which owns a portfolio of 12 wind facilities totaling 814 net megawatts (the “</w:t>
      </w:r>
      <w:r>
        <w:rPr>
          <w:rFonts w:ascii="Arial" w:cs="Arial" w:eastAsia="Arial" w:hAnsi="Arial"/>
          <w:sz w:val="17"/>
          <w:szCs w:val="17"/>
          <w:u w:val="single" w:color="auto"/>
          <w:color w:val="auto"/>
        </w:rPr>
        <w:t>Drop-Down Assets</w:t>
      </w:r>
      <w:r>
        <w:rPr>
          <w:rFonts w:ascii="Arial" w:cs="Arial" w:eastAsia="Arial" w:hAnsi="Arial"/>
          <w:sz w:val="17"/>
          <w:szCs w:val="17"/>
          <w:color w:val="auto"/>
        </w:rPr>
        <w:t>”), from NRG Energy Gas &amp; Wind Holdings, Inc. (the “</w:t>
      </w:r>
      <w:r>
        <w:rPr>
          <w:rFonts w:ascii="Arial" w:cs="Arial" w:eastAsia="Arial" w:hAnsi="Arial"/>
          <w:sz w:val="17"/>
          <w:szCs w:val="17"/>
          <w:u w:val="single" w:color="auto"/>
          <w:color w:val="auto"/>
        </w:rPr>
        <w:t>Seller</w:t>
      </w:r>
      <w:r>
        <w:rPr>
          <w:rFonts w:ascii="Arial" w:cs="Arial" w:eastAsia="Arial" w:hAnsi="Arial"/>
          <w:sz w:val="17"/>
          <w:szCs w:val="17"/>
          <w:color w:val="auto"/>
        </w:rPr>
        <w:t>”), a wholly-owned subsidiary of NRG Energy, Inc. (the “</w:t>
      </w:r>
      <w:r>
        <w:rPr>
          <w:rFonts w:ascii="Arial" w:cs="Arial" w:eastAsia="Arial" w:hAnsi="Arial"/>
          <w:sz w:val="17"/>
          <w:szCs w:val="17"/>
          <w:u w:val="single" w:color="auto"/>
          <w:color w:val="auto"/>
        </w:rPr>
        <w:t>Drop-Down Transaction</w:t>
      </w:r>
      <w:r>
        <w:rPr>
          <w:rFonts w:ascii="Arial" w:cs="Arial" w:eastAsia="Arial" w:hAnsi="Arial"/>
          <w:sz w:val="17"/>
          <w:szCs w:val="17"/>
          <w:color w:val="auto"/>
        </w:rPr>
        <w:t>”), pursuant to the purchase and sale agreement (the “</w:t>
      </w:r>
      <w:r>
        <w:rPr>
          <w:rFonts w:ascii="Arial" w:cs="Arial" w:eastAsia="Arial" w:hAnsi="Arial"/>
          <w:sz w:val="17"/>
          <w:szCs w:val="17"/>
          <w:u w:val="single" w:color="auto"/>
          <w:color w:val="auto"/>
        </w:rPr>
        <w:t>Purchase and Sale Agreement</w:t>
      </w:r>
      <w:r>
        <w:rPr>
          <w:rFonts w:ascii="Arial" w:cs="Arial" w:eastAsia="Arial" w:hAnsi="Arial"/>
          <w:sz w:val="17"/>
          <w:szCs w:val="17"/>
          <w:color w:val="auto"/>
        </w:rPr>
        <w:t>”) with the Seller.</w:t>
      </w:r>
    </w:p>
    <w:p>
      <w:pPr>
        <w:spacing w:after="0" w:line="171" w:lineRule="exact"/>
        <w:rPr>
          <w:sz w:val="24"/>
          <w:szCs w:val="24"/>
          <w:color w:val="auto"/>
        </w:rPr>
      </w:pPr>
    </w:p>
    <w:p>
      <w:pPr>
        <w:ind w:right="60" w:firstLine="648"/>
        <w:spacing w:after="0" w:line="259" w:lineRule="auto"/>
        <w:rPr>
          <w:sz w:val="20"/>
          <w:szCs w:val="20"/>
          <w:color w:val="auto"/>
        </w:rPr>
      </w:pPr>
      <w:r>
        <w:rPr>
          <w:rFonts w:ascii="Arial" w:cs="Arial" w:eastAsia="Arial" w:hAnsi="Arial"/>
          <w:sz w:val="18"/>
          <w:szCs w:val="18"/>
          <w:color w:val="auto"/>
        </w:rPr>
        <w:t>In exchange for the Drop-Down Assets, the Purchaser paid a total purchase price of $210 million, excluding adjustments for working capital. The Purchaser will be responsible for its pro-rata share of non-recourse project debt of $193 million and noncontrolling interest associated with a tax equity structure of $165 million (as of September 30, 2015). The cash purchase price was funded with cash on hand and drawings under the Purchaser’s revolving credit facility.</w:t>
      </w:r>
    </w:p>
    <w:p>
      <w:pPr>
        <w:spacing w:after="0" w:line="187"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color w:val="auto"/>
        </w:rPr>
        <w:t>The foregoing description of the Purchase and Sale Agreement is not complete and is qualified in its entirety by reference to the full text of the Purchase and Sale Agreement, a copy of which is filed as Exhibit 2.1 to the Current Report on Form 8-K of NRG Yield, Inc. (“</w:t>
      </w:r>
      <w:r>
        <w:rPr>
          <w:rFonts w:ascii="Arial" w:cs="Arial" w:eastAsia="Arial" w:hAnsi="Arial"/>
          <w:sz w:val="18"/>
          <w:szCs w:val="18"/>
          <w:u w:val="single" w:color="auto"/>
          <w:color w:val="auto"/>
        </w:rPr>
        <w:t>NRG Yield</w:t>
      </w:r>
      <w:r>
        <w:rPr>
          <w:rFonts w:ascii="Arial" w:cs="Arial" w:eastAsia="Arial" w:hAnsi="Arial"/>
          <w:sz w:val="18"/>
          <w:szCs w:val="18"/>
          <w:color w:val="auto"/>
        </w:rPr>
        <w:t>”), filed with the Securities and Exchange Commission on September 21, 2015 and is incorporated herein by reference.</w:t>
      </w:r>
    </w:p>
    <w:p>
      <w:pPr>
        <w:spacing w:after="0" w:line="181" w:lineRule="exact"/>
        <w:rPr>
          <w:sz w:val="24"/>
          <w:szCs w:val="24"/>
          <w:color w:val="auto"/>
        </w:rPr>
      </w:pPr>
    </w:p>
    <w:p>
      <w:pPr>
        <w:ind w:right="80" w:firstLine="648"/>
        <w:spacing w:after="0" w:line="259" w:lineRule="auto"/>
        <w:rPr>
          <w:sz w:val="20"/>
          <w:szCs w:val="20"/>
          <w:color w:val="auto"/>
        </w:rPr>
      </w:pPr>
      <w:r>
        <w:rPr>
          <w:rFonts w:ascii="Arial" w:cs="Arial" w:eastAsia="Arial" w:hAnsi="Arial"/>
          <w:sz w:val="18"/>
          <w:szCs w:val="18"/>
          <w:color w:val="auto"/>
        </w:rPr>
        <w:t>The terms of the Drop-Down Transaction were unanimously approved by the independent members of the board of directors of NRG Yield, which retained independent legal and financial advisors to assist in evaluating and negotiating the Drop-Down Transaction. In approving the Drop-Down Transaction, the independent members of the board of directors of NRG Yield based their decisions in part on an opinion from their independent financial advisor.</w:t>
      </w:r>
    </w:p>
    <w:p>
      <w:pPr>
        <w:spacing w:after="0" w:line="187" w:lineRule="exact"/>
        <w:rPr>
          <w:sz w:val="24"/>
          <w:szCs w:val="24"/>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NRG Energy, Inc. owns 55.1% of the combined voting power of NRG Yield’s Class A, Class B, Class C and Class D common stock. In addition, NRG Yield depends on management and administration services provided by or under the direction of NRG Energy, Inc. under NRG Yield’s Management Services Agreement.</w:t>
      </w:r>
    </w:p>
    <w:p>
      <w:pPr>
        <w:spacing w:after="0" w:line="177" w:lineRule="exact"/>
        <w:rPr>
          <w:sz w:val="24"/>
          <w:szCs w:val="24"/>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640" w:hanging="591"/>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Exhibit Index attached to this Current Report on Form 8-K is incorporated herein by reference.</w:t>
      </w:r>
    </w:p>
    <w:p>
      <w:pPr>
        <w:sectPr>
          <w:pgSz w:w="11900" w:h="16838" w:orient="portrait"/>
          <w:cols w:equalWidth="0" w:num="1">
            <w:col w:w="11300"/>
          </w:cols>
          <w:pgMar w:left="240" w:top="544" w:right="35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NRG Yield LLC</w:t>
      </w:r>
    </w:p>
    <w:p>
      <w:pPr>
        <w:spacing w:after="0" w:line="229"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tab/>
        <w:t>/s/ Brian E. Curci</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Brian E. Curci</w:t>
            </w:r>
          </w:p>
        </w:tc>
        <w:tc>
          <w:tcPr>
            <w:tcW w:w="40" w:type="dxa"/>
            <w:vAlign w:val="bottom"/>
          </w:tcPr>
          <w:p>
            <w:pPr>
              <w:spacing w:after="0"/>
              <w:rPr>
                <w:sz w:val="16"/>
                <w:szCs w:val="16"/>
                <w:color w:val="auto"/>
              </w:rPr>
            </w:pP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Corporate Secretary</w:t>
            </w:r>
          </w:p>
        </w:tc>
        <w:tc>
          <w:tcPr>
            <w:tcW w:w="40" w:type="dxa"/>
            <w:vAlign w:val="bottom"/>
          </w:tcPr>
          <w:p>
            <w:pPr>
              <w:spacing w:after="0"/>
              <w:rPr>
                <w:sz w:val="20"/>
                <w:szCs w:val="20"/>
                <w:color w:val="auto"/>
              </w:rPr>
            </w:pPr>
          </w:p>
        </w:tc>
      </w:tr>
      <w:tr>
        <w:trPr>
          <w:trHeight w:val="432"/>
        </w:trPr>
        <w:tc>
          <w:tcPr>
            <w:tcW w:w="11420" w:type="dxa"/>
            <w:vAlign w:val="bottom"/>
            <w:gridSpan w:val="4"/>
          </w:tcPr>
          <w:p>
            <w:pPr>
              <w:spacing w:after="0"/>
              <w:rPr>
                <w:sz w:val="20"/>
                <w:szCs w:val="20"/>
                <w:color w:val="auto"/>
              </w:rPr>
            </w:pPr>
            <w:r>
              <w:rPr>
                <w:rFonts w:ascii="Arial" w:cs="Arial" w:eastAsia="Arial" w:hAnsi="Arial"/>
                <w:sz w:val="18"/>
                <w:szCs w:val="18"/>
                <w:color w:val="auto"/>
              </w:rPr>
              <w:t>Dated: November 4, 2015</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4920" w:type="dxa"/>
            <w:vAlign w:val="bottom"/>
            <w:gridSpan w:val="2"/>
          </w:tcPr>
          <w:p>
            <w:pPr>
              <w:jc w:val="center"/>
              <w:ind w:left="4090"/>
              <w:spacing w:after="0"/>
              <w:rPr>
                <w:sz w:val="20"/>
                <w:szCs w:val="20"/>
                <w:color w:val="auto"/>
              </w:rPr>
            </w:pPr>
            <w:r>
              <w:rPr>
                <w:rFonts w:ascii="Arial" w:cs="Arial" w:eastAsia="Arial" w:hAnsi="Arial"/>
                <w:sz w:val="18"/>
                <w:szCs w:val="18"/>
                <w:color w:val="auto"/>
                <w:w w:val="99"/>
              </w:rPr>
              <w:t>3</w:t>
            </w: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2"/>
          </w:tcPr>
          <w:p>
            <w:pPr>
              <w:jc w:val="center"/>
              <w:ind w:right="1396"/>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24"/>
                <w:szCs w:val="24"/>
                <w:color w:val="auto"/>
              </w:rPr>
            </w:pPr>
          </w:p>
        </w:tc>
      </w:tr>
      <w:tr>
        <w:trPr>
          <w:trHeight w:val="411"/>
        </w:trPr>
        <w:tc>
          <w:tcPr>
            <w:tcW w:w="1160" w:type="dxa"/>
            <w:vAlign w:val="bottom"/>
          </w:tcPr>
          <w:p>
            <w:pPr>
              <w:jc w:val="right"/>
              <w:ind w:right="376"/>
              <w:spacing w:after="0"/>
              <w:rPr>
                <w:sz w:val="20"/>
                <w:szCs w:val="20"/>
                <w:color w:val="auto"/>
              </w:rPr>
            </w:pPr>
            <w:r>
              <w:rPr>
                <w:rFonts w:ascii="Arial" w:cs="Arial" w:eastAsia="Arial" w:hAnsi="Arial"/>
                <w:sz w:val="18"/>
                <w:szCs w:val="18"/>
                <w:color w:val="auto"/>
              </w:rPr>
              <w:t>2.1</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0"/>
              </w:rPr>
              <w:t>Purchase and Sale Agreement, dated as of September 17, 2015, by and between NRG Energy Gas &amp; Wind Holdings, Inc. and NRG Yield</w:t>
            </w:r>
          </w:p>
        </w:tc>
        <w:tc>
          <w:tcPr>
            <w:tcW w:w="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2"/>
              </w:rPr>
              <w:t>Operating LLC (incorporated herein by reference to Exhibit 2.1 to NRG Yield, Inc.’s Current Report on Form 8-K filed on September 21,</w:t>
            </w: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rPr>
              <w:t>2015)</w:t>
            </w:r>
          </w:p>
        </w:tc>
        <w:tc>
          <w:tcPr>
            <w:tcW w:w="5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4920" w:type="dxa"/>
            <w:vAlign w:val="bottom"/>
            <w:gridSpan w:val="2"/>
          </w:tcPr>
          <w:p>
            <w:pPr>
              <w:jc w:val="center"/>
              <w:ind w:left="4090"/>
              <w:spacing w:after="0"/>
              <w:rPr>
                <w:sz w:val="20"/>
                <w:szCs w:val="20"/>
                <w:color w:val="auto"/>
              </w:rPr>
            </w:pPr>
            <w:r>
              <w:rPr>
                <w:rFonts w:ascii="Arial" w:cs="Arial" w:eastAsia="Arial" w:hAnsi="Arial"/>
                <w:sz w:val="18"/>
                <w:szCs w:val="18"/>
                <w:color w:val="auto"/>
                <w:w w:val="99"/>
              </w:rPr>
              <w:t>4</w:t>
            </w: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5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-1684655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-1684655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2019-12-09T06:20:56Z</dcterms:created>
  <dcterms:modified xsi:type="dcterms:W3CDTF">2019-12-09T06:20:56Z</dcterms:modified>
</cp:coreProperties>
</file>