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7047230" cy="6175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175375"/>
                    </a:xfrm>
                    <a:prstGeom prst="rect">
                      <a:avLst/>
                    </a:prstGeom>
                    <a:noFill/>
                  </pic:spPr>
                </pic:pic>
              </a:graphicData>
            </a:graphic>
          </wp:anchor>
        </w:drawing>
      </w:r>
    </w:p>
    <w:p>
      <w:pPr>
        <w:spacing w:after="0" w:line="1212" w:lineRule="exact"/>
        <w:rPr>
          <w:sz w:val="24"/>
          <w:szCs w:val="24"/>
          <w:color w:val="auto"/>
        </w:rPr>
      </w:pPr>
    </w:p>
    <w:p>
      <w:pPr>
        <w:sectPr>
          <w:pgSz w:w="11900" w:h="16897"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Cornelius Craig</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Clearway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05" w:lineRule="exact"/>
        <w:rPr>
          <w:sz w:val="24"/>
          <w:szCs w:val="24"/>
          <w:color w:val="auto"/>
        </w:rPr>
      </w:pPr>
    </w:p>
    <w:p>
      <w:pPr>
        <w:sectPr>
          <w:pgSz w:w="11900" w:h="16897" w:orient="portrait"/>
          <w:cols w:equalWidth="0" w:num="3">
            <w:col w:w="3180" w:space="720"/>
            <w:col w:w="3100" w:space="720"/>
            <w:col w:w="3360"/>
          </w:cols>
          <w:pgMar w:left="460" w:top="216" w:right="359" w:bottom="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PRINCETON</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08540</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97" w:orient="portrait"/>
          <w:cols w:equalWidth="0" w:num="2">
            <w:col w:w="3740" w:space="16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200" w:type="dxa"/>
            <w:vAlign w:val="bottom"/>
            <w:gridSpan w:val="2"/>
          </w:tcPr>
          <w:p>
            <w:pPr>
              <w:ind w:left="18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2"/>
          </w:tcPr>
          <w:p>
            <w:pPr>
              <w:ind w:left="1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2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0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7"/>
                <w:szCs w:val="17"/>
                <w:color w:val="0000FF"/>
              </w:rPr>
              <w:t>04/15/2026</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5,547</w:t>
            </w:r>
          </w:p>
        </w:tc>
        <w:tc>
          <w:tcPr>
            <w:tcW w:w="80" w:type="dxa"/>
            <w:vAlign w:val="bottom"/>
          </w:tcPr>
          <w:p>
            <w:pPr>
              <w:spacing w:after="0"/>
              <w:rPr>
                <w:sz w:val="21"/>
                <w:szCs w:val="21"/>
                <w:color w:val="auto"/>
              </w:rPr>
            </w:pPr>
          </w:p>
        </w:tc>
        <w:tc>
          <w:tcPr>
            <w:tcW w:w="58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1"/>
                <w:szCs w:val="21"/>
                <w:color w:val="auto"/>
              </w:rPr>
            </w:pPr>
          </w:p>
        </w:tc>
        <w:tc>
          <w:tcPr>
            <w:tcW w:w="12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color w:val="0000FF"/>
              </w:rPr>
              <w:t>330,818</w:t>
            </w:r>
            <w:r>
              <w:rPr>
                <w:rFonts w:ascii="Times New Roman" w:cs="Times New Roman" w:eastAsia="Times New Roman" w:hAnsi="Times New Roman"/>
                <w:sz w:val="21"/>
                <w:szCs w:val="21"/>
                <w:color w:val="008000"/>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120" w:type="dxa"/>
            <w:vAlign w:val="bottom"/>
            <w:tcBorders>
              <w:bottom w:val="single" w:sz="8" w:color="2C2C2C"/>
            </w:tcBorders>
            <w:gridSpan w:val="4"/>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0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7"/>
                <w:szCs w:val="17"/>
                <w:color w:val="0000FF"/>
              </w:rPr>
              <w:t>04/15/2026</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31,040</w:t>
            </w:r>
            <w:r>
              <w:rPr>
                <w:rFonts w:ascii="Times New Roman" w:cs="Times New Roman" w:eastAsia="Times New Roman" w:hAnsi="Times New Roman"/>
                <w:sz w:val="21"/>
                <w:szCs w:val="21"/>
                <w:color w:val="008000"/>
                <w:vertAlign w:val="superscript"/>
              </w:rPr>
              <w:t>(3)</w:t>
            </w:r>
          </w:p>
        </w:tc>
        <w:tc>
          <w:tcPr>
            <w:tcW w:w="58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0" w:type="dxa"/>
            <w:vAlign w:val="bottom"/>
          </w:tcPr>
          <w:p>
            <w:pPr>
              <w:spacing w:after="0"/>
              <w:rPr>
                <w:sz w:val="21"/>
                <w:szCs w:val="21"/>
                <w:color w:val="auto"/>
              </w:rPr>
            </w:pPr>
          </w:p>
        </w:tc>
        <w:tc>
          <w:tcPr>
            <w:tcW w:w="12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color w:val="0000FF"/>
              </w:rPr>
              <w:t>361,858</w:t>
            </w:r>
            <w:r>
              <w:rPr>
                <w:rFonts w:ascii="Times New Roman" w:cs="Times New Roman" w:eastAsia="Times New Roman" w:hAnsi="Times New Roman"/>
                <w:sz w:val="21"/>
                <w:szCs w:val="21"/>
                <w:color w:val="008000"/>
                <w:vertAlign w:val="superscript"/>
              </w:rPr>
              <w:t>(5)</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8"/>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6"/>
          </w:tcPr>
          <w:p>
            <w:pPr>
              <w:jc w:val="center"/>
              <w:ind w:left="716"/>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20" w:type="dxa"/>
            <w:vAlign w:val="bottom"/>
            <w:gridSpan w:val="12"/>
          </w:tcPr>
          <w:p>
            <w:pPr>
              <w:jc w:val="center"/>
              <w:ind w:right="10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8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1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jc w:val="center"/>
              <w:ind w:right="114"/>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46,644</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180"/>
              <w:spacing w:after="0" w:line="219" w:lineRule="exact"/>
              <w:rPr>
                <w:sz w:val="20"/>
                <w:szCs w:val="20"/>
                <w:color w:val="auto"/>
              </w:rPr>
            </w:pPr>
            <w:r>
              <w:rPr>
                <w:rFonts w:ascii="Times New Roman" w:cs="Times New Roman" w:eastAsia="Times New Roman" w:hAnsi="Times New Roman"/>
                <w:sz w:val="13"/>
                <w:szCs w:val="13"/>
                <w:color w:val="0000FF"/>
              </w:rPr>
              <w:t>31,096</w:t>
            </w:r>
            <w:r>
              <w:rPr>
                <w:rFonts w:ascii="Times New Roman" w:cs="Times New Roman" w:eastAsia="Times New Roman" w:hAnsi="Times New Roman"/>
                <w:sz w:val="21"/>
                <w:szCs w:val="21"/>
                <w:color w:val="008000"/>
                <w:vertAlign w:val="superscript"/>
              </w:rPr>
              <w:t>(7)</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continue"/>
          </w:tcPr>
          <w:p>
            <w:pPr>
              <w:spacing w:after="0"/>
              <w:rPr>
                <w:sz w:val="6"/>
                <w:szCs w:val="6"/>
                <w:color w:val="auto"/>
              </w:rPr>
            </w:pPr>
          </w:p>
        </w:tc>
        <w:tc>
          <w:tcPr>
            <w:tcW w:w="106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rPr>
              <w:t>04/15/2026</w:t>
            </w: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31,096</w:t>
            </w:r>
          </w:p>
        </w:tc>
        <w:tc>
          <w:tcPr>
            <w:tcW w:w="300" w:type="dxa"/>
            <w:vAlign w:val="bottom"/>
          </w:tcPr>
          <w:p>
            <w:pPr>
              <w:spacing w:after="0"/>
              <w:rPr>
                <w:sz w:val="6"/>
                <w:szCs w:val="6"/>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04/15/2029</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04/15/2029</w:t>
            </w:r>
          </w:p>
        </w:tc>
        <w:tc>
          <w:tcPr>
            <w:tcW w:w="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gridSpan w:val="2"/>
          </w:tcPr>
          <w:p>
            <w:pPr>
              <w:ind w:left="60"/>
              <w:spacing w:after="0" w:line="78" w:lineRule="exact"/>
              <w:rPr>
                <w:sz w:val="20"/>
                <w:szCs w:val="20"/>
                <w:color w:val="auto"/>
              </w:rPr>
            </w:pPr>
            <w:r>
              <w:rPr>
                <w:rFonts w:ascii="Times New Roman" w:cs="Times New Roman" w:eastAsia="Times New Roman" w:hAnsi="Times New Roman"/>
                <w:sz w:val="9"/>
                <w:szCs w:val="9"/>
                <w:color w:val="0000FF"/>
              </w:rPr>
              <w:t>par value</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jc w:val="center"/>
              <w:ind w:right="94"/>
              <w:spacing w:after="0"/>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0000FF"/>
                <w:w w:val="94"/>
              </w:rPr>
              <w:t>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6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rPr>
              <w:t>04/15/2026</w:t>
            </w: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31,040</w:t>
            </w:r>
          </w:p>
        </w:tc>
        <w:tc>
          <w:tcPr>
            <w:tcW w:w="30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04/15/2029</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04/15/2029</w:t>
            </w:r>
          </w:p>
        </w:tc>
        <w:tc>
          <w:tcPr>
            <w:tcW w:w="80" w:type="dxa"/>
            <w:vAlign w:val="bottom"/>
          </w:tcPr>
          <w:p>
            <w:pPr>
              <w:spacing w:after="0"/>
              <w:rPr>
                <w:sz w:val="12"/>
                <w:szCs w:val="12"/>
                <w:color w:val="auto"/>
              </w:rPr>
            </w:pPr>
          </w:p>
        </w:tc>
        <w:tc>
          <w:tcPr>
            <w:tcW w:w="580" w:type="dxa"/>
            <w:vAlign w:val="bottom"/>
          </w:tcPr>
          <w:p>
            <w:pPr>
              <w:jc w:val="center"/>
              <w:ind w:right="114"/>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62,080</w:t>
            </w:r>
          </w:p>
        </w:tc>
        <w:tc>
          <w:tcPr>
            <w:tcW w:w="60" w:type="dxa"/>
            <w:vAlign w:val="bottom"/>
          </w:tcPr>
          <w:p>
            <w:pPr>
              <w:spacing w:after="0"/>
              <w:rPr>
                <w:sz w:val="12"/>
                <w:szCs w:val="12"/>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31,040</w:t>
            </w:r>
            <w:r>
              <w:rPr>
                <w:rFonts w:ascii="Times New Roman" w:cs="Times New Roman" w:eastAsia="Times New Roman" w:hAnsi="Times New Roman"/>
                <w:sz w:val="21"/>
                <w:szCs w:val="21"/>
                <w:color w:val="008000"/>
                <w:vertAlign w:val="superscript"/>
              </w:rPr>
              <w:t>(9)</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center"/>
        <w:ind w:left="3220"/>
        <w:spacing w:after="0" w:line="225" w:lineRule="auto"/>
        <w:rPr>
          <w:sz w:val="20"/>
          <w:szCs w:val="20"/>
          <w:color w:val="auto"/>
        </w:rPr>
      </w:pPr>
      <w:r>
        <w:rPr>
          <w:rFonts w:ascii="Times New Roman" w:cs="Times New Roman" w:eastAsia="Times New Roman" w:hAnsi="Times New Roman"/>
          <w:sz w:val="13"/>
          <w:szCs w:val="13"/>
          <w:color w:val="0000FF"/>
        </w:rPr>
        <w:t>$.01 per</w:t>
      </w:r>
    </w:p>
    <w:p>
      <w:pPr>
        <w:jc w:val="center"/>
        <w:ind w:left="3220"/>
        <w:spacing w:after="0"/>
        <w:rPr>
          <w:sz w:val="20"/>
          <w:szCs w:val="20"/>
          <w:color w:val="auto"/>
        </w:rPr>
      </w:pPr>
      <w:r>
        <w:rPr>
          <w:rFonts w:ascii="Times New Roman" w:cs="Times New Roman" w:eastAsia="Times New Roman" w:hAnsi="Times New Roman"/>
          <w:sz w:val="13"/>
          <w:szCs w:val="13"/>
          <w:color w:val="0000FF"/>
        </w:rPr>
        <w:t>share</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00" w:firstLine="1"/>
        <w:spacing w:after="0" w:line="235"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2025, Mr. Cornelius was issued 31,218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2026, 10,406 shares vested. Mr. Cornelius elected to satisfy his tax obligation upon the exchange of common stock for RSUs having a value on the date of the exchange equal to the withholding obligation. This form reflects the surrender of 5,547 shares of Class C Common Stock to satisfy the grantee's tax withholding obligation.</w:t>
      </w:r>
    </w:p>
    <w:p>
      <w:pPr>
        <w:spacing w:after="0" w:line="27" w:lineRule="exact"/>
        <w:rPr>
          <w:rFonts w:ascii="Times New Roman" w:cs="Times New Roman" w:eastAsia="Times New Roman" w:hAnsi="Times New Roman"/>
          <w:sz w:val="13"/>
          <w:szCs w:val="13"/>
          <w:color w:val="008000"/>
        </w:rPr>
      </w:pPr>
    </w:p>
    <w:p>
      <w:pPr>
        <w:ind w:left="40" w:right="20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583 DERs converted to Class C Common Stock, resulting in the reporting person holding 15,154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6" w:lineRule="exact"/>
        <w:rPr>
          <w:rFonts w:ascii="Times New Roman" w:cs="Times New Roman" w:eastAsia="Times New Roman" w:hAnsi="Times New Roman"/>
          <w:sz w:val="13"/>
          <w:szCs w:val="13"/>
          <w:color w:val="008000"/>
        </w:rPr>
      </w:pPr>
    </w:p>
    <w:p>
      <w:pPr>
        <w:ind w:left="40" w:right="40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Unites ("RSUs") issued to Mr. Cornelius by Clearway Energy, Inc. (f/k/a NRG Yield, Inc.) under Clearway Energy Inc.'s Amended and Restated 2013 Equity Incentive Plan (the "LTIP").</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equivalent in value to one share of Clearway Energy, Inc.'s Class C Common Stock, par value $.01 per share.</w:t>
      </w:r>
    </w:p>
    <w:p>
      <w:pPr>
        <w:spacing w:after="0" w:line="42" w:lineRule="exact"/>
        <w:rPr>
          <w:rFonts w:ascii="Times New Roman" w:cs="Times New Roman" w:eastAsia="Times New Roman" w:hAnsi="Times New Roman"/>
          <w:sz w:val="13"/>
          <w:szCs w:val="13"/>
          <w:color w:val="008000"/>
        </w:rPr>
      </w:pPr>
    </w:p>
    <w:p>
      <w:pPr>
        <w:ind w:left="40" w:right="38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19" w:lineRule="exact"/>
        <w:rPr>
          <w:rFonts w:ascii="Times New Roman" w:cs="Times New Roman" w:eastAsia="Times New Roman" w:hAnsi="Times New Roman"/>
          <w:sz w:val="13"/>
          <w:szCs w:val="13"/>
          <w:color w:val="008000"/>
        </w:rPr>
      </w:pPr>
    </w:p>
    <w:p>
      <w:pPr>
        <w:ind w:left="40" w:right="360" w:firstLine="1"/>
        <w:spacing w:after="0" w:line="268"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issued 31,096.00 Relative Performance Stock Units ("RPSUs") by Clearway Energy, Inc. under the LTIP on April 15, 2026. The RPSUs will convert to shares of Clearway Energy, Inc. Class C Common Stock on April 15, 2029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10" w:lineRule="exact"/>
        <w:rPr>
          <w:rFonts w:ascii="Times New Roman" w:cs="Times New Roman" w:eastAsia="Times New Roman" w:hAnsi="Times New Roman"/>
          <w:sz w:val="12"/>
          <w:szCs w:val="12"/>
          <w:color w:val="008000"/>
        </w:rPr>
      </w:pPr>
    </w:p>
    <w:p>
      <w:pPr>
        <w:ind w:left="40" w:right="280" w:firstLine="1"/>
        <w:spacing w:after="0" w:line="23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46,644 shares of Class C Common Stock if Company's TSR is ranked at or above the 75th percentile relative to a peer group of companies approved by the Company's Compensation Committee (the "Peer Group") for the performance period ("Maximum"); (ii) 31,096 shares of Class C Common Stock if Company's TSR is ranked at the 50th percentile relative to the Peer Group for the performance period (the "Target"); or (iii) 7,774 shares of Common Stock if Company's TSR is ranked at the 25th percentile relative to the Peer Group for the performance period (the "Threshold"). However, if the Company's absolute TSR for the performance period is less than zero percent (0%), the Reporting Person will receive no more than 31,096 shares of Class C Common Stock. The Reporting Person will not receive any shares of Common Stock if Company's TSR is below the 25th percentile.</w:t>
      </w:r>
    </w:p>
    <w:p>
      <w:pPr>
        <w:spacing w:after="0" w:line="28" w:lineRule="exact"/>
        <w:rPr>
          <w:rFonts w:ascii="Times New Roman" w:cs="Times New Roman" w:eastAsia="Times New Roman" w:hAnsi="Times New Roman"/>
          <w:sz w:val="13"/>
          <w:szCs w:val="13"/>
          <w:color w:val="008000"/>
        </w:rPr>
      </w:pPr>
    </w:p>
    <w:p>
      <w:pPr>
        <w:ind w:left="40" w:right="180" w:firstLine="1"/>
        <w:spacing w:after="0" w:line="235"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issued 31,040 CAFD (Cash Available For Distribution) Performance Stock Units ("CPSUs") by Clearway Energy, Inc. under the LTIP on April 15, 2026. The CPSUs will convert to shares of Clearway Energy, Inc. Class C Common Stock on April 15, 2029 only in the event the Company has achieved a certain level of average CAFD Per Share over each of the three fiscal years of a three-year performance period. The number of shares of Common Stock that the Reporting Person may receive is interpolated for CAFD Per Share falling between Threshold, Target, and Maximum levels as described below.</w:t>
      </w:r>
    </w:p>
    <w:p>
      <w:pPr>
        <w:sectPr>
          <w:pgSz w:w="11900" w:h="16897" w:orient="portrait"/>
          <w:cols w:equalWidth="0" w:num="1">
            <w:col w:w="11080"/>
          </w:cols>
          <w:pgMar w:left="460" w:top="216" w:right="359" w:bottom="0" w:gutter="0" w:footer="0" w:header="0"/>
          <w:type w:val="continuous"/>
        </w:sectPr>
      </w:pPr>
    </w:p>
    <w:bookmarkStart w:id="1" w:name="page2"/>
    <w:bookmarkEnd w:id="1"/>
    <w:p>
      <w:pPr>
        <w:jc w:val="both"/>
        <w:ind w:firstLine="1"/>
        <w:spacing w:after="0" w:line="239"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62,080 shares of Class C Common Stock if Company's CAFD Per Share is ranked at or above $2.77 for the performance period ("Maximum"); (ii) 31,040 shares of Class C Common Stock if the Company's CAFD Per Share is ranked at $2.65; or (iii) 15,520 shares of Common Stock if Company's CAFD Per Share is ranked at $2.50 (the "Threshold"). The Reporting Person will not receive any shares of Class C Common Stock if the Company's CAFD Per Share is below $2.50.</w:t>
      </w:r>
    </w:p>
    <w:p>
      <w:pPr>
        <w:spacing w:after="0" w:line="3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4"/>
              </w:rPr>
              <w:t>/s/ Kevin P. Malcarney,</w:t>
            </w:r>
          </w:p>
        </w:tc>
        <w:tc>
          <w:tcPr>
            <w:tcW w:w="480" w:type="dxa"/>
            <w:vAlign w:val="bottom"/>
          </w:tcPr>
          <w:p>
            <w:pPr>
              <w:spacing w:after="0"/>
              <w:rPr>
                <w:sz w:val="17"/>
                <w:szCs w:val="17"/>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2"/>
              </w:rPr>
              <w:t>04/17/2026</w:t>
            </w:r>
          </w:p>
        </w:tc>
        <w:tc>
          <w:tcPr>
            <w:tcW w:w="0" w:type="dxa"/>
            <w:vAlign w:val="bottom"/>
          </w:tcPr>
          <w:p>
            <w:pPr>
              <w:spacing w:after="0"/>
              <w:rPr>
                <w:sz w:val="1"/>
                <w:szCs w:val="1"/>
                <w:color w:val="auto"/>
              </w:rPr>
            </w:pPr>
          </w:p>
        </w:tc>
      </w:tr>
      <w:tr>
        <w:trPr>
          <w:trHeight w:val="82"/>
        </w:trPr>
        <w:tc>
          <w:tcPr>
            <w:tcW w:w="11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2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480" w:firstLine="1"/>
        <w:spacing w:after="0" w:line="333"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5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6637"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2026-04-17T16:55:09Z</dcterms:created>
  <dcterms:modified xsi:type="dcterms:W3CDTF">2026-04-17T16:55:09Z</dcterms:modified>
</cp:coreProperties>
</file>