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243205</wp:posOffset>
            </wp:positionH>
            <wp:positionV relativeFrom="page">
              <wp:posOffset>637540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26035"/>
                    </a:xfrm>
                    <a:prstGeom prst="rect">
                      <a:avLst/>
                    </a:prstGeom>
                    <a:noFill/>
                  </pic:spPr>
                </pic:pic>
              </a:graphicData>
            </a:graphic>
          </wp:anchor>
        </w:drawing>
        <w:t>UNITED STATES SECURITIES AND EXCHANGE COMMISSION</w:t>
      </w:r>
    </w:p>
    <w:p>
      <w:pPr>
        <w:spacing w:after="0" w:line="22"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Form 10-K/A</w:t>
      </w:r>
    </w:p>
    <w:p>
      <w:pPr>
        <w:spacing w:after="0" w:line="6"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(Amendment No. 1)</w:t>
      </w:r>
    </w:p>
    <w:p>
      <w:pPr>
        <w:spacing w:after="0" w:line="151" w:lineRule="exact"/>
        <w:rPr>
          <w:sz w:val="24"/>
          <w:szCs w:val="24"/>
          <w:color w:val="auto"/>
        </w:rPr>
      </w:pPr>
    </w:p>
    <w:p>
      <w:pPr>
        <w:ind w:left="500" w:right="2140" w:hanging="361"/>
        <w:spacing w:after="0" w:line="282"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ind w:left="500" w:hanging="361"/>
        <w:spacing w:after="0" w:line="184" w:lineRule="auto"/>
        <w:tabs>
          <w:tab w:leader="none" w:pos="5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96" w:lineRule="exact"/>
        <w:rPr>
          <w:sz w:val="24"/>
          <w:szCs w:val="24"/>
          <w:color w:val="auto"/>
        </w:rPr>
      </w:pPr>
    </w:p>
    <w:p>
      <w:pPr>
        <w:ind w:left="500"/>
        <w:spacing w:after="0"/>
        <w:tabs>
          <w:tab w:leader="none" w:pos="3840" w:val="left"/>
          <w:tab w:leader="none" w:pos="50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333-203369</w:t>
      </w:r>
    </w:p>
    <w:p>
      <w:pPr>
        <w:spacing w:after="0" w:line="61"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Clearway Energy LLC</w:t>
      </w:r>
    </w:p>
    <w:p>
      <w:pPr>
        <w:spacing w:after="0" w:line="105" w:lineRule="exact"/>
        <w:rPr>
          <w:sz w:val="24"/>
          <w:szCs w:val="24"/>
          <w:color w:val="auto"/>
        </w:rPr>
      </w:pPr>
    </w:p>
    <w:p>
      <w:pPr>
        <w:jc w:val="center"/>
        <w:ind w:right="-239"/>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11420"/>
          </w:cols>
          <w:pgMar w:left="240" w:top="1111" w:right="239" w:bottom="1440" w:gutter="0" w:footer="0" w:header="0"/>
        </w:sectPr>
      </w:pPr>
    </w:p>
    <w:p>
      <w:pPr>
        <w:spacing w:after="0" w:line="177" w:lineRule="exact"/>
        <w:rPr>
          <w:sz w:val="24"/>
          <w:szCs w:val="24"/>
          <w:color w:val="auto"/>
        </w:rPr>
      </w:pPr>
    </w:p>
    <w:p>
      <w:pPr>
        <w:jc w:val="center"/>
        <w:ind w:right="94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jc w:val="center"/>
        <w:ind w:right="940"/>
        <w:spacing w:after="0"/>
        <w:rPr>
          <w:sz w:val="20"/>
          <w:szCs w:val="20"/>
          <w:color w:val="auto"/>
        </w:rPr>
      </w:pPr>
      <w:r>
        <w:rPr>
          <w:rFonts w:ascii="Arial" w:cs="Arial" w:eastAsia="Arial" w:hAnsi="Arial"/>
          <w:sz w:val="15"/>
          <w:szCs w:val="15"/>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1740"/>
        <w:spacing w:after="0"/>
        <w:rPr>
          <w:sz w:val="20"/>
          <w:szCs w:val="20"/>
          <w:color w:val="auto"/>
        </w:rPr>
      </w:pPr>
      <w:r>
        <w:rPr>
          <w:rFonts w:ascii="Arial" w:cs="Arial" w:eastAsia="Arial" w:hAnsi="Arial"/>
          <w:sz w:val="16"/>
          <w:szCs w:val="16"/>
          <w:b w:val="1"/>
          <w:bCs w:val="1"/>
          <w:color w:val="auto"/>
        </w:rPr>
        <w:t>32-0407370</w:t>
      </w:r>
    </w:p>
    <w:p>
      <w:pPr>
        <w:spacing w:after="0" w:line="26" w:lineRule="exact"/>
        <w:rPr>
          <w:sz w:val="24"/>
          <w:szCs w:val="24"/>
          <w:color w:val="auto"/>
        </w:rPr>
      </w:pPr>
    </w:p>
    <w:p>
      <w:pPr>
        <w:jc w:val="center"/>
        <w:ind w:right="1740"/>
        <w:spacing w:after="0"/>
        <w:rPr>
          <w:sz w:val="20"/>
          <w:szCs w:val="20"/>
          <w:color w:val="auto"/>
        </w:rPr>
      </w:pPr>
      <w:r>
        <w:rPr>
          <w:rFonts w:ascii="Arial" w:cs="Arial" w:eastAsia="Arial" w:hAnsi="Arial"/>
          <w:sz w:val="15"/>
          <w:szCs w:val="15"/>
          <w:i w:val="1"/>
          <w:iCs w:val="1"/>
          <w:color w:val="auto"/>
        </w:rPr>
        <w:t>(I.R.S. Employer Identification No.)</w:t>
      </w:r>
    </w:p>
    <w:p>
      <w:pPr>
        <w:spacing w:after="0" w:line="200" w:lineRule="exact"/>
        <w:rPr>
          <w:sz w:val="24"/>
          <w:szCs w:val="24"/>
          <w:color w:val="auto"/>
        </w:rPr>
      </w:pPr>
    </w:p>
    <w:p>
      <w:pPr>
        <w:sectPr>
          <w:pgSz w:w="11900" w:h="16838" w:orient="portrait"/>
          <w:cols w:equalWidth="0" w:num="2">
            <w:col w:w="6640" w:space="720"/>
            <w:col w:w="4060"/>
          </w:cols>
          <w:pgMar w:left="240" w:top="1111" w:right="239" w:bottom="1440" w:gutter="0" w:footer="0" w:header="0"/>
          <w:type w:val="continuous"/>
        </w:sectPr>
      </w:pPr>
    </w:p>
    <w:p>
      <w:pPr>
        <w:spacing w:after="0" w:line="11" w:lineRule="exact"/>
        <w:rPr>
          <w:sz w:val="24"/>
          <w:szCs w:val="24"/>
          <w:color w:val="auto"/>
        </w:rPr>
      </w:pPr>
    </w:p>
    <w:p>
      <w:pPr>
        <w:jc w:val="center"/>
        <w:ind w:right="1720"/>
        <w:spacing w:after="0"/>
        <w:rPr>
          <w:sz w:val="20"/>
          <w:szCs w:val="20"/>
          <w:color w:val="auto"/>
        </w:rPr>
      </w:pPr>
      <w:r>
        <w:rPr>
          <w:rFonts w:ascii="Arial" w:cs="Arial" w:eastAsia="Arial" w:hAnsi="Arial"/>
          <w:sz w:val="14"/>
          <w:szCs w:val="14"/>
          <w:b w:val="1"/>
          <w:bCs w:val="1"/>
          <w:color w:val="auto"/>
        </w:rPr>
        <w:t>300 Carnegie Center, Suite 300, Princeton, New Jersey</w:t>
      </w:r>
    </w:p>
    <w:p>
      <w:pPr>
        <w:spacing w:after="0" w:line="49" w:lineRule="exact"/>
        <w:rPr>
          <w:sz w:val="24"/>
          <w:szCs w:val="24"/>
          <w:color w:val="auto"/>
        </w:rPr>
      </w:pPr>
    </w:p>
    <w:p>
      <w:pPr>
        <w:jc w:val="center"/>
        <w:ind w:right="172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40"/>
        <w:spacing w:after="0"/>
        <w:rPr>
          <w:sz w:val="20"/>
          <w:szCs w:val="20"/>
          <w:color w:val="auto"/>
        </w:rPr>
      </w:pPr>
      <w:r>
        <w:rPr>
          <w:rFonts w:ascii="Arial" w:cs="Arial" w:eastAsia="Arial" w:hAnsi="Arial"/>
          <w:sz w:val="16"/>
          <w:szCs w:val="16"/>
          <w:b w:val="1"/>
          <w:bCs w:val="1"/>
          <w:color w:val="auto"/>
        </w:rPr>
        <w:t>08540</w:t>
      </w:r>
    </w:p>
    <w:p>
      <w:pPr>
        <w:spacing w:after="0" w:line="26" w:lineRule="exact"/>
        <w:rPr>
          <w:sz w:val="24"/>
          <w:szCs w:val="24"/>
          <w:color w:val="auto"/>
        </w:rPr>
      </w:pPr>
    </w:p>
    <w:p>
      <w:pPr>
        <w:jc w:val="center"/>
        <w:ind w:right="2540"/>
        <w:spacing w:after="0"/>
        <w:rPr>
          <w:sz w:val="20"/>
          <w:szCs w:val="20"/>
          <w:color w:val="auto"/>
        </w:rPr>
      </w:pPr>
      <w:r>
        <w:rPr>
          <w:rFonts w:ascii="Arial" w:cs="Arial" w:eastAsia="Arial" w:hAnsi="Arial"/>
          <w:sz w:val="15"/>
          <w:szCs w:val="15"/>
          <w:i w:val="1"/>
          <w:iCs w:val="1"/>
          <w:color w:val="auto"/>
        </w:rPr>
        <w:t>(Zip Code)</w:t>
      </w:r>
    </w:p>
    <w:p>
      <w:pPr>
        <w:spacing w:after="0" w:line="49" w:lineRule="exact"/>
        <w:rPr>
          <w:sz w:val="24"/>
          <w:szCs w:val="24"/>
          <w:color w:val="auto"/>
        </w:rPr>
      </w:pPr>
    </w:p>
    <w:p>
      <w:pPr>
        <w:sectPr>
          <w:pgSz w:w="11900" w:h="16838" w:orient="portrait"/>
          <w:cols w:equalWidth="0" w:num="2">
            <w:col w:w="7440" w:space="720"/>
            <w:col w:w="3260"/>
          </w:cols>
          <w:pgMar w:left="240" w:top="1111" w:right="239" w:bottom="1440" w:gutter="0" w:footer="0" w:header="0"/>
          <w:type w:val="continuous"/>
        </w:sectPr>
      </w:pPr>
    </w:p>
    <w:p>
      <w:pPr>
        <w:ind w:left="5320"/>
        <w:spacing w:after="0"/>
        <w:rPr>
          <w:sz w:val="20"/>
          <w:szCs w:val="20"/>
          <w:color w:val="auto"/>
        </w:rPr>
      </w:pPr>
      <w:r>
        <w:rPr>
          <w:rFonts w:ascii="Arial" w:cs="Arial" w:eastAsia="Arial" w:hAnsi="Arial"/>
          <w:sz w:val="16"/>
          <w:szCs w:val="16"/>
          <w:b w:val="1"/>
          <w:bCs w:val="1"/>
          <w:color w:val="auto"/>
        </w:rPr>
        <w:t>(609) 608-1525</w:t>
      </w:r>
    </w:p>
    <w:p>
      <w:pPr>
        <w:spacing w:after="0" w:line="23" w:lineRule="exact"/>
        <w:rPr>
          <w:sz w:val="24"/>
          <w:szCs w:val="24"/>
          <w:color w:val="auto"/>
        </w:rPr>
      </w:pPr>
    </w:p>
    <w:p>
      <w:pPr>
        <w:ind w:left="412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5" w:lineRule="exact"/>
        <w:rPr>
          <w:sz w:val="24"/>
          <w:szCs w:val="24"/>
          <w:color w:val="auto"/>
        </w:rPr>
      </w:pPr>
    </w:p>
    <w:p>
      <w:pPr>
        <w:ind w:left="37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jc w:val="center"/>
        <w:spacing w:after="0"/>
        <w:rPr>
          <w:sz w:val="20"/>
          <w:szCs w:val="20"/>
          <w:color w:val="auto"/>
        </w:rPr>
      </w:pPr>
      <w:r>
        <w:rPr>
          <w:rFonts w:ascii="Arial" w:cs="Arial" w:eastAsia="Arial" w:hAnsi="Arial"/>
          <w:sz w:val="16"/>
          <w:szCs w:val="16"/>
          <w:b w:val="1"/>
          <w:bCs w:val="1"/>
          <w:color w:val="auto"/>
        </w:rPr>
        <w:t>None</w:t>
      </w:r>
    </w:p>
    <w:p>
      <w:pPr>
        <w:ind w:left="260"/>
        <w:spacing w:after="0"/>
        <w:tabs>
          <w:tab w:leader="none" w:pos="7120" w:val="left"/>
          <w:tab w:leader="none" w:pos="7580" w:val="left"/>
        </w:tabs>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4"/>
          <w:szCs w:val="14"/>
          <w:color w:val="auto"/>
        </w:rPr>
        <w:t>Yes o</w:t>
        <w:tab/>
        <w:t>No x</w:t>
      </w:r>
    </w:p>
    <w:p>
      <w:pPr>
        <w:spacing w:after="0" w:line="97" w:lineRule="exact"/>
        <w:rPr>
          <w:sz w:val="24"/>
          <w:szCs w:val="24"/>
          <w:color w:val="auto"/>
        </w:rPr>
      </w:pPr>
    </w:p>
    <w:p>
      <w:pPr>
        <w:ind w:left="260"/>
        <w:spacing w:after="0"/>
        <w:tabs>
          <w:tab w:leader="none" w:pos="8280" w:val="left"/>
        </w:tabs>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Exchange Act.  Yes x</w:t>
      </w:r>
      <w:r>
        <w:rPr>
          <w:sz w:val="20"/>
          <w:szCs w:val="20"/>
          <w:color w:val="auto"/>
        </w:rPr>
        <w:tab/>
      </w:r>
      <w:r>
        <w:rPr>
          <w:rFonts w:ascii="Arial" w:cs="Arial" w:eastAsia="Arial" w:hAnsi="Arial"/>
          <w:sz w:val="14"/>
          <w:szCs w:val="14"/>
          <w:color w:val="auto"/>
        </w:rPr>
        <w:t>No o</w:t>
      </w:r>
    </w:p>
    <w:p>
      <w:pPr>
        <w:spacing w:after="0" w:line="109" w:lineRule="exact"/>
        <w:rPr>
          <w:sz w:val="24"/>
          <w:szCs w:val="24"/>
          <w:color w:val="auto"/>
        </w:rPr>
      </w:pPr>
    </w:p>
    <w:p>
      <w:pPr>
        <w:jc w:val="both"/>
        <w:ind w:firstLine="243"/>
        <w:spacing w:after="0" w:line="277" w:lineRule="auto"/>
        <w:rPr>
          <w:sz w:val="20"/>
          <w:szCs w:val="20"/>
          <w:color w:val="auto"/>
        </w:rPr>
      </w:pPr>
      <w:r>
        <w:rPr>
          <w:rFonts w:ascii="Arial" w:cs="Arial" w:eastAsia="Arial" w:hAnsi="Arial"/>
          <w:sz w:val="13"/>
          <w:szCs w:val="13"/>
          <w:color w:val="auto"/>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and not subject to the filing requirements of Section 13 or 15(d) of the Securities Exchange Act of 1934. Although not subject to these filing requirements, the registrant has filed all reports that would have been required to be filed by Section 13 or 15(d) of the Securities Exchange Act of 1934 during the preceding 12 months had the registrant been subject to such requirements.) Yes o No o</w:t>
      </w:r>
    </w:p>
    <w:p>
      <w:pPr>
        <w:spacing w:after="0" w:line="120" w:lineRule="exact"/>
        <w:rPr>
          <w:sz w:val="24"/>
          <w:szCs w:val="24"/>
          <w:color w:val="auto"/>
        </w:rPr>
      </w:pPr>
    </w:p>
    <w:p>
      <w:pPr>
        <w:jc w:val="both"/>
        <w:ind w:firstLine="243"/>
        <w:spacing w:after="0" w:line="250"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 w:lineRule="exact"/>
        <w:rPr>
          <w:sz w:val="24"/>
          <w:szCs w:val="24"/>
          <w:color w:val="auto"/>
        </w:rPr>
      </w:pPr>
    </w:p>
    <w:p>
      <w:pPr>
        <w:jc w:val="both"/>
        <w:ind w:firstLine="243"/>
        <w:spacing w:after="0" w:line="247"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the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jc w:val="both"/>
        <w:ind w:firstLine="243"/>
        <w:spacing w:after="0" w:line="27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r>
        <w:rPr>
          <w:rFonts w:ascii="Arial" w:cs="Arial" w:eastAsia="Arial" w:hAnsi="Arial"/>
          <w:sz w:val="15"/>
          <w:szCs w:val="15"/>
          <w:color w:val="auto"/>
        </w:rPr>
        <w:t>.</w:t>
      </w:r>
    </w:p>
    <w:p>
      <w:pPr>
        <w:spacing w:after="0" w:line="185" w:lineRule="exact"/>
        <w:rPr>
          <w:sz w:val="24"/>
          <w:szCs w:val="24"/>
          <w:color w:val="auto"/>
        </w:rPr>
      </w:pPr>
    </w:p>
    <w:p>
      <w:pPr>
        <w:ind w:left="520"/>
        <w:spacing w:after="0"/>
        <w:tabs>
          <w:tab w:leader="none" w:pos="2840" w:val="left"/>
          <w:tab w:leader="none" w:pos="4840" w:val="left"/>
          <w:tab w:leader="none" w:pos="6920" w:val="left"/>
          <w:tab w:leader="none" w:pos="924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x</w:t>
      </w:r>
      <w:r>
        <w:rPr>
          <w:sz w:val="20"/>
          <w:szCs w:val="20"/>
          <w:color w:val="auto"/>
        </w:rPr>
        <w:tab/>
      </w:r>
      <w:r>
        <w:rPr>
          <w:rFonts w:ascii="Arial" w:cs="Arial" w:eastAsia="Arial" w:hAnsi="Arial"/>
          <w:sz w:val="14"/>
          <w:szCs w:val="14"/>
          <w:color w:val="auto"/>
        </w:rPr>
        <w:t>Smaller reporting company o</w:t>
      </w:r>
      <w:r>
        <w:rPr>
          <w:sz w:val="20"/>
          <w:szCs w:val="20"/>
          <w:color w:val="auto"/>
        </w:rPr>
        <w:tab/>
      </w:r>
      <w:r>
        <w:rPr>
          <w:rFonts w:ascii="Arial" w:cs="Arial" w:eastAsia="Arial" w:hAnsi="Arial"/>
          <w:sz w:val="13"/>
          <w:szCs w:val="13"/>
          <w:color w:val="auto"/>
        </w:rPr>
        <w:t>Emerging growth company o</w:t>
      </w:r>
    </w:p>
    <w:p>
      <w:pPr>
        <w:spacing w:after="0" w:line="21" w:lineRule="exact"/>
        <w:rPr>
          <w:sz w:val="24"/>
          <w:szCs w:val="24"/>
          <w:color w:val="auto"/>
        </w:rPr>
      </w:pPr>
    </w:p>
    <w:p>
      <w:pPr>
        <w:jc w:val="both"/>
        <w:ind w:firstLine="243"/>
        <w:spacing w:after="0" w:line="245"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left="260"/>
        <w:spacing w:after="0"/>
        <w:tabs>
          <w:tab w:leader="none" w:pos="6300" w:val="left"/>
          <w:tab w:leader="none" w:pos="67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Yes o</w:t>
      </w:r>
      <w:r>
        <w:rPr>
          <w:sz w:val="20"/>
          <w:szCs w:val="20"/>
          <w:color w:val="auto"/>
        </w:rPr>
        <w:tab/>
      </w:r>
      <w:r>
        <w:rPr>
          <w:rFonts w:ascii="Arial" w:cs="Arial" w:eastAsia="Arial" w:hAnsi="Arial"/>
          <w:sz w:val="13"/>
          <w:szCs w:val="13"/>
          <w:color w:val="auto"/>
        </w:rPr>
        <w:t>No x</w:t>
      </w:r>
    </w:p>
    <w:p>
      <w:pPr>
        <w:spacing w:after="0" w:line="1" w:lineRule="exact"/>
        <w:rPr>
          <w:sz w:val="24"/>
          <w:szCs w:val="24"/>
          <w:color w:val="auto"/>
        </w:rPr>
      </w:pPr>
    </w:p>
    <w:p>
      <w:pPr>
        <w:ind w:left="260"/>
        <w:spacing w:after="0"/>
        <w:rPr>
          <w:sz w:val="20"/>
          <w:szCs w:val="20"/>
          <w:color w:val="auto"/>
        </w:rPr>
      </w:pPr>
      <w:r>
        <w:rPr>
          <w:rFonts w:ascii="Arial" w:cs="Arial" w:eastAsia="Arial" w:hAnsi="Arial"/>
          <w:sz w:val="14"/>
          <w:szCs w:val="14"/>
          <w:color w:val="auto"/>
        </w:rPr>
        <w:t>Clearway Energy LLC's outstanding equity interests are held by Clearway Energy, Inc. and Clearway Energy Group LLC and there are no equity interests held by non-affiliates.</w:t>
      </w:r>
    </w:p>
    <w:p>
      <w:pPr>
        <w:spacing w:after="0" w:line="1" w:lineRule="exact"/>
        <w:rPr>
          <w:sz w:val="24"/>
          <w:szCs w:val="24"/>
          <w:color w:val="auto"/>
        </w:rPr>
      </w:pPr>
    </w:p>
    <w:p>
      <w:pPr>
        <w:ind w:left="260"/>
        <w:spacing w:after="0"/>
        <w:rPr>
          <w:sz w:val="20"/>
          <w:szCs w:val="20"/>
          <w:color w:val="auto"/>
        </w:rPr>
      </w:pPr>
      <w:r>
        <w:rPr>
          <w:rFonts w:ascii="Arial" w:cs="Arial" w:eastAsia="Arial" w:hAnsi="Arial"/>
          <w:sz w:val="13"/>
          <w:szCs w:val="13"/>
          <w:color w:val="auto"/>
        </w:rPr>
        <w:t>Indicate the number of shares outstanding of each of the registrant's classes of common stock as of the latest practicable date. There is no public market for the registrant's outstanding units.</w:t>
      </w:r>
    </w:p>
    <w:p>
      <w:pPr>
        <w:spacing w:after="0" w:line="244" w:lineRule="exact"/>
        <w:rPr>
          <w:sz w:val="24"/>
          <w:szCs w:val="24"/>
          <w:color w:val="auto"/>
        </w:rPr>
      </w:pPr>
    </w:p>
    <w:tbl>
      <w:tblPr>
        <w:tblLayout w:type="fixed"/>
        <w:tblInd w:w="3560" w:type="dxa"/>
        <w:tblCellMar>
          <w:top w:w="0" w:type="dxa"/>
          <w:left w:w="0" w:type="dxa"/>
          <w:bottom w:w="0" w:type="dxa"/>
          <w:right w:w="0" w:type="dxa"/>
        </w:tblCellMar>
      </w:tblPr>
      <w:tr>
        <w:trPr>
          <w:trHeight w:val="164"/>
        </w:trPr>
        <w:tc>
          <w:tcPr>
            <w:tcW w:w="1980" w:type="dxa"/>
            <w:vAlign w:val="bottom"/>
          </w:tcPr>
          <w:p>
            <w:pPr>
              <w:jc w:val="center"/>
              <w:ind w:right="1197"/>
              <w:spacing w:after="0"/>
              <w:rPr>
                <w:sz w:val="20"/>
                <w:szCs w:val="20"/>
                <w:color w:val="auto"/>
              </w:rPr>
            </w:pPr>
            <w:r>
              <w:rPr>
                <w:rFonts w:ascii="Arial" w:cs="Arial" w:eastAsia="Arial" w:hAnsi="Arial"/>
                <w:sz w:val="13"/>
                <w:szCs w:val="13"/>
                <w:b w:val="1"/>
                <w:bCs w:val="1"/>
                <w:color w:val="auto"/>
                <w:w w:val="80"/>
              </w:rPr>
              <w:t>Class</w:t>
            </w:r>
          </w:p>
        </w:tc>
        <w:tc>
          <w:tcPr>
            <w:tcW w:w="3040" w:type="dxa"/>
            <w:vAlign w:val="bottom"/>
          </w:tcPr>
          <w:p>
            <w:pPr>
              <w:jc w:val="center"/>
              <w:ind w:left="1217"/>
              <w:spacing w:after="0"/>
              <w:rPr>
                <w:sz w:val="20"/>
                <w:szCs w:val="20"/>
                <w:color w:val="auto"/>
              </w:rPr>
            </w:pPr>
            <w:r>
              <w:rPr>
                <w:rFonts w:ascii="Arial" w:cs="Arial" w:eastAsia="Arial" w:hAnsi="Arial"/>
                <w:sz w:val="13"/>
                <w:szCs w:val="13"/>
                <w:b w:val="1"/>
                <w:bCs w:val="1"/>
                <w:color w:val="auto"/>
                <w:w w:val="88"/>
              </w:rPr>
              <w:t>Outstanding at January 31, 2019</w:t>
            </w:r>
          </w:p>
        </w:tc>
      </w:tr>
      <w:tr>
        <w:trPr>
          <w:trHeight w:val="270"/>
        </w:trPr>
        <w:tc>
          <w:tcPr>
            <w:tcW w:w="1980" w:type="dxa"/>
            <w:vAlign w:val="bottom"/>
          </w:tcPr>
          <w:p>
            <w:pPr>
              <w:jc w:val="center"/>
              <w:ind w:right="1217"/>
              <w:spacing w:after="0"/>
              <w:rPr>
                <w:sz w:val="20"/>
                <w:szCs w:val="20"/>
                <w:color w:val="auto"/>
              </w:rPr>
            </w:pPr>
            <w:r>
              <w:rPr>
                <w:rFonts w:ascii="Arial" w:cs="Arial" w:eastAsia="Arial" w:hAnsi="Arial"/>
                <w:sz w:val="13"/>
                <w:szCs w:val="13"/>
                <w:color w:val="auto"/>
                <w:w w:val="89"/>
              </w:rPr>
              <w:t>Class A Units</w:t>
            </w:r>
          </w:p>
        </w:tc>
        <w:tc>
          <w:tcPr>
            <w:tcW w:w="3040" w:type="dxa"/>
            <w:vAlign w:val="bottom"/>
          </w:tcPr>
          <w:p>
            <w:pPr>
              <w:jc w:val="center"/>
              <w:ind w:left="1217"/>
              <w:spacing w:after="0"/>
              <w:rPr>
                <w:sz w:val="20"/>
                <w:szCs w:val="20"/>
                <w:color w:val="auto"/>
              </w:rPr>
            </w:pPr>
            <w:r>
              <w:rPr>
                <w:rFonts w:ascii="Arial" w:cs="Arial" w:eastAsia="Arial" w:hAnsi="Arial"/>
                <w:sz w:val="13"/>
                <w:szCs w:val="13"/>
                <w:color w:val="auto"/>
                <w:w w:val="86"/>
              </w:rPr>
              <w:t>34,599,645</w:t>
            </w:r>
          </w:p>
        </w:tc>
      </w:tr>
      <w:tr>
        <w:trPr>
          <w:trHeight w:val="270"/>
        </w:trPr>
        <w:tc>
          <w:tcPr>
            <w:tcW w:w="1980" w:type="dxa"/>
            <w:vAlign w:val="bottom"/>
          </w:tcPr>
          <w:p>
            <w:pPr>
              <w:jc w:val="center"/>
              <w:ind w:right="1197"/>
              <w:spacing w:after="0"/>
              <w:rPr>
                <w:sz w:val="20"/>
                <w:szCs w:val="20"/>
                <w:color w:val="auto"/>
              </w:rPr>
            </w:pPr>
            <w:r>
              <w:rPr>
                <w:rFonts w:ascii="Arial" w:cs="Arial" w:eastAsia="Arial" w:hAnsi="Arial"/>
                <w:sz w:val="13"/>
                <w:szCs w:val="13"/>
                <w:color w:val="auto"/>
                <w:w w:val="87"/>
              </w:rPr>
              <w:t>Class B Units</w:t>
            </w:r>
          </w:p>
        </w:tc>
        <w:tc>
          <w:tcPr>
            <w:tcW w:w="3040" w:type="dxa"/>
            <w:vAlign w:val="bottom"/>
          </w:tcPr>
          <w:p>
            <w:pPr>
              <w:jc w:val="center"/>
              <w:ind w:left="1217"/>
              <w:spacing w:after="0"/>
              <w:rPr>
                <w:sz w:val="20"/>
                <w:szCs w:val="20"/>
                <w:color w:val="auto"/>
              </w:rPr>
            </w:pPr>
            <w:r>
              <w:rPr>
                <w:rFonts w:ascii="Arial" w:cs="Arial" w:eastAsia="Arial" w:hAnsi="Arial"/>
                <w:sz w:val="13"/>
                <w:szCs w:val="13"/>
                <w:color w:val="auto"/>
                <w:w w:val="86"/>
              </w:rPr>
              <w:t>42,738,750</w:t>
            </w:r>
          </w:p>
        </w:tc>
      </w:tr>
      <w:tr>
        <w:trPr>
          <w:trHeight w:val="270"/>
        </w:trPr>
        <w:tc>
          <w:tcPr>
            <w:tcW w:w="1980" w:type="dxa"/>
            <w:vAlign w:val="bottom"/>
          </w:tcPr>
          <w:p>
            <w:pPr>
              <w:jc w:val="center"/>
              <w:ind w:right="1197"/>
              <w:spacing w:after="0"/>
              <w:rPr>
                <w:sz w:val="20"/>
                <w:szCs w:val="20"/>
                <w:color w:val="auto"/>
              </w:rPr>
            </w:pPr>
            <w:r>
              <w:rPr>
                <w:rFonts w:ascii="Arial" w:cs="Arial" w:eastAsia="Arial" w:hAnsi="Arial"/>
                <w:sz w:val="13"/>
                <w:szCs w:val="13"/>
                <w:color w:val="auto"/>
                <w:w w:val="86"/>
              </w:rPr>
              <w:t>Class C Units</w:t>
            </w:r>
          </w:p>
        </w:tc>
        <w:tc>
          <w:tcPr>
            <w:tcW w:w="3040" w:type="dxa"/>
            <w:vAlign w:val="bottom"/>
          </w:tcPr>
          <w:p>
            <w:pPr>
              <w:jc w:val="center"/>
              <w:ind w:left="1217"/>
              <w:spacing w:after="0"/>
              <w:rPr>
                <w:sz w:val="20"/>
                <w:szCs w:val="20"/>
                <w:color w:val="auto"/>
              </w:rPr>
            </w:pPr>
            <w:r>
              <w:rPr>
                <w:rFonts w:ascii="Arial" w:cs="Arial" w:eastAsia="Arial" w:hAnsi="Arial"/>
                <w:sz w:val="13"/>
                <w:szCs w:val="13"/>
                <w:color w:val="auto"/>
                <w:w w:val="86"/>
              </w:rPr>
              <w:t>73,323,463</w:t>
            </w:r>
          </w:p>
        </w:tc>
      </w:tr>
      <w:tr>
        <w:trPr>
          <w:trHeight w:val="270"/>
        </w:trPr>
        <w:tc>
          <w:tcPr>
            <w:tcW w:w="1980" w:type="dxa"/>
            <w:vAlign w:val="bottom"/>
          </w:tcPr>
          <w:p>
            <w:pPr>
              <w:jc w:val="center"/>
              <w:ind w:right="1217"/>
              <w:spacing w:after="0"/>
              <w:rPr>
                <w:sz w:val="20"/>
                <w:szCs w:val="20"/>
                <w:color w:val="auto"/>
              </w:rPr>
            </w:pPr>
            <w:r>
              <w:rPr>
                <w:rFonts w:ascii="Arial" w:cs="Arial" w:eastAsia="Arial" w:hAnsi="Arial"/>
                <w:sz w:val="13"/>
                <w:szCs w:val="13"/>
                <w:color w:val="auto"/>
                <w:w w:val="88"/>
              </w:rPr>
              <w:t>Class D Units</w:t>
            </w:r>
          </w:p>
        </w:tc>
        <w:tc>
          <w:tcPr>
            <w:tcW w:w="3040" w:type="dxa"/>
            <w:vAlign w:val="bottom"/>
          </w:tcPr>
          <w:p>
            <w:pPr>
              <w:jc w:val="center"/>
              <w:ind w:left="1217"/>
              <w:spacing w:after="0"/>
              <w:rPr>
                <w:sz w:val="20"/>
                <w:szCs w:val="20"/>
                <w:color w:val="auto"/>
              </w:rPr>
            </w:pPr>
            <w:r>
              <w:rPr>
                <w:rFonts w:ascii="Arial" w:cs="Arial" w:eastAsia="Arial" w:hAnsi="Arial"/>
                <w:sz w:val="13"/>
                <w:szCs w:val="13"/>
                <w:color w:val="auto"/>
                <w:w w:val="86"/>
              </w:rPr>
              <w:t>42,738,750</w:t>
            </w:r>
          </w:p>
        </w:tc>
      </w:tr>
    </w:tbl>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15" w:lineRule="exact"/>
        <w:rPr>
          <w:sz w:val="24"/>
          <w:szCs w:val="24"/>
          <w:color w:val="auto"/>
        </w:rPr>
      </w:pPr>
    </w:p>
    <w:p>
      <w:pPr>
        <w:jc w:val="center"/>
        <w:ind w:left="260"/>
        <w:spacing w:after="0"/>
        <w:rPr>
          <w:sz w:val="20"/>
          <w:szCs w:val="20"/>
          <w:color w:val="auto"/>
        </w:rPr>
      </w:pPr>
      <w:r>
        <w:rPr>
          <w:rFonts w:ascii="Arial" w:cs="Arial" w:eastAsia="Arial" w:hAnsi="Arial"/>
          <w:sz w:val="15"/>
          <w:szCs w:val="15"/>
          <w:b w:val="1"/>
          <w:bCs w:val="1"/>
          <w:color w:val="auto"/>
        </w:rPr>
        <w:t>None.</w:t>
      </w:r>
    </w:p>
    <w:p>
      <w:pPr>
        <w:ind w:right="320"/>
        <w:spacing w:after="0" w:line="255" w:lineRule="auto"/>
        <w:rPr>
          <w:sz w:val="20"/>
          <w:szCs w:val="20"/>
          <w:color w:val="auto"/>
        </w:rPr>
      </w:pPr>
      <w:r>
        <w:rPr>
          <w:rFonts w:ascii="Arial" w:cs="Arial" w:eastAsia="Arial" w:hAnsi="Arial"/>
          <w:sz w:val="14"/>
          <w:szCs w:val="14"/>
          <w:color w:val="auto"/>
        </w:rPr>
        <w:t>NOTE: WHEREAS CLEARWAY ENERGY LLC MEETS THE CONDITIONS SET FORTH IN GENERAL INSTRUCTION I(1)(a) AND (b) OF FORM 10-K, THIS FORM 10-K IS BEING FILED WITH THE REDUCED DISCLOSURE FORMAT PURSUANT TO GENERAL INSTRUCTION I(2).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164465</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78740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type w:val="continuous"/>
        </w:sectPr>
      </w:pPr>
    </w:p>
    <w:bookmarkStart w:id="1" w:name="page2"/>
    <w:bookmarkEnd w:id="1"/>
    <w:p>
      <w:pPr>
        <w:jc w:val="center"/>
        <w:ind w:left="420"/>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On February 28, 2019, Clearway Energy LLC (the "Company") filed with the Securities and Exchange Commission its Annual Report on Form 10-K for the year ended December 31, 2018.</w:t>
      </w:r>
    </w:p>
    <w:p>
      <w:pPr>
        <w:spacing w:after="0" w:line="11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This Amendment No. 1 to Form 10-K (this "Amendment") of the Company is being filed solely to amend Item 15 of Part IV to include the consolidated financial statements of DGPV Holdco 3 LLC and Subsidiaries ("DGPV Holdco 3") as required under Rule 3-09 of Regulation S-X. The financial statements of DGPV Holdco 3 for its fiscal year ended December 31, 2018 were not available at the time the Company filed its Annual Report on Form 10-K. The required financial statements are now provided as Exhibit 99.1 to this Amendment.</w:t>
      </w:r>
    </w:p>
    <w:p>
      <w:pPr>
        <w:spacing w:after="0" w:line="133"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Item 15(c) is the only portion of the Company's Annual Report on Form 10-K being supplemented or amended by this Amendment. Except as set forth herein, this Amendment does not change or update any other information set forth in the original filing of the Company's Annual Report on Form 10-K for the year ended December 31, 2018, and does not reflect events occurring after the original filing of the Company's Annual Report on Form 10-K for the year ended December 31, 2018. This Amendment consists solely of the preceding cover page, this explanatory note, the information required by Item 15(c) of Form 10-K as provided in Exhibit 99.1, an updated exhibit index, a signature page, and the certifications required to be filed as exhibits hereto.</w:t>
      </w:r>
    </w:p>
    <w:p>
      <w:pPr>
        <w:sectPr>
          <w:pgSz w:w="11900" w:h="16838" w:orient="portrait"/>
          <w:cols w:equalWidth="0" w:num="1">
            <w:col w:w="11380"/>
          </w:cols>
          <w:pgMar w:left="240" w:top="796"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(a)(1) Financial Statements</w:t>
      </w:r>
    </w:p>
    <w:p>
      <w:pPr>
        <w:spacing w:after="0" w:line="171" w:lineRule="exact"/>
        <w:rPr>
          <w:sz w:val="20"/>
          <w:szCs w:val="20"/>
          <w:color w:val="auto"/>
        </w:rPr>
      </w:pPr>
    </w:p>
    <w:p>
      <w:pPr>
        <w:ind w:left="980" w:right="220" w:hanging="242"/>
        <w:spacing w:after="0" w:line="308" w:lineRule="auto"/>
        <w:rPr>
          <w:sz w:val="20"/>
          <w:szCs w:val="20"/>
          <w:color w:val="auto"/>
        </w:rPr>
      </w:pPr>
      <w:r>
        <w:rPr>
          <w:rFonts w:ascii="Arial" w:cs="Arial" w:eastAsia="Arial" w:hAnsi="Arial"/>
          <w:sz w:val="17"/>
          <w:szCs w:val="17"/>
          <w:color w:val="auto"/>
        </w:rPr>
        <w:t>The following consolidated financial statements of Clearway Energy LLC and related notes thereto, together with the reports thereon of KPMG LLP, were included in Item 15 of Clearway Energy LLC's Annual Report on Form 10-K filed on February 28, 2019:</w:t>
      </w:r>
    </w:p>
    <w:p>
      <w:pPr>
        <w:spacing w:after="0" w:line="9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Operations — Years ended December 31, 2018, 2017 and 2016</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Comprehensive Income — Years ended December 31, 2018, 2017 and 2016</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Balance Sheets — As of December 31, 2018 and 2017</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Cash Flows — Years ended December 31, 2018, 2017 and 2016</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Members' Equity — Years ended December 31, 2018, 2017 and 2016</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(a)(2) Not applicable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(a)(3) Exhibits: See Exhibit Index submitted as a separate section of this report</w:t>
      </w:r>
    </w:p>
    <w:p>
      <w:pPr>
        <w:spacing w:after="0" w:line="171" w:lineRule="exact"/>
        <w:rPr>
          <w:sz w:val="20"/>
          <w:szCs w:val="20"/>
          <w:color w:val="auto"/>
        </w:rPr>
      </w:pPr>
    </w:p>
    <w:p>
      <w:pPr>
        <w:ind w:left="740" w:hanging="246"/>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See Exhibit Index submitted as a separate section of this report</w:t>
      </w:r>
    </w:p>
    <w:p>
      <w:pPr>
        <w:spacing w:after="0" w:line="171" w:lineRule="exact"/>
        <w:rPr>
          <w:rFonts w:ascii="Arial" w:cs="Arial" w:eastAsia="Arial" w:hAnsi="Arial"/>
          <w:sz w:val="18"/>
          <w:szCs w:val="18"/>
          <w:color w:val="auto"/>
        </w:rPr>
      </w:pPr>
    </w:p>
    <w:p>
      <w:pPr>
        <w:ind w:left="740" w:hanging="246"/>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Separate financial statements of subsidiaries not consolidated and fifty percent or less owned persons</w:t>
      </w:r>
    </w:p>
    <w:p>
      <w:pPr>
        <w:spacing w:after="0" w:line="171" w:lineRule="exact"/>
        <w:rPr>
          <w:rFonts w:ascii="Arial" w:cs="Arial" w:eastAsia="Arial" w:hAnsi="Arial"/>
          <w:sz w:val="18"/>
          <w:szCs w:val="18"/>
          <w:color w:val="auto"/>
        </w:rPr>
      </w:pPr>
    </w:p>
    <w:p>
      <w:pPr>
        <w:ind w:left="980" w:hanging="243"/>
        <w:spacing w:after="0" w:line="308" w:lineRule="auto"/>
        <w:rPr>
          <w:rFonts w:ascii="Arial" w:cs="Arial" w:eastAsia="Arial" w:hAnsi="Arial"/>
          <w:sz w:val="18"/>
          <w:szCs w:val="18"/>
          <w:color w:val="auto"/>
        </w:rPr>
      </w:pPr>
      <w:r>
        <w:rPr>
          <w:rFonts w:ascii="Arial" w:cs="Arial" w:eastAsia="Arial" w:hAnsi="Arial"/>
          <w:sz w:val="17"/>
          <w:szCs w:val="17"/>
          <w:color w:val="auto"/>
        </w:rPr>
        <w:t>The following financial statements of DGPV Holdco 3 LLC and Subsidiaries are required under Rule 3-09 of Regulation S-X and are incorporated by reference to Item 15 of this report. They should be read in conjunction with the Consolidated Financial Statements:</w:t>
      </w:r>
    </w:p>
    <w:p>
      <w:pPr>
        <w:spacing w:after="0" w:line="93" w:lineRule="exact"/>
        <w:rPr>
          <w:sz w:val="20"/>
          <w:szCs w:val="20"/>
          <w:color w:val="auto"/>
        </w:rPr>
      </w:pPr>
    </w:p>
    <w:p>
      <w:pPr>
        <w:ind w:left="980" w:right="360"/>
        <w:spacing w:after="0" w:line="277" w:lineRule="auto"/>
        <w:rPr>
          <w:sz w:val="20"/>
          <w:szCs w:val="20"/>
          <w:color w:val="auto"/>
        </w:rPr>
      </w:pPr>
      <w:r>
        <w:rPr>
          <w:rFonts w:ascii="Arial" w:cs="Arial" w:eastAsia="Arial" w:hAnsi="Arial"/>
          <w:sz w:val="18"/>
          <w:szCs w:val="18"/>
          <w:color w:val="auto"/>
        </w:rPr>
        <w:t>DGPV Holdco 3 LLC Consolidated Financial Statements for the years ended December 31, 2018 and 2017 are included as Exhibit 99.1 to Amendment No. 1 to Clearway Energy LLC's Annual Report on Form 10-K</w:t>
      </w:r>
    </w:p>
    <w:p>
      <w:pPr>
        <w:sectPr>
          <w:pgSz w:w="11900" w:h="16838" w:orient="portrait"/>
          <w:cols w:equalWidth="0" w:num="1">
            <w:col w:w="11300"/>
          </w:cols>
          <w:pgMar w:left="240" w:top="580"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340" w:type="dxa"/>
            <w:vAlign w:val="bottom"/>
            <w:gridSpan w:val="9"/>
          </w:tcPr>
          <w:p>
            <w:pPr>
              <w:ind w:left="440"/>
              <w:spacing w:after="0"/>
              <w:rPr>
                <w:sz w:val="20"/>
                <w:szCs w:val="20"/>
                <w:color w:val="auto"/>
              </w:rPr>
            </w:pPr>
            <w:r>
              <w:rPr>
                <w:rFonts w:ascii="Arial" w:cs="Arial" w:eastAsia="Arial" w:hAnsi="Arial"/>
                <w:sz w:val="18"/>
                <w:szCs w:val="18"/>
                <w:b w:val="1"/>
                <w:bCs w:val="1"/>
                <w:color w:val="auto"/>
              </w:rPr>
              <w:t>EXHIBIT INDEX</w:t>
            </w:r>
          </w:p>
        </w:tc>
      </w:tr>
      <w:tr>
        <w:trPr>
          <w:trHeight w:val="426"/>
        </w:trPr>
        <w:tc>
          <w:tcPr>
            <w:tcW w:w="104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840" w:type="dxa"/>
            <w:vAlign w:val="bottom"/>
            <w:gridSpan w:val="13"/>
          </w:tcPr>
          <w:p>
            <w:pPr>
              <w:spacing w:after="0"/>
              <w:rPr>
                <w:sz w:val="20"/>
                <w:szCs w:val="20"/>
                <w:color w:val="auto"/>
              </w:rPr>
            </w:pPr>
            <w:r>
              <w:rPr>
                <w:rFonts w:ascii="Arial" w:cs="Arial" w:eastAsia="Arial" w:hAnsi="Arial"/>
                <w:sz w:val="16"/>
                <w:szCs w:val="16"/>
                <w:b w:val="1"/>
                <w:bCs w:val="1"/>
                <w:color w:val="auto"/>
              </w:rPr>
              <w:t>Description</w:t>
            </w:r>
          </w:p>
        </w:tc>
      </w:tr>
      <w:tr>
        <w:trPr>
          <w:trHeight w:val="222"/>
        </w:trPr>
        <w:tc>
          <w:tcPr>
            <w:tcW w:w="1040" w:type="dxa"/>
            <w:vAlign w:val="bottom"/>
          </w:tcPr>
          <w:p>
            <w:pPr>
              <w:spacing w:after="0"/>
              <w:rPr>
                <w:sz w:val="20"/>
                <w:szCs w:val="20"/>
                <w:color w:val="auto"/>
              </w:rPr>
            </w:pPr>
            <w:r>
              <w:rPr>
                <w:rFonts w:ascii="Arial" w:cs="Arial" w:eastAsia="Arial" w:hAnsi="Arial"/>
                <w:sz w:val="16"/>
                <w:szCs w:val="16"/>
                <w:color w:val="auto"/>
              </w:rPr>
              <w:t>2.1</w:t>
            </w:r>
          </w:p>
        </w:tc>
        <w:tc>
          <w:tcPr>
            <w:tcW w:w="5360" w:type="dxa"/>
            <w:vAlign w:val="bottom"/>
            <w:tcBorders>
              <w:bottom w:val="single" w:sz="8" w:color="0000FF"/>
            </w:tcBorders>
            <w:gridSpan w:val="7"/>
          </w:tcPr>
          <w:p>
            <w:pPr>
              <w:spacing w:after="0"/>
              <w:rPr>
                <w:rFonts w:ascii="Arial" w:cs="Arial" w:eastAsia="Arial" w:hAnsi="Arial"/>
                <w:sz w:val="16"/>
                <w:szCs w:val="16"/>
                <w:color w:val="0000FF"/>
                <w:w w:val="89"/>
              </w:rPr>
            </w:pPr>
            <w:hyperlink r:id="rId12">
              <w:r>
                <w:rPr>
                  <w:rFonts w:ascii="Arial" w:cs="Arial" w:eastAsia="Arial" w:hAnsi="Arial"/>
                  <w:sz w:val="16"/>
                  <w:szCs w:val="16"/>
                  <w:color w:val="0000FF"/>
                  <w:w w:val="89"/>
                </w:rPr>
                <w:t>Purchase and Sale Agreement, dated as of May 5, 2014, by and between NRG Gas</w:t>
              </w:r>
            </w:hyperlink>
          </w:p>
        </w:tc>
        <w:tc>
          <w:tcPr>
            <w:tcW w:w="480" w:type="dxa"/>
            <w:vAlign w:val="bottom"/>
            <w:gridSpan w:val="6"/>
          </w:tcPr>
          <w:p>
            <w:pPr>
              <w:spacing w:after="0"/>
              <w:rPr>
                <w:sz w:val="19"/>
                <w:szCs w:val="19"/>
                <w:color w:val="auto"/>
              </w:rPr>
            </w:pPr>
          </w:p>
        </w:tc>
      </w:tr>
      <w:tr>
        <w:trPr>
          <w:trHeight w:val="183"/>
        </w:trPr>
        <w:tc>
          <w:tcPr>
            <w:tcW w:w="1040" w:type="dxa"/>
            <w:vAlign w:val="bottom"/>
          </w:tcPr>
          <w:p>
            <w:pPr>
              <w:spacing w:after="0"/>
              <w:rPr>
                <w:sz w:val="15"/>
                <w:szCs w:val="15"/>
                <w:color w:val="auto"/>
              </w:rPr>
            </w:pPr>
          </w:p>
        </w:tc>
        <w:tc>
          <w:tcPr>
            <w:tcW w:w="4040" w:type="dxa"/>
            <w:vAlign w:val="bottom"/>
            <w:tcBorders>
              <w:bottom w:val="single" w:sz="8" w:color="0000FF"/>
            </w:tcBorders>
            <w:gridSpan w:val="5"/>
          </w:tcPr>
          <w:p>
            <w:pPr>
              <w:spacing w:after="0" w:line="183" w:lineRule="exact"/>
              <w:rPr>
                <w:rFonts w:ascii="Arial" w:cs="Arial" w:eastAsia="Arial" w:hAnsi="Arial"/>
                <w:sz w:val="16"/>
                <w:szCs w:val="16"/>
                <w:color w:val="0000FF"/>
                <w:w w:val="93"/>
              </w:rPr>
            </w:pPr>
            <w:hyperlink r:id="rId12">
              <w:r>
                <w:rPr>
                  <w:rFonts w:ascii="Arial" w:cs="Arial" w:eastAsia="Arial" w:hAnsi="Arial"/>
                  <w:sz w:val="16"/>
                  <w:szCs w:val="16"/>
                  <w:color w:val="0000FF"/>
                  <w:w w:val="93"/>
                </w:rPr>
                <w:t>Development Company, LLC and NRG Yield Operating LLC.</w:t>
              </w:r>
            </w:hyperlink>
          </w:p>
        </w:tc>
        <w:tc>
          <w:tcPr>
            <w:tcW w:w="1800" w:type="dxa"/>
            <w:vAlign w:val="bottom"/>
            <w:gridSpan w:val="8"/>
          </w:tcPr>
          <w:p>
            <w:pPr>
              <w:spacing w:after="0"/>
              <w:rPr>
                <w:sz w:val="15"/>
                <w:szCs w:val="15"/>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2.2</w:t>
            </w:r>
          </w:p>
        </w:tc>
        <w:tc>
          <w:tcPr>
            <w:tcW w:w="5700" w:type="dxa"/>
            <w:vAlign w:val="bottom"/>
            <w:tcBorders>
              <w:bottom w:val="single" w:sz="8" w:color="0000FF"/>
            </w:tcBorders>
            <w:gridSpan w:val="10"/>
          </w:tcPr>
          <w:p>
            <w:pPr>
              <w:spacing w:after="0"/>
              <w:rPr>
                <w:rFonts w:ascii="Arial" w:cs="Arial" w:eastAsia="Arial" w:hAnsi="Arial"/>
                <w:sz w:val="16"/>
                <w:szCs w:val="16"/>
                <w:color w:val="0000FF"/>
                <w:w w:val="90"/>
              </w:rPr>
            </w:pPr>
            <w:hyperlink r:id="rId13">
              <w:r>
                <w:rPr>
                  <w:rFonts w:ascii="Arial" w:cs="Arial" w:eastAsia="Arial" w:hAnsi="Arial"/>
                  <w:sz w:val="16"/>
                  <w:szCs w:val="16"/>
                  <w:color w:val="0000FF"/>
                  <w:w w:val="90"/>
                </w:rPr>
                <w:t>Purchase and Sale Agreement, dated as of May 5, 2014, by and between NRG Solar PV</w:t>
              </w:r>
            </w:hyperlink>
          </w:p>
        </w:tc>
        <w:tc>
          <w:tcPr>
            <w:tcW w:w="140" w:type="dxa"/>
            <w:vAlign w:val="bottom"/>
            <w:gridSpan w:val="3"/>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3"/>
          </w:tcPr>
          <w:p>
            <w:pPr>
              <w:spacing w:after="0" w:line="183" w:lineRule="exact"/>
              <w:rPr>
                <w:rFonts w:ascii="Arial" w:cs="Arial" w:eastAsia="Arial" w:hAnsi="Arial"/>
                <w:sz w:val="16"/>
                <w:szCs w:val="16"/>
                <w:color w:val="0000FF"/>
              </w:rPr>
            </w:pPr>
            <w:hyperlink r:id="rId13">
              <w:r>
                <w:rPr>
                  <w:rFonts w:ascii="Arial" w:cs="Arial" w:eastAsia="Arial" w:hAnsi="Arial"/>
                  <w:sz w:val="16"/>
                  <w:szCs w:val="16"/>
                  <w:color w:val="0000FF"/>
                </w:rPr>
                <w:t>LLC and NRG Yield Operating LLC.</w:t>
              </w:r>
            </w:hyperlink>
          </w:p>
        </w:tc>
      </w:tr>
      <w:tr>
        <w:trPr>
          <w:trHeight w:val="20"/>
        </w:trPr>
        <w:tc>
          <w:tcPr>
            <w:tcW w:w="10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2.3</w:t>
            </w:r>
          </w:p>
        </w:tc>
        <w:tc>
          <w:tcPr>
            <w:tcW w:w="5700" w:type="dxa"/>
            <w:vAlign w:val="bottom"/>
            <w:tcBorders>
              <w:bottom w:val="single" w:sz="8" w:color="0000FF"/>
            </w:tcBorders>
            <w:gridSpan w:val="10"/>
          </w:tcPr>
          <w:p>
            <w:pPr>
              <w:spacing w:after="0"/>
              <w:rPr>
                <w:rFonts w:ascii="Arial" w:cs="Arial" w:eastAsia="Arial" w:hAnsi="Arial"/>
                <w:sz w:val="16"/>
                <w:szCs w:val="16"/>
                <w:color w:val="0000FF"/>
                <w:w w:val="90"/>
              </w:rPr>
            </w:pPr>
            <w:hyperlink r:id="rId14">
              <w:r>
                <w:rPr>
                  <w:rFonts w:ascii="Arial" w:cs="Arial" w:eastAsia="Arial" w:hAnsi="Arial"/>
                  <w:sz w:val="16"/>
                  <w:szCs w:val="16"/>
                  <w:color w:val="0000FF"/>
                  <w:w w:val="90"/>
                </w:rPr>
                <w:t>Purchase and Sale Agreement, dated as of May 5, 2014, by and between NRG Solar PV</w:t>
              </w:r>
            </w:hyperlink>
          </w:p>
        </w:tc>
        <w:tc>
          <w:tcPr>
            <w:tcW w:w="140" w:type="dxa"/>
            <w:vAlign w:val="bottom"/>
            <w:gridSpan w:val="3"/>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3"/>
          </w:tcPr>
          <w:p>
            <w:pPr>
              <w:spacing w:after="0" w:line="183" w:lineRule="exact"/>
              <w:rPr>
                <w:rFonts w:ascii="Arial" w:cs="Arial" w:eastAsia="Arial" w:hAnsi="Arial"/>
                <w:sz w:val="16"/>
                <w:szCs w:val="16"/>
                <w:color w:val="0000FF"/>
              </w:rPr>
            </w:pPr>
            <w:hyperlink r:id="rId14">
              <w:r>
                <w:rPr>
                  <w:rFonts w:ascii="Arial" w:cs="Arial" w:eastAsia="Arial" w:hAnsi="Arial"/>
                  <w:sz w:val="16"/>
                  <w:szCs w:val="16"/>
                  <w:color w:val="0000FF"/>
                </w:rPr>
                <w:t>LLC and NRG Yield Operating LLC.</w:t>
              </w:r>
            </w:hyperlink>
          </w:p>
        </w:tc>
      </w:tr>
      <w:tr>
        <w:trPr>
          <w:trHeight w:val="20"/>
        </w:trPr>
        <w:tc>
          <w:tcPr>
            <w:tcW w:w="10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2.4</w:t>
            </w:r>
          </w:p>
        </w:tc>
        <w:tc>
          <w:tcPr>
            <w:tcW w:w="5760" w:type="dxa"/>
            <w:vAlign w:val="bottom"/>
            <w:tcBorders>
              <w:bottom w:val="single" w:sz="8" w:color="0000FF"/>
            </w:tcBorders>
            <w:gridSpan w:val="12"/>
          </w:tcPr>
          <w:p>
            <w:pPr>
              <w:spacing w:after="0"/>
              <w:rPr>
                <w:rFonts w:ascii="Arial" w:cs="Arial" w:eastAsia="Arial" w:hAnsi="Arial"/>
                <w:sz w:val="16"/>
                <w:szCs w:val="16"/>
                <w:color w:val="0000FF"/>
                <w:w w:val="90"/>
              </w:rPr>
            </w:pPr>
            <w:hyperlink r:id="rId15">
              <w:r>
                <w:rPr>
                  <w:rFonts w:ascii="Arial" w:cs="Arial" w:eastAsia="Arial" w:hAnsi="Arial"/>
                  <w:sz w:val="16"/>
                  <w:szCs w:val="16"/>
                  <w:color w:val="0000FF"/>
                  <w:w w:val="90"/>
                </w:rPr>
                <w:t>Purchase and Sale Agreement, dated June 3, 2014, by and among NRG Yield, Inc., NRG</w:t>
              </w:r>
            </w:hyperlink>
          </w:p>
        </w:tc>
        <w:tc>
          <w:tcPr>
            <w:tcW w:w="80" w:type="dxa"/>
            <w:vAlign w:val="bottom"/>
          </w:tcPr>
          <w:p>
            <w:pPr>
              <w:spacing w:after="0"/>
              <w:rPr>
                <w:sz w:val="20"/>
                <w:szCs w:val="20"/>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3"/>
          </w:tcPr>
          <w:p>
            <w:pPr>
              <w:spacing w:after="0" w:line="183" w:lineRule="exact"/>
              <w:rPr>
                <w:rFonts w:ascii="Arial" w:cs="Arial" w:eastAsia="Arial" w:hAnsi="Arial"/>
                <w:sz w:val="16"/>
                <w:szCs w:val="16"/>
                <w:color w:val="0000FF"/>
                <w:w w:val="96"/>
              </w:rPr>
            </w:pPr>
            <w:hyperlink r:id="rId15">
              <w:r>
                <w:rPr>
                  <w:rFonts w:ascii="Arial" w:cs="Arial" w:eastAsia="Arial" w:hAnsi="Arial"/>
                  <w:sz w:val="16"/>
                  <w:szCs w:val="16"/>
                  <w:color w:val="0000FF"/>
                  <w:w w:val="96"/>
                </w:rPr>
                <w:t>Yield Operating LLC, Terra-Gen Finance Company, LLC, NTD AWAM Holdings, LLC,</w:t>
              </w:r>
            </w:hyperlink>
          </w:p>
        </w:tc>
      </w:tr>
      <w:tr>
        <w:trPr>
          <w:trHeight w:val="183"/>
        </w:trPr>
        <w:tc>
          <w:tcPr>
            <w:tcW w:w="1040" w:type="dxa"/>
            <w:vAlign w:val="bottom"/>
          </w:tcPr>
          <w:p>
            <w:pPr>
              <w:spacing w:after="0"/>
              <w:rPr>
                <w:sz w:val="15"/>
                <w:szCs w:val="15"/>
                <w:color w:val="auto"/>
              </w:rPr>
            </w:pPr>
          </w:p>
        </w:tc>
        <w:tc>
          <w:tcPr>
            <w:tcW w:w="5220" w:type="dxa"/>
            <w:vAlign w:val="bottom"/>
            <w:tcBorders>
              <w:top w:val="single" w:sz="8" w:color="0000FF"/>
              <w:bottom w:val="single" w:sz="8" w:color="0000FF"/>
            </w:tcBorders>
            <w:gridSpan w:val="6"/>
          </w:tcPr>
          <w:p>
            <w:pPr>
              <w:spacing w:after="0" w:line="183" w:lineRule="exact"/>
              <w:rPr>
                <w:rFonts w:ascii="Arial" w:cs="Arial" w:eastAsia="Arial" w:hAnsi="Arial"/>
                <w:sz w:val="16"/>
                <w:szCs w:val="16"/>
                <w:color w:val="0000FF"/>
                <w:w w:val="95"/>
              </w:rPr>
            </w:pPr>
            <w:hyperlink r:id="rId15">
              <w:r>
                <w:rPr>
                  <w:rFonts w:ascii="Arial" w:cs="Arial" w:eastAsia="Arial" w:hAnsi="Arial"/>
                  <w:sz w:val="16"/>
                  <w:szCs w:val="16"/>
                  <w:color w:val="0000FF"/>
                  <w:w w:val="95"/>
                </w:rPr>
                <w:t>CHIPS Alta Wind X Holding Company, LLC and CHIPS Alta Wind XI Holding</w:t>
              </w:r>
            </w:hyperlink>
          </w:p>
        </w:tc>
        <w:tc>
          <w:tcPr>
            <w:tcW w:w="520" w:type="dxa"/>
            <w:vAlign w:val="bottom"/>
            <w:tcBorders>
              <w:top w:val="single" w:sz="8" w:color="0000FF"/>
            </w:tcBorders>
            <w:gridSpan w:val="5"/>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5840" w:type="dxa"/>
            <w:vAlign w:val="bottom"/>
            <w:gridSpan w:val="13"/>
          </w:tcPr>
          <w:p>
            <w:pPr>
              <w:spacing w:after="0" w:line="183" w:lineRule="exact"/>
              <w:rPr>
                <w:rFonts w:ascii="Arial" w:cs="Arial" w:eastAsia="Arial" w:hAnsi="Arial"/>
                <w:sz w:val="16"/>
                <w:szCs w:val="16"/>
                <w:color w:val="0000FF"/>
              </w:rPr>
            </w:pPr>
            <w:hyperlink r:id="rId15">
              <w:r>
                <w:rPr>
                  <w:rFonts w:ascii="Arial" w:cs="Arial" w:eastAsia="Arial" w:hAnsi="Arial"/>
                  <w:sz w:val="16"/>
                  <w:szCs w:val="16"/>
                  <w:color w:val="0000FF"/>
                </w:rPr>
                <w:t>Company, LLC.</w:t>
              </w:r>
            </w:hyperlink>
          </w:p>
        </w:tc>
      </w:tr>
      <w:tr>
        <w:trPr>
          <w:trHeight w:val="20"/>
        </w:trPr>
        <w:tc>
          <w:tcPr>
            <w:tcW w:w="10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6"/>
                <w:szCs w:val="16"/>
                <w:color w:val="auto"/>
              </w:rPr>
              <w:t>2.5</w:t>
            </w:r>
          </w:p>
        </w:tc>
        <w:tc>
          <w:tcPr>
            <w:tcW w:w="5840" w:type="dxa"/>
            <w:vAlign w:val="bottom"/>
            <w:tcBorders>
              <w:bottom w:val="single" w:sz="8" w:color="0000FF"/>
            </w:tcBorders>
            <w:gridSpan w:val="13"/>
          </w:tcPr>
          <w:p>
            <w:pPr>
              <w:spacing w:after="0"/>
              <w:rPr>
                <w:rFonts w:ascii="Arial" w:cs="Arial" w:eastAsia="Arial" w:hAnsi="Arial"/>
                <w:sz w:val="16"/>
                <w:szCs w:val="16"/>
                <w:color w:val="0000FF"/>
                <w:w w:val="90"/>
              </w:rPr>
            </w:pPr>
            <w:hyperlink r:id="rId16">
              <w:r>
                <w:rPr>
                  <w:rFonts w:ascii="Arial" w:cs="Arial" w:eastAsia="Arial" w:hAnsi="Arial"/>
                  <w:sz w:val="16"/>
                  <w:szCs w:val="16"/>
                  <w:color w:val="0000FF"/>
                  <w:w w:val="90"/>
                </w:rPr>
                <w:t>Purchase and Sale Agreement, dated as of November 4, 2014, by and between NRG Wind</w:t>
              </w:r>
            </w:hyperlink>
          </w:p>
        </w:tc>
      </w:tr>
      <w:tr>
        <w:trPr>
          <w:trHeight w:val="183"/>
        </w:trPr>
        <w:tc>
          <w:tcPr>
            <w:tcW w:w="1040" w:type="dxa"/>
            <w:vAlign w:val="bottom"/>
          </w:tcPr>
          <w:p>
            <w:pPr>
              <w:spacing w:after="0"/>
              <w:rPr>
                <w:sz w:val="15"/>
                <w:szCs w:val="15"/>
                <w:color w:val="auto"/>
              </w:rPr>
            </w:pPr>
          </w:p>
        </w:tc>
        <w:tc>
          <w:tcPr>
            <w:tcW w:w="5840" w:type="dxa"/>
            <w:vAlign w:val="bottom"/>
            <w:gridSpan w:val="13"/>
          </w:tcPr>
          <w:p>
            <w:pPr>
              <w:spacing w:after="0" w:line="183" w:lineRule="exact"/>
              <w:rPr>
                <w:rFonts w:ascii="Arial" w:cs="Arial" w:eastAsia="Arial" w:hAnsi="Arial"/>
                <w:sz w:val="16"/>
                <w:szCs w:val="16"/>
                <w:color w:val="0000FF"/>
              </w:rPr>
            </w:pPr>
            <w:hyperlink r:id="rId16">
              <w:r>
                <w:rPr>
                  <w:rFonts w:ascii="Arial" w:cs="Arial" w:eastAsia="Arial" w:hAnsi="Arial"/>
                  <w:sz w:val="16"/>
                  <w:szCs w:val="16"/>
                  <w:color w:val="0000FF"/>
                </w:rPr>
                <w:t>LLC and NRG Yield Operating LLC.</w:t>
              </w:r>
            </w:hyperlink>
          </w:p>
        </w:tc>
      </w:tr>
      <w:tr>
        <w:trPr>
          <w:trHeight w:val="20"/>
        </w:trPr>
        <w:tc>
          <w:tcPr>
            <w:tcW w:w="1040" w:type="dxa"/>
            <w:vAlign w:val="bottom"/>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Arial" w:cs="Arial" w:eastAsia="Arial" w:hAnsi="Arial"/>
                <w:sz w:val="16"/>
                <w:szCs w:val="16"/>
                <w:color w:val="auto"/>
              </w:rPr>
              <w:t>2.6</w:t>
            </w:r>
          </w:p>
        </w:tc>
        <w:tc>
          <w:tcPr>
            <w:tcW w:w="5840" w:type="dxa"/>
            <w:vAlign w:val="bottom"/>
            <w:gridSpan w:val="13"/>
          </w:tcPr>
          <w:p>
            <w:pPr>
              <w:spacing w:after="0"/>
              <w:rPr>
                <w:rFonts w:ascii="Arial" w:cs="Arial" w:eastAsia="Arial" w:hAnsi="Arial"/>
                <w:sz w:val="16"/>
                <w:szCs w:val="16"/>
                <w:color w:val="0000FF"/>
                <w:w w:val="96"/>
              </w:rPr>
            </w:pPr>
            <w:hyperlink r:id="rId17">
              <w:r>
                <w:rPr>
                  <w:rFonts w:ascii="Arial" w:cs="Arial" w:eastAsia="Arial" w:hAnsi="Arial"/>
                  <w:sz w:val="16"/>
                  <w:szCs w:val="16"/>
                  <w:color w:val="0000FF"/>
                  <w:w w:val="96"/>
                </w:rPr>
                <w:t>Purchase and Sale Agreement, dated as of November 4, 2014, by and between NRG</w:t>
              </w:r>
            </w:hyperlink>
          </w:p>
        </w:tc>
      </w:tr>
      <w:tr>
        <w:trPr>
          <w:trHeight w:val="183"/>
        </w:trPr>
        <w:tc>
          <w:tcPr>
            <w:tcW w:w="1040" w:type="dxa"/>
            <w:vAlign w:val="bottom"/>
          </w:tcPr>
          <w:p>
            <w:pPr>
              <w:spacing w:after="0"/>
              <w:rPr>
                <w:sz w:val="15"/>
                <w:szCs w:val="15"/>
                <w:color w:val="auto"/>
              </w:rPr>
            </w:pPr>
          </w:p>
        </w:tc>
        <w:tc>
          <w:tcPr>
            <w:tcW w:w="5440" w:type="dxa"/>
            <w:vAlign w:val="bottom"/>
            <w:tcBorders>
              <w:top w:val="single" w:sz="8" w:color="0000FF"/>
            </w:tcBorders>
            <w:gridSpan w:val="8"/>
          </w:tcPr>
          <w:p>
            <w:pPr>
              <w:spacing w:after="0" w:line="183" w:lineRule="exact"/>
              <w:rPr>
                <w:rFonts w:ascii="Arial" w:cs="Arial" w:eastAsia="Arial" w:hAnsi="Arial"/>
                <w:sz w:val="16"/>
                <w:szCs w:val="16"/>
                <w:color w:val="0000FF"/>
              </w:rPr>
            </w:pPr>
            <w:hyperlink r:id="rId17">
              <w:r>
                <w:rPr>
                  <w:rFonts w:ascii="Arial" w:cs="Arial" w:eastAsia="Arial" w:hAnsi="Arial"/>
                  <w:sz w:val="16"/>
                  <w:szCs w:val="16"/>
                  <w:color w:val="0000FF"/>
                </w:rPr>
                <w:t>Arroyo Nogales LLC and NRG Yield Operating LLC.</w:t>
              </w:r>
            </w:hyperlink>
          </w:p>
        </w:tc>
        <w:tc>
          <w:tcPr>
            <w:tcW w:w="400" w:type="dxa"/>
            <w:vAlign w:val="bottom"/>
            <w:gridSpan w:val="5"/>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439"/>
        </w:trPr>
        <w:tc>
          <w:tcPr>
            <w:tcW w:w="1040" w:type="dxa"/>
            <w:vAlign w:val="bottom"/>
          </w:tcPr>
          <w:p>
            <w:pPr>
              <w:spacing w:after="0"/>
              <w:rPr>
                <w:sz w:val="20"/>
                <w:szCs w:val="20"/>
                <w:color w:val="auto"/>
              </w:rPr>
            </w:pPr>
            <w:r>
              <w:rPr>
                <w:rFonts w:ascii="Arial" w:cs="Arial" w:eastAsia="Arial" w:hAnsi="Arial"/>
                <w:sz w:val="16"/>
                <w:szCs w:val="16"/>
                <w:color w:val="auto"/>
              </w:rPr>
              <w:t>2.7*^</w:t>
            </w:r>
          </w:p>
        </w:tc>
        <w:tc>
          <w:tcPr>
            <w:tcW w:w="5840" w:type="dxa"/>
            <w:vAlign w:val="bottom"/>
            <w:gridSpan w:val="13"/>
          </w:tcPr>
          <w:p>
            <w:pPr>
              <w:spacing w:after="0"/>
              <w:rPr>
                <w:rFonts w:ascii="Arial" w:cs="Arial" w:eastAsia="Arial" w:hAnsi="Arial"/>
                <w:sz w:val="16"/>
                <w:szCs w:val="16"/>
                <w:color w:val="0000FF"/>
                <w:w w:val="93"/>
              </w:rPr>
            </w:pPr>
            <w:hyperlink r:id="rId18">
              <w:r>
                <w:rPr>
                  <w:rFonts w:ascii="Arial" w:cs="Arial" w:eastAsia="Arial" w:hAnsi="Arial"/>
                  <w:sz w:val="16"/>
                  <w:szCs w:val="16"/>
                  <w:color w:val="0000FF"/>
                  <w:w w:val="93"/>
                </w:rPr>
                <w:t>Purchase and Sale Agreement, dated as of June 17, 2015, by and between EFS Desert</w:t>
              </w:r>
            </w:hyperlink>
          </w:p>
        </w:tc>
      </w:tr>
      <w:tr>
        <w:trPr>
          <w:trHeight w:val="183"/>
        </w:trPr>
        <w:tc>
          <w:tcPr>
            <w:tcW w:w="1040" w:type="dxa"/>
            <w:vAlign w:val="bottom"/>
          </w:tcPr>
          <w:p>
            <w:pPr>
              <w:spacing w:after="0"/>
              <w:rPr>
                <w:sz w:val="15"/>
                <w:szCs w:val="15"/>
                <w:color w:val="auto"/>
              </w:rPr>
            </w:pPr>
          </w:p>
        </w:tc>
        <w:tc>
          <w:tcPr>
            <w:tcW w:w="2760" w:type="dxa"/>
            <w:vAlign w:val="bottom"/>
            <w:tcBorders>
              <w:top w:val="single" w:sz="8" w:color="0000FF"/>
              <w:bottom w:val="single" w:sz="8" w:color="0000FF"/>
            </w:tcBorders>
            <w:gridSpan w:val="3"/>
          </w:tcPr>
          <w:p>
            <w:pPr>
              <w:spacing w:after="0" w:line="183" w:lineRule="exact"/>
              <w:rPr>
                <w:rFonts w:ascii="Arial" w:cs="Arial" w:eastAsia="Arial" w:hAnsi="Arial"/>
                <w:sz w:val="16"/>
                <w:szCs w:val="16"/>
                <w:color w:val="0000FF"/>
                <w:w w:val="94"/>
              </w:rPr>
            </w:pPr>
            <w:hyperlink r:id="rId18">
              <w:r>
                <w:rPr>
                  <w:rFonts w:ascii="Arial" w:cs="Arial" w:eastAsia="Arial" w:hAnsi="Arial"/>
                  <w:sz w:val="16"/>
                  <w:szCs w:val="16"/>
                  <w:color w:val="0000FF"/>
                  <w:w w:val="94"/>
                </w:rPr>
                <w:t>Sun, LLC and NRG Yield Operating LLC.</w:t>
              </w:r>
            </w:hyperlink>
          </w:p>
        </w:tc>
        <w:tc>
          <w:tcPr>
            <w:tcW w:w="2780" w:type="dxa"/>
            <w:vAlign w:val="bottom"/>
            <w:tcBorders>
              <w:top w:val="single" w:sz="8" w:color="0000FF"/>
            </w:tcBorders>
            <w:gridSpan w:val="6"/>
          </w:tcPr>
          <w:p>
            <w:pPr>
              <w:spacing w:after="0"/>
              <w:rPr>
                <w:sz w:val="15"/>
                <w:szCs w:val="15"/>
                <w:color w:val="auto"/>
              </w:rPr>
            </w:pPr>
          </w:p>
        </w:tc>
        <w:tc>
          <w:tcPr>
            <w:tcW w:w="300" w:type="dxa"/>
            <w:vAlign w:val="bottom"/>
            <w:gridSpan w:val="4"/>
          </w:tcPr>
          <w:p>
            <w:pPr>
              <w:spacing w:after="0"/>
              <w:rPr>
                <w:sz w:val="15"/>
                <w:szCs w:val="15"/>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2.8</w:t>
            </w:r>
          </w:p>
        </w:tc>
        <w:tc>
          <w:tcPr>
            <w:tcW w:w="5540" w:type="dxa"/>
            <w:vAlign w:val="bottom"/>
            <w:gridSpan w:val="3"/>
            <w:vMerge w:val="restart"/>
          </w:tcPr>
          <w:p>
            <w:pPr>
              <w:spacing w:after="0"/>
              <w:rPr>
                <w:rFonts w:ascii="Arial" w:cs="Arial" w:eastAsia="Arial" w:hAnsi="Arial"/>
                <w:sz w:val="16"/>
                <w:szCs w:val="16"/>
                <w:color w:val="0000FF"/>
                <w:w w:val="89"/>
              </w:rPr>
            </w:pPr>
            <w:hyperlink r:id="rId19">
              <w:r>
                <w:rPr>
                  <w:rFonts w:ascii="Arial" w:cs="Arial" w:eastAsia="Arial" w:hAnsi="Arial"/>
                  <w:sz w:val="16"/>
                  <w:szCs w:val="16"/>
                  <w:color w:val="0000FF"/>
                  <w:w w:val="89"/>
                </w:rPr>
                <w:t>Purchase and Sale Agreement, dated as of September 17, 2015, by and between NRG</w:t>
              </w:r>
            </w:hyperlink>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540" w:type="dxa"/>
            <w:vAlign w:val="bottom"/>
            <w:tcBorders>
              <w:bottom w:val="single" w:sz="8" w:color="0000FF"/>
            </w:tcBorders>
            <w:gridSpan w:val="3"/>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00" w:type="dxa"/>
            <w:vAlign w:val="bottom"/>
            <w:gridSpan w:val="4"/>
          </w:tcPr>
          <w:p>
            <w:pPr>
              <w:spacing w:after="0" w:line="183" w:lineRule="exact"/>
              <w:rPr>
                <w:rFonts w:ascii="Arial" w:cs="Arial" w:eastAsia="Arial" w:hAnsi="Arial"/>
                <w:sz w:val="16"/>
                <w:szCs w:val="16"/>
                <w:color w:val="0000FF"/>
              </w:rPr>
            </w:pPr>
            <w:hyperlink r:id="rId19">
              <w:r>
                <w:rPr>
                  <w:rFonts w:ascii="Arial" w:cs="Arial" w:eastAsia="Arial" w:hAnsi="Arial"/>
                  <w:sz w:val="16"/>
                  <w:szCs w:val="16"/>
                  <w:color w:val="0000FF"/>
                </w:rPr>
                <w:t>Energy Gas &amp; Wind Holdings, Inc. and NRG Yield Operating LLC.</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jc w:val="right"/>
              <w:ind w:right="759"/>
              <w:spacing w:after="0"/>
              <w:rPr>
                <w:sz w:val="20"/>
                <w:szCs w:val="20"/>
                <w:color w:val="auto"/>
              </w:rPr>
            </w:pPr>
            <w:r>
              <w:rPr>
                <w:rFonts w:ascii="Arial" w:cs="Arial" w:eastAsia="Arial" w:hAnsi="Arial"/>
                <w:sz w:val="16"/>
                <w:szCs w:val="16"/>
                <w:color w:val="auto"/>
                <w:w w:val="80"/>
              </w:rPr>
              <w:t>2.9</w:t>
            </w:r>
          </w:p>
        </w:tc>
        <w:tc>
          <w:tcPr>
            <w:tcW w:w="3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1040" w:type="dxa"/>
            <w:vAlign w:val="bottom"/>
            <w:vMerge w:val="continue"/>
          </w:tcPr>
          <w:p>
            <w:pPr>
              <w:spacing w:after="0"/>
              <w:rPr>
                <w:sz w:val="24"/>
                <w:szCs w:val="24"/>
                <w:color w:val="auto"/>
              </w:rPr>
            </w:pPr>
          </w:p>
        </w:tc>
        <w:tc>
          <w:tcPr>
            <w:tcW w:w="5600" w:type="dxa"/>
            <w:vAlign w:val="bottom"/>
            <w:gridSpan w:val="4"/>
            <w:vMerge w:val="restart"/>
          </w:tcPr>
          <w:p>
            <w:pPr>
              <w:spacing w:after="0"/>
              <w:rPr>
                <w:rFonts w:ascii="Arial" w:cs="Arial" w:eastAsia="Arial" w:hAnsi="Arial"/>
                <w:sz w:val="16"/>
                <w:szCs w:val="16"/>
                <w:color w:val="0000FF"/>
                <w:w w:val="90"/>
              </w:rPr>
            </w:pPr>
            <w:hyperlink r:id="rId20">
              <w:r>
                <w:rPr>
                  <w:rFonts w:ascii="Arial" w:cs="Arial" w:eastAsia="Arial" w:hAnsi="Arial"/>
                  <w:sz w:val="16"/>
                  <w:szCs w:val="16"/>
                  <w:color w:val="0000FF"/>
                  <w:w w:val="90"/>
                </w:rPr>
                <w:t>Purchase and Sale Agreement, dated as of August 8, 2016, between NRG Solar CVSR</w:t>
              </w:r>
            </w:hyperlink>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600" w:type="dxa"/>
            <w:vAlign w:val="bottom"/>
            <w:tcBorders>
              <w:bottom w:val="single" w:sz="8" w:color="0000FF"/>
            </w:tcBorders>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00" w:type="dxa"/>
            <w:vAlign w:val="bottom"/>
            <w:gridSpan w:val="4"/>
          </w:tcPr>
          <w:p>
            <w:pPr>
              <w:spacing w:after="0" w:line="183" w:lineRule="exact"/>
              <w:rPr>
                <w:rFonts w:ascii="Arial" w:cs="Arial" w:eastAsia="Arial" w:hAnsi="Arial"/>
                <w:sz w:val="16"/>
                <w:szCs w:val="16"/>
                <w:color w:val="0000FF"/>
              </w:rPr>
            </w:pPr>
            <w:hyperlink r:id="rId20">
              <w:r>
                <w:rPr>
                  <w:rFonts w:ascii="Arial" w:cs="Arial" w:eastAsia="Arial" w:hAnsi="Arial"/>
                  <w:sz w:val="16"/>
                  <w:szCs w:val="16"/>
                  <w:color w:val="0000FF"/>
                </w:rPr>
                <w:t>Holdings 2 LLC and NRG Yield Operating LLC.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77" w:lineRule="exact"/>
        <w:rPr>
          <w:sz w:val="20"/>
          <w:szCs w:val="20"/>
          <w:color w:val="auto"/>
        </w:rPr>
      </w:pPr>
    </w:p>
    <w:p>
      <w:pPr>
        <w:ind w:right="20"/>
        <w:spacing w:after="0" w:line="342" w:lineRule="auto"/>
        <w:rPr>
          <w:sz w:val="20"/>
          <w:szCs w:val="20"/>
          <w:color w:val="auto"/>
        </w:rPr>
      </w:pPr>
      <w:r>
        <w:rPr>
          <w:rFonts w:ascii="Arial" w:cs="Arial" w:eastAsia="Arial" w:hAnsi="Arial"/>
          <w:sz w:val="14"/>
          <w:szCs w:val="14"/>
          <w:color w:val="auto"/>
        </w:rPr>
        <w:t>Incorporated herein by reference to Exhibit 2.1 to Clearway Energy, Inc.’s Current Report on Form 8-K filed on May 9, 2014.</w:t>
      </w:r>
    </w:p>
    <w:p>
      <w:pPr>
        <w:ind w:right="20"/>
        <w:spacing w:after="0" w:line="342" w:lineRule="auto"/>
        <w:rPr>
          <w:sz w:val="20"/>
          <w:szCs w:val="20"/>
          <w:color w:val="auto"/>
        </w:rPr>
      </w:pPr>
      <w:r>
        <w:rPr>
          <w:rFonts w:ascii="Arial" w:cs="Arial" w:eastAsia="Arial" w:hAnsi="Arial"/>
          <w:sz w:val="14"/>
          <w:szCs w:val="14"/>
          <w:color w:val="auto"/>
        </w:rPr>
        <w:t>Incorporated herein by reference to Exhibit 2.2 to Clearway Energy, Inc.’s Current Report on Form 8-K filed on May 9, 2014.</w:t>
      </w:r>
    </w:p>
    <w:p>
      <w:pPr>
        <w:ind w:right="20"/>
        <w:spacing w:after="0" w:line="342" w:lineRule="auto"/>
        <w:rPr>
          <w:sz w:val="20"/>
          <w:szCs w:val="20"/>
          <w:color w:val="auto"/>
        </w:rPr>
      </w:pPr>
      <w:r>
        <w:rPr>
          <w:rFonts w:ascii="Arial" w:cs="Arial" w:eastAsia="Arial" w:hAnsi="Arial"/>
          <w:sz w:val="14"/>
          <w:szCs w:val="14"/>
          <w:color w:val="auto"/>
        </w:rPr>
        <w:t>Incorporated herein by reference to Exhibit 2.3 to Clearway Energy, Inc.’s Current Report on Form 8-K filed on May 9, 2014.</w:t>
      </w:r>
    </w:p>
    <w:p>
      <w:pPr>
        <w:ind w:right="20"/>
        <w:spacing w:after="0" w:line="369" w:lineRule="auto"/>
        <w:rPr>
          <w:sz w:val="20"/>
          <w:szCs w:val="20"/>
          <w:color w:val="auto"/>
        </w:rPr>
      </w:pPr>
      <w:r>
        <w:rPr>
          <w:rFonts w:ascii="Arial" w:cs="Arial" w:eastAsia="Arial" w:hAnsi="Arial"/>
          <w:sz w:val="14"/>
          <w:szCs w:val="14"/>
          <w:color w:val="auto"/>
        </w:rPr>
        <w:t>Incorporated herein by reference to Exhibit 10.1 to Clearway Energy, Inc.’s Current Report on Form 8-K filed on June 9, 2014.</w:t>
      </w:r>
    </w:p>
    <w:p>
      <w:pPr>
        <w:spacing w:after="0" w:line="36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Incorporated herein by reference to Exhibit 2.1 to Clearway Energy, Inc.’s Current Report on Form 8-K filed on November 7, 2014.</w:t>
      </w:r>
    </w:p>
    <w:p>
      <w:pPr>
        <w:spacing w:after="0" w:line="22"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Incorporated herein by reference to Exhibit 2.2 to Clearway Energy, Inc.’s Current Report on Form 8-K filed on November 7, 2014.</w:t>
      </w:r>
    </w:p>
    <w:p>
      <w:pPr>
        <w:spacing w:after="0" w:line="22"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Incorporated herein by reference to Exhibit 2.1 to Clearway Energy, Inc.’s Quarterly Report on Form 10-Q filed on August 4, 2015.</w:t>
      </w:r>
    </w:p>
    <w:p>
      <w:pPr>
        <w:spacing w:after="0" w:line="22"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Incorporated herein by reference to Exhibit 2.1 to Clearway Energy, Inc.’s Current Report on Form 8-K filed on September 21, 2015.</w:t>
      </w:r>
    </w:p>
    <w:p>
      <w:pPr>
        <w:spacing w:after="0" w:line="266"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2.1 to Clearway Energy, Inc.'s Current Report on Form 8-K, filed on August 9, 2016.</w:t>
      </w:r>
    </w:p>
    <w:p>
      <w:pPr>
        <w:spacing w:after="0" w:line="103" w:lineRule="exact"/>
        <w:rPr>
          <w:sz w:val="20"/>
          <w:szCs w:val="20"/>
          <w:color w:val="auto"/>
        </w:rPr>
      </w:pPr>
    </w:p>
    <w:p>
      <w:pPr>
        <w:sectPr>
          <w:pgSz w:w="11900" w:h="16838" w:orient="portrait"/>
          <w:cols w:equalWidth="0" w:num="2">
            <w:col w:w="6880" w:space="200"/>
            <w:col w:w="4260"/>
          </w:cols>
          <w:pgMar w:left="280" w:top="580" w:right="279" w:bottom="1440" w:gutter="0" w:footer="0" w:header="0"/>
        </w:sectPr>
      </w:pPr>
    </w:p>
    <w:p>
      <w:pPr>
        <w:spacing w:after="0"/>
        <w:rPr>
          <w:sz w:val="20"/>
          <w:szCs w:val="20"/>
          <w:color w:val="auto"/>
        </w:rPr>
      </w:pPr>
      <w:r>
        <w:rPr>
          <w:rFonts w:ascii="Arial" w:cs="Arial" w:eastAsia="Arial" w:hAnsi="Arial"/>
          <w:sz w:val="15"/>
          <w:szCs w:val="15"/>
          <w:color w:val="auto"/>
        </w:rPr>
        <w:t>2.10*</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br w:type="column"/>
      </w:r>
    </w:p>
    <w:p>
      <w:pPr>
        <w:spacing w:after="0" w:line="293" w:lineRule="auto"/>
        <w:rPr>
          <w:rFonts w:ascii="Arial" w:cs="Arial" w:eastAsia="Arial" w:hAnsi="Arial"/>
          <w:sz w:val="16"/>
          <w:szCs w:val="16"/>
          <w:u w:val="single" w:color="auto"/>
          <w:color w:val="0000FF"/>
        </w:rPr>
      </w:pPr>
      <w:hyperlink r:id="rId21">
        <w:r>
          <w:rPr>
            <w:rFonts w:ascii="Arial" w:cs="Arial" w:eastAsia="Arial" w:hAnsi="Arial"/>
            <w:sz w:val="16"/>
            <w:szCs w:val="16"/>
            <w:u w:val="single" w:color="auto"/>
            <w:color w:val="0000FF"/>
          </w:rPr>
          <w:t>Purchase and Sale Agreement, dated as of February 6, 2018, by and between NRG Gas</w:t>
        </w:r>
      </w:hyperlink>
      <w:r>
        <w:rPr>
          <w:rFonts w:ascii="Arial" w:cs="Arial" w:eastAsia="Arial" w:hAnsi="Arial"/>
          <w:sz w:val="16"/>
          <w:szCs w:val="16"/>
          <w:u w:val="single" w:color="auto"/>
          <w:color w:val="0000FF"/>
        </w:rPr>
        <w:t xml:space="preserve"> </w:t>
      </w:r>
      <w:hyperlink r:id="rId21">
        <w:r>
          <w:rPr>
            <w:rFonts w:ascii="Arial" w:cs="Arial" w:eastAsia="Arial" w:hAnsi="Arial"/>
            <w:sz w:val="16"/>
            <w:szCs w:val="16"/>
            <w:u w:val="single" w:color="auto"/>
            <w:color w:val="0000FF"/>
          </w:rPr>
          <w:t>Development Company, LLC and NRG Yield Operating LLC.</w:t>
        </w:r>
      </w:hyperlink>
    </w:p>
    <w:p>
      <w:pPr>
        <w:spacing w:after="0" w:line="375" w:lineRule="exact"/>
        <w:rPr>
          <w:sz w:val="20"/>
          <w:szCs w:val="20"/>
          <w:color w:val="auto"/>
        </w:rPr>
      </w:pPr>
    </w:p>
    <w:p>
      <w:pPr>
        <w:spacing w:after="0"/>
        <w:rPr>
          <w:rFonts w:ascii="Arial" w:cs="Arial" w:eastAsia="Arial" w:hAnsi="Arial"/>
          <w:sz w:val="16"/>
          <w:szCs w:val="16"/>
          <w:u w:val="single" w:color="auto"/>
          <w:color w:val="0000FF"/>
        </w:rPr>
      </w:pPr>
      <w:hyperlink r:id="rId22">
        <w:r>
          <w:rPr>
            <w:rFonts w:ascii="Arial" w:cs="Arial" w:eastAsia="Arial" w:hAnsi="Arial"/>
            <w:sz w:val="16"/>
            <w:szCs w:val="16"/>
            <w:u w:val="single" w:color="auto"/>
            <w:color w:val="0000FF"/>
          </w:rPr>
          <w:t>Certificate of Formation of NRG Yield Operating LLC.</w:t>
        </w:r>
      </w:hyperlink>
    </w:p>
    <w:p>
      <w:pPr>
        <w:spacing w:after="0" w:line="200" w:lineRule="exact"/>
        <w:rPr>
          <w:sz w:val="20"/>
          <w:szCs w:val="20"/>
          <w:color w:val="auto"/>
        </w:rPr>
      </w:pPr>
    </w:p>
    <w:p>
      <w:pPr>
        <w:spacing w:after="0" w:line="359" w:lineRule="exact"/>
        <w:rPr>
          <w:sz w:val="20"/>
          <w:szCs w:val="20"/>
          <w:color w:val="auto"/>
        </w:rPr>
      </w:pPr>
    </w:p>
    <w:p>
      <w:pPr>
        <w:spacing w:after="0"/>
        <w:rPr>
          <w:rFonts w:ascii="Arial" w:cs="Arial" w:eastAsia="Arial" w:hAnsi="Arial"/>
          <w:sz w:val="15"/>
          <w:szCs w:val="15"/>
          <w:u w:val="single" w:color="auto"/>
          <w:color w:val="0000FF"/>
        </w:rPr>
      </w:pPr>
      <w:hyperlink r:id="rId23">
        <w:r>
          <w:rPr>
            <w:rFonts w:ascii="Arial" w:cs="Arial" w:eastAsia="Arial" w:hAnsi="Arial"/>
            <w:sz w:val="15"/>
            <w:szCs w:val="15"/>
            <w:u w:val="single" w:color="auto"/>
            <w:color w:val="0000FF"/>
          </w:rPr>
          <w:t>Certificate of Amendment of Certificate of Formation of NRG Yield Operating LLC.</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Incorporated herein by reference to Exhibit 2.10 to Clearway Energy, Inc.'s Annual Report on Form 10-K, filed on March 1, 2018.</w:t>
      </w:r>
    </w:p>
    <w:p>
      <w:pPr>
        <w:spacing w:after="0" w:line="10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3.01(a) to the Company's Registration Statement on Form S-4 filed on April 13, 2015.</w:t>
      </w:r>
    </w:p>
    <w:p>
      <w:pPr>
        <w:spacing w:after="0" w:line="10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3.01(b) to the Company's Registration Statement on Form S-4 filed on April 13, 2015.</w:t>
      </w:r>
    </w:p>
    <w:p>
      <w:pPr>
        <w:spacing w:after="0" w:line="91" w:lineRule="exact"/>
        <w:rPr>
          <w:sz w:val="20"/>
          <w:szCs w:val="20"/>
          <w:color w:val="auto"/>
        </w:rPr>
      </w:pPr>
    </w:p>
    <w:p>
      <w:pPr>
        <w:sectPr>
          <w:pgSz w:w="11900" w:h="16838" w:orient="portrait"/>
          <w:cols w:equalWidth="0" w:num="3">
            <w:col w:w="360" w:space="680"/>
            <w:col w:w="5640" w:space="400"/>
            <w:col w:w="4260"/>
          </w:cols>
          <w:pgMar w:left="280" w:top="580" w:right="27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3.3</w:t>
            </w:r>
          </w:p>
        </w:tc>
        <w:tc>
          <w:tcPr>
            <w:tcW w:w="5820" w:type="dxa"/>
            <w:vAlign w:val="bottom"/>
            <w:tcBorders>
              <w:bottom w:val="single" w:sz="8" w:color="0000FF"/>
            </w:tcBorders>
            <w:gridSpan w:val="3"/>
          </w:tcPr>
          <w:p>
            <w:pPr>
              <w:spacing w:after="0"/>
              <w:rPr>
                <w:rFonts w:ascii="Arial" w:cs="Arial" w:eastAsia="Arial" w:hAnsi="Arial"/>
                <w:sz w:val="16"/>
                <w:szCs w:val="16"/>
                <w:color w:val="0000FF"/>
                <w:w w:val="93"/>
              </w:rPr>
            </w:pPr>
            <w:hyperlink r:id="rId24">
              <w:r>
                <w:rPr>
                  <w:rFonts w:ascii="Arial" w:cs="Arial" w:eastAsia="Arial" w:hAnsi="Arial"/>
                  <w:sz w:val="16"/>
                  <w:szCs w:val="16"/>
                  <w:color w:val="0000FF"/>
                  <w:w w:val="93"/>
                </w:rPr>
                <w:t>Third Amended and Restated Limited Liability Company Agreement of Clearway Energy</w:t>
              </w:r>
            </w:hyperlink>
          </w:p>
        </w:tc>
      </w:tr>
      <w:tr>
        <w:trPr>
          <w:trHeight w:val="183"/>
        </w:trPr>
        <w:tc>
          <w:tcPr>
            <w:tcW w:w="1040" w:type="dxa"/>
            <w:vAlign w:val="bottom"/>
          </w:tcPr>
          <w:p>
            <w:pPr>
              <w:spacing w:after="0"/>
              <w:rPr>
                <w:sz w:val="15"/>
                <w:szCs w:val="15"/>
                <w:color w:val="auto"/>
              </w:rPr>
            </w:pPr>
          </w:p>
        </w:tc>
        <w:tc>
          <w:tcPr>
            <w:tcW w:w="1040" w:type="dxa"/>
            <w:vAlign w:val="bottom"/>
            <w:tcBorders>
              <w:bottom w:val="single" w:sz="8" w:color="0000FF"/>
            </w:tcBorders>
          </w:tcPr>
          <w:p>
            <w:pPr>
              <w:spacing w:after="0" w:line="183" w:lineRule="exact"/>
              <w:rPr>
                <w:rFonts w:ascii="Arial" w:cs="Arial" w:eastAsia="Arial" w:hAnsi="Arial"/>
                <w:sz w:val="16"/>
                <w:szCs w:val="16"/>
                <w:color w:val="0000FF"/>
                <w:w w:val="93"/>
              </w:rPr>
            </w:pPr>
            <w:hyperlink r:id="rId24">
              <w:r>
                <w:rPr>
                  <w:rFonts w:ascii="Arial" w:cs="Arial" w:eastAsia="Arial" w:hAnsi="Arial"/>
                  <w:sz w:val="16"/>
                  <w:szCs w:val="16"/>
                  <w:color w:val="0000FF"/>
                  <w:w w:val="93"/>
                </w:rPr>
                <w:t>Operating LLC.</w:t>
              </w:r>
            </w:hyperlink>
          </w:p>
        </w:tc>
        <w:tc>
          <w:tcPr>
            <w:tcW w:w="4780" w:type="dxa"/>
            <w:vAlign w:val="bottom"/>
            <w:gridSpan w:val="2"/>
          </w:tcPr>
          <w:p>
            <w:pPr>
              <w:spacing w:after="0"/>
              <w:rPr>
                <w:sz w:val="15"/>
                <w:szCs w:val="15"/>
                <w:color w:val="auto"/>
              </w:rPr>
            </w:pPr>
          </w:p>
        </w:tc>
      </w:tr>
      <w:tr>
        <w:trPr>
          <w:trHeight w:val="601"/>
        </w:trPr>
        <w:tc>
          <w:tcPr>
            <w:tcW w:w="1040" w:type="dxa"/>
            <w:vAlign w:val="bottom"/>
          </w:tcPr>
          <w:p>
            <w:pPr>
              <w:jc w:val="right"/>
              <w:ind w:right="759"/>
              <w:spacing w:after="0"/>
              <w:rPr>
                <w:sz w:val="20"/>
                <w:szCs w:val="20"/>
                <w:color w:val="auto"/>
              </w:rPr>
            </w:pPr>
            <w:r>
              <w:rPr>
                <w:rFonts w:ascii="Arial" w:cs="Arial" w:eastAsia="Arial" w:hAnsi="Arial"/>
                <w:sz w:val="16"/>
                <w:szCs w:val="16"/>
                <w:color w:val="auto"/>
                <w:w w:val="80"/>
              </w:rPr>
              <w:t>3.4</w:t>
            </w:r>
          </w:p>
        </w:tc>
        <w:tc>
          <w:tcPr>
            <w:tcW w:w="5820" w:type="dxa"/>
            <w:vAlign w:val="bottom"/>
            <w:gridSpan w:val="3"/>
          </w:tcPr>
          <w:p>
            <w:pPr>
              <w:spacing w:after="0"/>
              <w:rPr>
                <w:rFonts w:ascii="Arial" w:cs="Arial" w:eastAsia="Arial" w:hAnsi="Arial"/>
                <w:sz w:val="16"/>
                <w:szCs w:val="16"/>
                <w:color w:val="0000FF"/>
              </w:rPr>
            </w:pPr>
            <w:hyperlink r:id="rId25">
              <w:r>
                <w:rPr>
                  <w:rFonts w:ascii="Arial" w:cs="Arial" w:eastAsia="Arial" w:hAnsi="Arial"/>
                  <w:sz w:val="16"/>
                  <w:szCs w:val="16"/>
                  <w:color w:val="0000FF"/>
                </w:rPr>
                <w:t>Certificate of Formation of NRG Yield LLC.</w:t>
              </w:r>
            </w:hyperlink>
          </w:p>
        </w:tc>
      </w:tr>
      <w:tr>
        <w:trPr>
          <w:trHeight w:val="20"/>
        </w:trPr>
        <w:tc>
          <w:tcPr>
            <w:tcW w:w="10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Incorporated herein by reference to Exhibit 3.33 to the Company's Annual Report on Form 10-K filed on February 28, 2019.</w:t>
      </w:r>
    </w:p>
    <w:p>
      <w:pPr>
        <w:spacing w:after="0" w:line="18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3.03(a) to the Company's Registration Statement on Form S-4 filed on April 13, 2015.</w:t>
      </w:r>
    </w:p>
    <w:p>
      <w:pPr>
        <w:spacing w:after="0" w:line="103" w:lineRule="exact"/>
        <w:rPr>
          <w:sz w:val="20"/>
          <w:szCs w:val="20"/>
          <w:color w:val="auto"/>
        </w:rPr>
      </w:pPr>
    </w:p>
    <w:p>
      <w:pPr>
        <w:sectPr>
          <w:pgSz w:w="11900" w:h="16838" w:orient="portrait"/>
          <w:cols w:equalWidth="0" w:num="2">
            <w:col w:w="6860" w:space="220"/>
            <w:col w:w="4260"/>
          </w:cols>
          <w:pgMar w:left="280" w:top="580" w:right="279" w:bottom="1440" w:gutter="0" w:footer="0" w:header="0"/>
          <w:type w:val="continuous"/>
        </w:sectPr>
      </w:pPr>
    </w:p>
    <w:p>
      <w:pPr>
        <w:spacing w:after="0"/>
        <w:rPr>
          <w:sz w:val="20"/>
          <w:szCs w:val="20"/>
          <w:color w:val="auto"/>
        </w:rPr>
      </w:pPr>
      <w:r>
        <w:rPr>
          <w:rFonts w:ascii="Arial" w:cs="Arial" w:eastAsia="Arial" w:hAnsi="Arial"/>
          <w:sz w:val="14"/>
          <w:szCs w:val="14"/>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6"/>
          <w:szCs w:val="16"/>
          <w:u w:val="single" w:color="auto"/>
          <w:color w:val="0000FF"/>
        </w:rPr>
      </w:pPr>
      <w:hyperlink r:id="rId26">
        <w:r>
          <w:rPr>
            <w:rFonts w:ascii="Arial" w:cs="Arial" w:eastAsia="Arial" w:hAnsi="Arial"/>
            <w:sz w:val="16"/>
            <w:szCs w:val="16"/>
            <w:u w:val="single" w:color="auto"/>
            <w:color w:val="0000FF"/>
          </w:rPr>
          <w:t>Certificate of Amendment of Certificate of Formation of NRG Yield LLC.</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78" w:lineRule="auto"/>
        <w:rPr>
          <w:rFonts w:ascii="Arial" w:cs="Arial" w:eastAsia="Arial" w:hAnsi="Arial"/>
          <w:sz w:val="16"/>
          <w:szCs w:val="16"/>
          <w:u w:val="single" w:color="auto"/>
          <w:color w:val="0000FF"/>
        </w:rPr>
      </w:pPr>
      <w:hyperlink r:id="rId27">
        <w:r>
          <w:rPr>
            <w:rFonts w:ascii="Arial" w:cs="Arial" w:eastAsia="Arial" w:hAnsi="Arial"/>
            <w:sz w:val="16"/>
            <w:szCs w:val="16"/>
            <w:u w:val="single" w:color="auto"/>
            <w:color w:val="0000FF"/>
          </w:rPr>
          <w:t>Fourth Amended and Restated Limited Liability Company Agreement of NRG Yield</w:t>
        </w:r>
      </w:hyperlink>
      <w:r>
        <w:rPr>
          <w:rFonts w:ascii="Arial" w:cs="Arial" w:eastAsia="Arial" w:hAnsi="Arial"/>
          <w:sz w:val="16"/>
          <w:szCs w:val="16"/>
          <w:u w:val="single" w:color="auto"/>
          <w:color w:val="0000FF"/>
        </w:rPr>
        <w:t xml:space="preserve"> </w:t>
      </w:r>
      <w:hyperlink r:id="rId27">
        <w:r>
          <w:rPr>
            <w:rFonts w:ascii="Arial" w:cs="Arial" w:eastAsia="Arial" w:hAnsi="Arial"/>
            <w:sz w:val="16"/>
            <w:szCs w:val="16"/>
            <w:u w:val="single" w:color="auto"/>
            <w:color w:val="0000FF"/>
          </w:rPr>
          <w:t>LLC, dated as of August 31, 2018, by and between NRG Yield, Inc. and Zephyr</w:t>
        </w:r>
      </w:hyperlink>
      <w:r>
        <w:rPr>
          <w:rFonts w:ascii="Arial" w:cs="Arial" w:eastAsia="Arial" w:hAnsi="Arial"/>
          <w:sz w:val="16"/>
          <w:szCs w:val="16"/>
          <w:u w:val="single" w:color="auto"/>
          <w:color w:val="0000FF"/>
        </w:rPr>
        <w:t xml:space="preserve"> </w:t>
      </w:r>
      <w:hyperlink r:id="rId27">
        <w:r>
          <w:rPr>
            <w:rFonts w:ascii="Arial" w:cs="Arial" w:eastAsia="Arial" w:hAnsi="Arial"/>
            <w:sz w:val="16"/>
            <w:szCs w:val="16"/>
            <w:u w:val="single" w:color="auto"/>
            <w:color w:val="0000FF"/>
          </w:rPr>
          <w:t>Renewables LLC.</w:t>
        </w:r>
      </w:hyperlink>
    </w:p>
    <w:p>
      <w:pPr>
        <w:spacing w:after="0" w:line="200" w:lineRule="exact"/>
        <w:rPr>
          <w:rFonts w:ascii="Arial" w:cs="Arial" w:eastAsia="Arial" w:hAnsi="Arial"/>
          <w:sz w:val="16"/>
          <w:szCs w:val="16"/>
          <w:u w:val="single" w:color="auto"/>
          <w:color w:val="0000FF"/>
        </w:rPr>
      </w:pPr>
    </w:p>
    <w:p>
      <w:pPr>
        <w:spacing w:after="0" w:line="268" w:lineRule="exact"/>
        <w:rPr>
          <w:rFonts w:ascii="Arial" w:cs="Arial" w:eastAsia="Arial" w:hAnsi="Arial"/>
          <w:sz w:val="16"/>
          <w:szCs w:val="16"/>
          <w:u w:val="single" w:color="auto"/>
          <w:color w:val="0000FF"/>
        </w:rPr>
      </w:pPr>
    </w:p>
    <w:p>
      <w:pPr>
        <w:ind w:right="80"/>
        <w:spacing w:after="0" w:line="293" w:lineRule="auto"/>
        <w:rPr>
          <w:rFonts w:ascii="Arial" w:cs="Arial" w:eastAsia="Arial" w:hAnsi="Arial"/>
          <w:sz w:val="16"/>
          <w:szCs w:val="16"/>
          <w:u w:val="single" w:color="auto"/>
          <w:color w:val="0000FF"/>
        </w:rPr>
      </w:pPr>
      <w:hyperlink r:id="rId28">
        <w:r>
          <w:rPr>
            <w:rFonts w:ascii="Arial" w:cs="Arial" w:eastAsia="Arial" w:hAnsi="Arial"/>
            <w:sz w:val="16"/>
            <w:szCs w:val="16"/>
            <w:u w:val="single" w:color="auto"/>
            <w:color w:val="0000FF"/>
          </w:rPr>
          <w:t>Indenture, dated August 5, 2014, among NRG Yield Operating LLC, the guarantors</w:t>
        </w:r>
      </w:hyperlink>
      <w:r>
        <w:rPr>
          <w:rFonts w:ascii="Arial" w:cs="Arial" w:eastAsia="Arial" w:hAnsi="Arial"/>
          <w:sz w:val="16"/>
          <w:szCs w:val="16"/>
          <w:u w:val="single" w:color="auto"/>
          <w:color w:val="0000FF"/>
        </w:rPr>
        <w:t xml:space="preserve"> </w:t>
      </w:r>
      <w:hyperlink r:id="rId28">
        <w:r>
          <w:rPr>
            <w:rFonts w:ascii="Arial" w:cs="Arial" w:eastAsia="Arial" w:hAnsi="Arial"/>
            <w:sz w:val="16"/>
            <w:szCs w:val="16"/>
            <w:u w:val="single" w:color="auto"/>
            <w:color w:val="0000FF"/>
          </w:rPr>
          <w:t>named therein and Law Debenture Trust Company of New York.</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3.03(b) to the Company's Registration Statement on Form S-4 filed on April 13, 2015.</w:t>
      </w:r>
    </w:p>
    <w:p>
      <w:pPr>
        <w:spacing w:after="0" w:line="184"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Incorporated herein by reference to Exhibit 10.6 to Clearway Energy, Inc.'s Current Report on Form 8-K filed on September 5, 2018.</w:t>
      </w:r>
    </w:p>
    <w:p>
      <w:pPr>
        <w:spacing w:after="0" w:line="200" w:lineRule="exact"/>
        <w:rPr>
          <w:sz w:val="20"/>
          <w:szCs w:val="20"/>
          <w:color w:val="auto"/>
        </w:rPr>
      </w:pPr>
    </w:p>
    <w:p>
      <w:pPr>
        <w:spacing w:after="0" w:line="268" w:lineRule="exact"/>
        <w:rPr>
          <w:sz w:val="20"/>
          <w:szCs w:val="20"/>
          <w:color w:val="auto"/>
        </w:rPr>
      </w:pPr>
    </w:p>
    <w:p>
      <w:pPr>
        <w:ind w:right="280"/>
        <w:spacing w:after="0" w:line="278" w:lineRule="auto"/>
        <w:rPr>
          <w:sz w:val="20"/>
          <w:szCs w:val="20"/>
          <w:color w:val="auto"/>
        </w:rPr>
      </w:pPr>
      <w:r>
        <w:rPr>
          <w:rFonts w:ascii="Arial" w:cs="Arial" w:eastAsia="Arial" w:hAnsi="Arial"/>
          <w:sz w:val="16"/>
          <w:szCs w:val="16"/>
          <w:color w:val="auto"/>
        </w:rPr>
        <w:t>Incorporated herein by reference to Exhibit 4.1 to Clearway Energy, Inc.'s Current Report on Form 8-K filed on August 5, 2014.</w:t>
      </w:r>
    </w:p>
    <w:p>
      <w:pPr>
        <w:sectPr>
          <w:pgSz w:w="11900" w:h="16838" w:orient="portrait"/>
          <w:cols w:equalWidth="0" w:num="3">
            <w:col w:w="320" w:space="720"/>
            <w:col w:w="5500" w:space="540"/>
            <w:col w:w="4260"/>
          </w:cols>
          <w:pgMar w:left="280" w:top="580" w:right="27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color w:val="auto"/>
        </w:rPr>
        <w:t>4.2</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4.4</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6"/>
          <w:szCs w:val="16"/>
          <w:u w:val="single" w:color="auto"/>
          <w:color w:val="0000FF"/>
        </w:rPr>
      </w:pPr>
      <w:hyperlink r:id="rId28">
        <w:r>
          <w:rPr>
            <w:rFonts w:ascii="Arial" w:cs="Arial" w:eastAsia="Arial" w:hAnsi="Arial"/>
            <w:sz w:val="16"/>
            <w:szCs w:val="16"/>
            <w:u w:val="single" w:color="auto"/>
            <w:color w:val="0000FF"/>
          </w:rPr>
          <w:t>Form of 5.375% Senior Note due 2024.</w:t>
        </w:r>
      </w:hyperlink>
    </w:p>
    <w:p>
      <w:pPr>
        <w:spacing w:after="0" w:line="200" w:lineRule="exact"/>
        <w:rPr>
          <w:sz w:val="20"/>
          <w:szCs w:val="20"/>
          <w:color w:val="auto"/>
        </w:rPr>
      </w:pPr>
    </w:p>
    <w:p>
      <w:pPr>
        <w:spacing w:after="0" w:line="359" w:lineRule="exact"/>
        <w:rPr>
          <w:sz w:val="20"/>
          <w:szCs w:val="20"/>
          <w:color w:val="auto"/>
        </w:rPr>
      </w:pPr>
    </w:p>
    <w:p>
      <w:pPr>
        <w:jc w:val="both"/>
        <w:ind w:right="280"/>
        <w:spacing w:after="0" w:line="278" w:lineRule="auto"/>
        <w:rPr>
          <w:rFonts w:ascii="Arial" w:cs="Arial" w:eastAsia="Arial" w:hAnsi="Arial"/>
          <w:sz w:val="16"/>
          <w:szCs w:val="16"/>
          <w:u w:val="single" w:color="auto"/>
          <w:color w:val="0000FF"/>
        </w:rPr>
      </w:pPr>
      <w:hyperlink r:id="rId29">
        <w:r>
          <w:rPr>
            <w:rFonts w:ascii="Arial" w:cs="Arial" w:eastAsia="Arial" w:hAnsi="Arial"/>
            <w:sz w:val="16"/>
            <w:szCs w:val="16"/>
            <w:u w:val="single" w:color="auto"/>
            <w:color w:val="0000FF"/>
          </w:rPr>
          <w:t>Registration Rights Agreement, dated October 1, 2018, among Clearway Energy</w:t>
        </w:r>
      </w:hyperlink>
      <w:r>
        <w:rPr>
          <w:rFonts w:ascii="Arial" w:cs="Arial" w:eastAsia="Arial" w:hAnsi="Arial"/>
          <w:sz w:val="16"/>
          <w:szCs w:val="16"/>
          <w:u w:val="single" w:color="auto"/>
          <w:color w:val="0000FF"/>
        </w:rPr>
        <w:t xml:space="preserve"> </w:t>
      </w:r>
      <w:hyperlink r:id="rId29">
        <w:r>
          <w:rPr>
            <w:rFonts w:ascii="Arial" w:cs="Arial" w:eastAsia="Arial" w:hAnsi="Arial"/>
            <w:sz w:val="16"/>
            <w:szCs w:val="16"/>
            <w:u w:val="single" w:color="auto"/>
            <w:color w:val="0000FF"/>
          </w:rPr>
          <w:t>Operating LLC, the guarantors named therein and RBC Capital Markets, LLC, as</w:t>
        </w:r>
      </w:hyperlink>
      <w:r>
        <w:rPr>
          <w:rFonts w:ascii="Arial" w:cs="Arial" w:eastAsia="Arial" w:hAnsi="Arial"/>
          <w:sz w:val="16"/>
          <w:szCs w:val="16"/>
          <w:u w:val="single" w:color="auto"/>
          <w:color w:val="0000FF"/>
        </w:rPr>
        <w:t xml:space="preserve"> </w:t>
      </w:r>
      <w:hyperlink r:id="rId29">
        <w:r>
          <w:rPr>
            <w:rFonts w:ascii="Arial" w:cs="Arial" w:eastAsia="Arial" w:hAnsi="Arial"/>
            <w:sz w:val="16"/>
            <w:szCs w:val="16"/>
            <w:u w:val="single" w:color="auto"/>
            <w:color w:val="0000FF"/>
          </w:rPr>
          <w:t>representative of the initial purchasers.</w:t>
        </w:r>
      </w:hyperlink>
    </w:p>
    <w:p>
      <w:pPr>
        <w:spacing w:after="0" w:line="306" w:lineRule="exact"/>
        <w:rPr>
          <w:rFonts w:ascii="Arial" w:cs="Arial" w:eastAsia="Arial" w:hAnsi="Arial"/>
          <w:sz w:val="16"/>
          <w:szCs w:val="16"/>
          <w:u w:val="single" w:color="auto"/>
          <w:color w:val="0000FF"/>
        </w:rPr>
      </w:pPr>
    </w:p>
    <w:p>
      <w:pPr>
        <w:jc w:val="both"/>
        <w:spacing w:after="0" w:line="369" w:lineRule="auto"/>
        <w:rPr>
          <w:rFonts w:ascii="Arial" w:cs="Arial" w:eastAsia="Arial" w:hAnsi="Arial"/>
          <w:sz w:val="14"/>
          <w:szCs w:val="14"/>
          <w:u w:val="single" w:color="auto"/>
          <w:color w:val="0000FF"/>
        </w:rPr>
      </w:pPr>
      <w:hyperlink r:id="rId30">
        <w:r>
          <w:rPr>
            <w:rFonts w:ascii="Arial" w:cs="Arial" w:eastAsia="Arial" w:hAnsi="Arial"/>
            <w:sz w:val="14"/>
            <w:szCs w:val="14"/>
            <w:u w:val="single" w:color="auto"/>
            <w:color w:val="0000FF"/>
          </w:rPr>
          <w:t>Supplemental Indenture, dated as of November 7, 2014, among NRG Yield Operating</w:t>
        </w:r>
      </w:hyperlink>
      <w:r>
        <w:rPr>
          <w:rFonts w:ascii="Arial" w:cs="Arial" w:eastAsia="Arial" w:hAnsi="Arial"/>
          <w:sz w:val="14"/>
          <w:szCs w:val="14"/>
          <w:u w:val="single" w:color="auto"/>
          <w:color w:val="0000FF"/>
        </w:rPr>
        <w:t xml:space="preserve"> </w:t>
      </w:r>
      <w:hyperlink r:id="rId30">
        <w:r>
          <w:rPr>
            <w:rFonts w:ascii="Arial" w:cs="Arial" w:eastAsia="Arial" w:hAnsi="Arial"/>
            <w:sz w:val="14"/>
            <w:szCs w:val="14"/>
            <w:u w:val="single" w:color="auto"/>
            <w:color w:val="0000FF"/>
          </w:rPr>
          <w:t>LLC, the guarantors named therein and Law Debenture Trust Company of New York.</w:t>
        </w:r>
      </w:hyperlink>
    </w:p>
    <w:p>
      <w:pPr>
        <w:spacing w:after="0" w:line="167" w:lineRule="exact"/>
        <w:rPr>
          <w:sz w:val="20"/>
          <w:szCs w:val="20"/>
          <w:color w:val="auto"/>
        </w:rPr>
      </w:pPr>
    </w:p>
    <w:p>
      <w:pPr>
        <w:jc w:val="both"/>
        <w:spacing w:after="0" w:line="369" w:lineRule="auto"/>
        <w:rPr>
          <w:rFonts w:ascii="Arial" w:cs="Arial" w:eastAsia="Arial" w:hAnsi="Arial"/>
          <w:sz w:val="14"/>
          <w:szCs w:val="14"/>
          <w:u w:val="single" w:color="auto"/>
          <w:color w:val="0000FF"/>
        </w:rPr>
      </w:pPr>
      <w:hyperlink r:id="rId31">
        <w:r>
          <w:rPr>
            <w:rFonts w:ascii="Arial" w:cs="Arial" w:eastAsia="Arial" w:hAnsi="Arial"/>
            <w:sz w:val="14"/>
            <w:szCs w:val="14"/>
            <w:u w:val="single" w:color="auto"/>
            <w:color w:val="0000FF"/>
          </w:rPr>
          <w:t>Supplemental Indenture, dated as of February 25, 2015, among NRG Yield Operating</w:t>
        </w:r>
      </w:hyperlink>
      <w:r>
        <w:rPr>
          <w:rFonts w:ascii="Arial" w:cs="Arial" w:eastAsia="Arial" w:hAnsi="Arial"/>
          <w:sz w:val="14"/>
          <w:szCs w:val="14"/>
          <w:u w:val="single" w:color="auto"/>
          <w:color w:val="0000FF"/>
        </w:rPr>
        <w:t xml:space="preserve"> </w:t>
      </w:r>
      <w:hyperlink r:id="rId31">
        <w:r>
          <w:rPr>
            <w:rFonts w:ascii="Arial" w:cs="Arial" w:eastAsia="Arial" w:hAnsi="Arial"/>
            <w:sz w:val="14"/>
            <w:szCs w:val="14"/>
            <w:u w:val="single" w:color="auto"/>
            <w:color w:val="0000FF"/>
          </w:rPr>
          <w:t>LLC, the guarantors named therein and Law Debenture Trust Company of New York.</w:t>
        </w:r>
      </w:hyperlink>
    </w:p>
    <w:p>
      <w:pPr>
        <w:spacing w:after="0" w:line="20" w:lineRule="exact"/>
        <w:rPr>
          <w:sz w:val="20"/>
          <w:szCs w:val="20"/>
          <w:color w:val="auto"/>
        </w:rPr>
      </w:pPr>
      <w:r>
        <w:rPr>
          <w:sz w:val="20"/>
          <w:szCs w:val="20"/>
          <w:color w:val="auto"/>
        </w:rPr>
        <w:br w:type="column"/>
      </w:r>
    </w:p>
    <w:p>
      <w:pPr>
        <w:ind w:right="280"/>
        <w:spacing w:after="0" w:line="278" w:lineRule="auto"/>
        <w:rPr>
          <w:sz w:val="20"/>
          <w:szCs w:val="20"/>
          <w:color w:val="auto"/>
        </w:rPr>
      </w:pPr>
      <w:r>
        <w:rPr>
          <w:rFonts w:ascii="Arial" w:cs="Arial" w:eastAsia="Arial" w:hAnsi="Arial"/>
          <w:sz w:val="16"/>
          <w:szCs w:val="16"/>
          <w:color w:val="auto"/>
        </w:rPr>
        <w:t>Incorporated herein by reference to Exhibit 4.2 to Clearway Energy, Inc.'s Current Report on Form 8-K filed on August 5, 2014.</w:t>
      </w:r>
    </w:p>
    <w:p>
      <w:pPr>
        <w:spacing w:after="0" w:line="103" w:lineRule="exact"/>
        <w:rPr>
          <w:sz w:val="20"/>
          <w:szCs w:val="20"/>
          <w:color w:val="auto"/>
        </w:rPr>
      </w:pPr>
    </w:p>
    <w:p>
      <w:pPr>
        <w:ind w:right="60"/>
        <w:spacing w:after="0" w:line="369" w:lineRule="auto"/>
        <w:rPr>
          <w:sz w:val="20"/>
          <w:szCs w:val="20"/>
          <w:color w:val="auto"/>
        </w:rPr>
      </w:pPr>
      <w:r>
        <w:rPr>
          <w:rFonts w:ascii="Arial" w:cs="Arial" w:eastAsia="Arial" w:hAnsi="Arial"/>
          <w:sz w:val="14"/>
          <w:szCs w:val="14"/>
          <w:color w:val="auto"/>
        </w:rPr>
        <w:t>Incorporated herein by reference to Exhibit 4.3 to the Company's Current Report on Form 8-K filed on October 2, 2018.</w:t>
      </w:r>
    </w:p>
    <w:p>
      <w:pPr>
        <w:spacing w:after="0" w:line="200" w:lineRule="exact"/>
        <w:rPr>
          <w:sz w:val="20"/>
          <w:szCs w:val="20"/>
          <w:color w:val="auto"/>
        </w:rPr>
      </w:pPr>
    </w:p>
    <w:p>
      <w:pPr>
        <w:spacing w:after="0" w:line="250"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Incorporated herein by reference to Exhibit 4.1 to Clearway Energy, Inc.'s Current Report on Form 8-K filed on November 13, 2014.</w:t>
      </w:r>
    </w:p>
    <w:p>
      <w:pPr>
        <w:spacing w:after="0" w:line="103"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4.1 to Clearway Energy, Inc.'s Current Report on Form 8-K filed on February 27, 2015.</w:t>
      </w:r>
    </w:p>
    <w:p>
      <w:pPr>
        <w:spacing w:after="0" w:line="103" w:lineRule="exact"/>
        <w:rPr>
          <w:sz w:val="20"/>
          <w:szCs w:val="20"/>
          <w:color w:val="auto"/>
        </w:rPr>
      </w:pPr>
    </w:p>
    <w:p>
      <w:pPr>
        <w:sectPr>
          <w:pgSz w:w="11900" w:h="16838" w:orient="portrait"/>
          <w:cols w:equalWidth="0" w:num="3">
            <w:col w:w="320" w:space="720"/>
            <w:col w:w="5560" w:space="480"/>
            <w:col w:w="4260"/>
          </w:cols>
          <w:pgMar w:left="280" w:top="751" w:right="279" w:bottom="1103" w:gutter="0" w:footer="0" w:header="0"/>
        </w:sectPr>
      </w:pPr>
    </w:p>
    <w:p>
      <w:pPr>
        <w:spacing w:after="0"/>
        <w:rPr>
          <w:sz w:val="20"/>
          <w:szCs w:val="20"/>
          <w:color w:val="auto"/>
        </w:rPr>
      </w:pPr>
      <w:r>
        <w:rPr>
          <w:rFonts w:ascii="Arial" w:cs="Arial" w:eastAsia="Arial" w:hAnsi="Arial"/>
          <w:sz w:val="14"/>
          <w:szCs w:val="14"/>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4.7</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80"/>
        <w:spacing w:after="0" w:line="278" w:lineRule="auto"/>
        <w:rPr>
          <w:rFonts w:ascii="Arial" w:cs="Arial" w:eastAsia="Arial" w:hAnsi="Arial"/>
          <w:sz w:val="16"/>
          <w:szCs w:val="16"/>
          <w:u w:val="single" w:color="auto"/>
          <w:color w:val="0000FF"/>
        </w:rPr>
      </w:pPr>
      <w:hyperlink r:id="rId32">
        <w:r>
          <w:rPr>
            <w:rFonts w:ascii="Arial" w:cs="Arial" w:eastAsia="Arial" w:hAnsi="Arial"/>
            <w:sz w:val="16"/>
            <w:szCs w:val="16"/>
            <w:u w:val="single" w:color="auto"/>
            <w:color w:val="0000FF"/>
          </w:rPr>
          <w:t>Third Supplemental Indenture, dated as of April 10, 2015, among NRG Yield Operating</w:t>
        </w:r>
      </w:hyperlink>
      <w:r>
        <w:rPr>
          <w:rFonts w:ascii="Arial" w:cs="Arial" w:eastAsia="Arial" w:hAnsi="Arial"/>
          <w:sz w:val="16"/>
          <w:szCs w:val="16"/>
          <w:u w:val="single" w:color="auto"/>
          <w:color w:val="0000FF"/>
        </w:rPr>
        <w:t xml:space="preserve"> </w:t>
      </w:r>
      <w:hyperlink r:id="rId32">
        <w:r>
          <w:rPr>
            <w:rFonts w:ascii="Arial" w:cs="Arial" w:eastAsia="Arial" w:hAnsi="Arial"/>
            <w:sz w:val="16"/>
            <w:szCs w:val="16"/>
            <w:u w:val="single" w:color="auto"/>
            <w:color w:val="0000FF"/>
          </w:rPr>
          <w:t>LLC, NRG Yield LLC, the other guarantors named therein and Law Debenture Trust</w:t>
        </w:r>
      </w:hyperlink>
      <w:r>
        <w:rPr>
          <w:rFonts w:ascii="Arial" w:cs="Arial" w:eastAsia="Arial" w:hAnsi="Arial"/>
          <w:sz w:val="16"/>
          <w:szCs w:val="16"/>
          <w:u w:val="single" w:color="auto"/>
          <w:color w:val="0000FF"/>
        </w:rPr>
        <w:t xml:space="preserve"> </w:t>
      </w:r>
      <w:hyperlink r:id="rId32">
        <w:r>
          <w:rPr>
            <w:rFonts w:ascii="Arial" w:cs="Arial" w:eastAsia="Arial" w:hAnsi="Arial"/>
            <w:sz w:val="16"/>
            <w:szCs w:val="16"/>
            <w:u w:val="single" w:color="auto"/>
            <w:color w:val="0000FF"/>
          </w:rPr>
          <w:t>Company of New York.</w:t>
        </w:r>
      </w:hyperlink>
    </w:p>
    <w:p>
      <w:pPr>
        <w:spacing w:after="0" w:line="184" w:lineRule="exact"/>
        <w:rPr>
          <w:rFonts w:ascii="Arial" w:cs="Arial" w:eastAsia="Arial" w:hAnsi="Arial"/>
          <w:sz w:val="16"/>
          <w:szCs w:val="16"/>
          <w:u w:val="single" w:color="auto"/>
          <w:color w:val="0000FF"/>
        </w:rPr>
      </w:pPr>
    </w:p>
    <w:p>
      <w:pPr>
        <w:ind w:right="120"/>
        <w:spacing w:after="0" w:line="369" w:lineRule="auto"/>
        <w:rPr>
          <w:rFonts w:ascii="Arial" w:cs="Arial" w:eastAsia="Arial" w:hAnsi="Arial"/>
          <w:sz w:val="14"/>
          <w:szCs w:val="14"/>
          <w:u w:val="single" w:color="auto"/>
          <w:color w:val="0000FF"/>
        </w:rPr>
      </w:pPr>
      <w:hyperlink r:id="rId33">
        <w:r>
          <w:rPr>
            <w:rFonts w:ascii="Arial" w:cs="Arial" w:eastAsia="Arial" w:hAnsi="Arial"/>
            <w:sz w:val="14"/>
            <w:szCs w:val="14"/>
            <w:u w:val="single" w:color="auto"/>
            <w:color w:val="0000FF"/>
          </w:rPr>
          <w:t>Fourth Supplemental Indenture, dated as of May 8, 2015, among NRG Yield Operating</w:t>
        </w:r>
      </w:hyperlink>
      <w:r>
        <w:rPr>
          <w:rFonts w:ascii="Arial" w:cs="Arial" w:eastAsia="Arial" w:hAnsi="Arial"/>
          <w:sz w:val="14"/>
          <w:szCs w:val="14"/>
          <w:u w:val="single" w:color="auto"/>
          <w:color w:val="0000FF"/>
        </w:rPr>
        <w:t xml:space="preserve"> </w:t>
      </w:r>
      <w:hyperlink r:id="rId33">
        <w:r>
          <w:rPr>
            <w:rFonts w:ascii="Arial" w:cs="Arial" w:eastAsia="Arial" w:hAnsi="Arial"/>
            <w:sz w:val="14"/>
            <w:szCs w:val="14"/>
            <w:u w:val="single" w:color="auto"/>
            <w:color w:val="0000FF"/>
          </w:rPr>
          <w:t>LLC, the guarantors named therein and Law Debenture Trust Company of New York.</w:t>
        </w:r>
      </w:hyperlink>
    </w:p>
    <w:p>
      <w:pPr>
        <w:spacing w:after="0" w:line="126" w:lineRule="exact"/>
        <w:rPr>
          <w:sz w:val="20"/>
          <w:szCs w:val="20"/>
          <w:color w:val="auto"/>
        </w:rPr>
      </w:pPr>
    </w:p>
    <w:p>
      <w:pPr>
        <w:jc w:val="both"/>
        <w:spacing w:after="0" w:line="369" w:lineRule="auto"/>
        <w:rPr>
          <w:rFonts w:ascii="Arial" w:cs="Arial" w:eastAsia="Arial" w:hAnsi="Arial"/>
          <w:sz w:val="14"/>
          <w:szCs w:val="14"/>
          <w:u w:val="single" w:color="auto"/>
          <w:color w:val="0000FF"/>
        </w:rPr>
      </w:pPr>
      <w:hyperlink r:id="rId34">
        <w:r>
          <w:rPr>
            <w:rFonts w:ascii="Arial" w:cs="Arial" w:eastAsia="Arial" w:hAnsi="Arial"/>
            <w:sz w:val="14"/>
            <w:szCs w:val="14"/>
            <w:u w:val="single" w:color="auto"/>
            <w:color w:val="0000FF"/>
          </w:rPr>
          <w:t>Indenture, dated June 29, 2015, among NRG Yield, Inc., NRG Yield Operating LLC and</w:t>
        </w:r>
      </w:hyperlink>
      <w:r>
        <w:rPr>
          <w:rFonts w:ascii="Arial" w:cs="Arial" w:eastAsia="Arial" w:hAnsi="Arial"/>
          <w:sz w:val="14"/>
          <w:szCs w:val="14"/>
          <w:u w:val="single" w:color="auto"/>
          <w:color w:val="0000FF"/>
        </w:rPr>
        <w:t xml:space="preserve"> </w:t>
      </w:r>
      <w:hyperlink r:id="rId34">
        <w:r>
          <w:rPr>
            <w:rFonts w:ascii="Arial" w:cs="Arial" w:eastAsia="Arial" w:hAnsi="Arial"/>
            <w:sz w:val="14"/>
            <w:szCs w:val="14"/>
            <w:u w:val="single" w:color="auto"/>
            <w:color w:val="0000FF"/>
          </w:rPr>
          <w:t>NRG Yield LLC, as Guarantors, and Wilmington Trust, National Association, as Trustee.</w:t>
        </w:r>
      </w:hyperlink>
    </w:p>
    <w:p>
      <w:pPr>
        <w:spacing w:after="0" w:line="329" w:lineRule="exact"/>
        <w:rPr>
          <w:sz w:val="20"/>
          <w:szCs w:val="20"/>
          <w:color w:val="auto"/>
        </w:rPr>
      </w:pPr>
    </w:p>
    <w:p>
      <w:pPr>
        <w:spacing w:after="0"/>
        <w:rPr>
          <w:rFonts w:ascii="Arial" w:cs="Arial" w:eastAsia="Arial" w:hAnsi="Arial"/>
          <w:sz w:val="16"/>
          <w:szCs w:val="16"/>
          <w:u w:val="single" w:color="auto"/>
          <w:color w:val="0000FF"/>
        </w:rPr>
      </w:pPr>
      <w:hyperlink r:id="rId34">
        <w:r>
          <w:rPr>
            <w:rFonts w:ascii="Arial" w:cs="Arial" w:eastAsia="Arial" w:hAnsi="Arial"/>
            <w:sz w:val="16"/>
            <w:szCs w:val="16"/>
            <w:u w:val="single" w:color="auto"/>
            <w:color w:val="0000FF"/>
          </w:rPr>
          <w:t>Form of 3.25% Convertible Senior Note due 2020.</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4.07 to the Company's Registration Statement on Form S-4 filed on April 13, 2015.</w:t>
      </w:r>
    </w:p>
    <w:p>
      <w:pPr>
        <w:spacing w:after="0" w:line="184"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4.1 to Clearway Energy, Inc.'s Current Report on Form 8-K filed on May 8, 2015.</w:t>
      </w:r>
    </w:p>
    <w:p>
      <w:pPr>
        <w:spacing w:after="0" w:line="126" w:lineRule="exact"/>
        <w:rPr>
          <w:sz w:val="20"/>
          <w:szCs w:val="20"/>
          <w:color w:val="auto"/>
        </w:rPr>
      </w:pPr>
    </w:p>
    <w:p>
      <w:pPr>
        <w:jc w:val="both"/>
        <w:ind w:right="360"/>
        <w:spacing w:after="0" w:line="278" w:lineRule="auto"/>
        <w:rPr>
          <w:sz w:val="20"/>
          <w:szCs w:val="20"/>
          <w:color w:val="auto"/>
        </w:rPr>
      </w:pPr>
      <w:r>
        <w:rPr>
          <w:rFonts w:ascii="Arial" w:cs="Arial" w:eastAsia="Arial" w:hAnsi="Arial"/>
          <w:sz w:val="16"/>
          <w:szCs w:val="16"/>
          <w:color w:val="auto"/>
        </w:rPr>
        <w:t>Incorporated herein by reference to Exhibit 4.1 to Clearway Energy, Inc.'s Current Report on Form 8-K filed on June 29, 2015.</w:t>
      </w:r>
    </w:p>
    <w:p>
      <w:pPr>
        <w:spacing w:after="0" w:line="18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Incorporated herein by reference to Exhibit 4.2 to Clearway Energy, Inc.'s Current Report on Form 8-K filed on June 29, 2015.</w:t>
      </w:r>
    </w:p>
    <w:p>
      <w:pPr>
        <w:spacing w:after="0" w:line="105" w:lineRule="exact"/>
        <w:rPr>
          <w:sz w:val="20"/>
          <w:szCs w:val="20"/>
          <w:color w:val="auto"/>
        </w:rPr>
      </w:pPr>
    </w:p>
    <w:p>
      <w:pPr>
        <w:sectPr>
          <w:pgSz w:w="11900" w:h="16838" w:orient="portrait"/>
          <w:cols w:equalWidth="0" w:num="3">
            <w:col w:w="320" w:space="720"/>
            <w:col w:w="5780" w:space="260"/>
            <w:col w:w="4260"/>
          </w:cols>
          <w:pgMar w:left="280" w:top="751" w:right="279" w:bottom="1103" w:gutter="0" w:footer="0" w:header="0"/>
          <w:type w:val="continuous"/>
        </w:sectPr>
      </w:pPr>
    </w:p>
    <w:p>
      <w:pPr>
        <w:spacing w:after="0"/>
        <w:rPr>
          <w:sz w:val="20"/>
          <w:szCs w:val="20"/>
          <w:color w:val="auto"/>
        </w:rPr>
      </w:pPr>
      <w:r>
        <w:rPr>
          <w:rFonts w:ascii="Arial" w:cs="Arial" w:eastAsia="Arial" w:hAnsi="Arial"/>
          <w:sz w:val="14"/>
          <w:szCs w:val="14"/>
          <w:color w:val="auto"/>
        </w:rPr>
        <w:t>4.10</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4.11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4.12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4.13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4.15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4.18</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Borders>
              <w:bottom w:val="single" w:sz="8" w:color="0000FF"/>
            </w:tcBorders>
            <w:gridSpan w:val="6"/>
          </w:tcPr>
          <w:p>
            <w:pPr>
              <w:spacing w:after="0"/>
              <w:rPr>
                <w:rFonts w:ascii="Arial" w:cs="Arial" w:eastAsia="Arial" w:hAnsi="Arial"/>
                <w:sz w:val="16"/>
                <w:szCs w:val="16"/>
                <w:color w:val="0000FF"/>
                <w:w w:val="91"/>
              </w:rPr>
            </w:pPr>
            <w:hyperlink r:id="rId35">
              <w:r>
                <w:rPr>
                  <w:rFonts w:ascii="Arial" w:cs="Arial" w:eastAsia="Arial" w:hAnsi="Arial"/>
                  <w:sz w:val="16"/>
                  <w:szCs w:val="16"/>
                  <w:color w:val="0000FF"/>
                  <w:w w:val="91"/>
                </w:rPr>
                <w:t>Indenture, dated August 18, 2016, among NRG Yield Operating LLC, the guarantors</w:t>
              </w:r>
            </w:hyperlink>
          </w:p>
        </w:tc>
        <w:tc>
          <w:tcPr>
            <w:tcW w:w="440" w:type="dxa"/>
            <w:vAlign w:val="bottom"/>
            <w:gridSpan w:val="9"/>
          </w:tcPr>
          <w:p>
            <w:pPr>
              <w:spacing w:after="0"/>
              <w:rPr>
                <w:sz w:val="16"/>
                <w:szCs w:val="16"/>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1"/>
              </w:rPr>
              <w:t>Incorporated herein by reference to Exhibit 4.1 to the Registrant's</w:t>
            </w:r>
          </w:p>
        </w:tc>
      </w:tr>
      <w:tr>
        <w:trPr>
          <w:trHeight w:val="183"/>
        </w:trPr>
        <w:tc>
          <w:tcPr>
            <w:tcW w:w="5940" w:type="dxa"/>
            <w:vAlign w:val="bottom"/>
            <w:gridSpan w:val="15"/>
          </w:tcPr>
          <w:p>
            <w:pPr>
              <w:spacing w:after="0" w:line="183" w:lineRule="exact"/>
              <w:rPr>
                <w:rFonts w:ascii="Arial" w:cs="Arial" w:eastAsia="Arial" w:hAnsi="Arial"/>
                <w:sz w:val="16"/>
                <w:szCs w:val="16"/>
                <w:color w:val="0000FF"/>
              </w:rPr>
            </w:pPr>
            <w:hyperlink r:id="rId35">
              <w:r>
                <w:rPr>
                  <w:rFonts w:ascii="Arial" w:cs="Arial" w:eastAsia="Arial" w:hAnsi="Arial"/>
                  <w:sz w:val="16"/>
                  <w:szCs w:val="16"/>
                  <w:color w:val="0000FF"/>
                </w:rPr>
                <w:t>named therein and Law Debenture Trust Company of New York.</w:t>
              </w:r>
            </w:hyperlink>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August 18, 2016.</w:t>
            </w:r>
          </w:p>
        </w:tc>
      </w:tr>
      <w:tr>
        <w:trPr>
          <w:trHeight w:val="399"/>
        </w:trPr>
        <w:tc>
          <w:tcPr>
            <w:tcW w:w="4200" w:type="dxa"/>
            <w:vAlign w:val="bottom"/>
            <w:tcBorders>
              <w:top w:val="single" w:sz="8" w:color="0000FF"/>
            </w:tcBorders>
            <w:gridSpan w:val="5"/>
          </w:tcPr>
          <w:p>
            <w:pPr>
              <w:spacing w:after="0"/>
              <w:rPr>
                <w:rFonts w:ascii="Arial" w:cs="Arial" w:eastAsia="Arial" w:hAnsi="Arial"/>
                <w:sz w:val="16"/>
                <w:szCs w:val="16"/>
                <w:color w:val="0000FF"/>
              </w:rPr>
            </w:pPr>
            <w:hyperlink r:id="rId35">
              <w:r>
                <w:rPr>
                  <w:rFonts w:ascii="Arial" w:cs="Arial" w:eastAsia="Arial" w:hAnsi="Arial"/>
                  <w:sz w:val="16"/>
                  <w:szCs w:val="16"/>
                  <w:color w:val="0000FF"/>
                </w:rPr>
                <w:t>Form of 5.000% Senior Note due 2026.</w:t>
              </w:r>
            </w:hyperlink>
          </w:p>
        </w:tc>
        <w:tc>
          <w:tcPr>
            <w:tcW w:w="1740" w:type="dxa"/>
            <w:vAlign w:val="bottom"/>
            <w:gridSpan w:val="10"/>
          </w:tcPr>
          <w:p>
            <w:pPr>
              <w:spacing w:after="0"/>
              <w:rPr>
                <w:sz w:val="24"/>
                <w:szCs w:val="24"/>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1"/>
              </w:rPr>
              <w:t>Incorporated herein by reference to Exhibit 4.2 to the Registrant's</w:t>
            </w:r>
          </w:p>
        </w:tc>
      </w:tr>
      <w:tr>
        <w:trPr>
          <w:trHeight w:val="217"/>
        </w:trPr>
        <w:tc>
          <w:tcPr>
            <w:tcW w:w="1380" w:type="dxa"/>
            <w:vAlign w:val="bottom"/>
            <w:tcBorders>
              <w:top w:val="single" w:sz="8" w:color="0000FF"/>
            </w:tcBorders>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rPr>
              <w:t>Current Report on Form 8-K, filed on August 18, 2016.</w:t>
            </w:r>
          </w:p>
        </w:tc>
      </w:tr>
      <w:tr>
        <w:trPr>
          <w:trHeight w:val="384"/>
        </w:trPr>
        <w:tc>
          <w:tcPr>
            <w:tcW w:w="5940" w:type="dxa"/>
            <w:vAlign w:val="bottom"/>
            <w:gridSpan w:val="15"/>
          </w:tcPr>
          <w:p>
            <w:pPr>
              <w:spacing w:after="0"/>
              <w:rPr>
                <w:rFonts w:ascii="Arial" w:cs="Arial" w:eastAsia="Arial" w:hAnsi="Arial"/>
                <w:sz w:val="16"/>
                <w:szCs w:val="16"/>
                <w:color w:val="0000FF"/>
                <w:w w:val="98"/>
              </w:rPr>
            </w:pPr>
            <w:hyperlink r:id="rId36">
              <w:r>
                <w:rPr>
                  <w:rFonts w:ascii="Arial" w:cs="Arial" w:eastAsia="Arial" w:hAnsi="Arial"/>
                  <w:sz w:val="16"/>
                  <w:szCs w:val="16"/>
                  <w:color w:val="0000FF"/>
                  <w:w w:val="98"/>
                </w:rPr>
                <w:t>Registration Rights Agreement, dated August 18, 2016, among NRG Yield Operating</w:t>
              </w:r>
            </w:hyperlink>
          </w:p>
        </w:tc>
        <w:tc>
          <w:tcPr>
            <w:tcW w:w="4340" w:type="dxa"/>
            <w:vAlign w:val="bottom"/>
          </w:tcPr>
          <w:p>
            <w:pPr>
              <w:ind w:left="100"/>
              <w:spacing w:after="0"/>
              <w:rPr>
                <w:sz w:val="20"/>
                <w:szCs w:val="20"/>
                <w:color w:val="auto"/>
              </w:rPr>
            </w:pPr>
            <w:r>
              <w:rPr>
                <w:rFonts w:ascii="Arial" w:cs="Arial" w:eastAsia="Arial" w:hAnsi="Arial"/>
                <w:sz w:val="16"/>
                <w:szCs w:val="16"/>
                <w:color w:val="auto"/>
                <w:w w:val="91"/>
              </w:rPr>
              <w:t>Incorporated herein by reference to Exhibit 4.3 to the Registrant's</w:t>
            </w:r>
          </w:p>
        </w:tc>
      </w:tr>
      <w:tr>
        <w:trPr>
          <w:trHeight w:val="20"/>
        </w:trPr>
        <w:tc>
          <w:tcPr>
            <w:tcW w:w="13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83"/>
        </w:trPr>
        <w:tc>
          <w:tcPr>
            <w:tcW w:w="5720" w:type="dxa"/>
            <w:vAlign w:val="bottom"/>
            <w:tcBorders>
              <w:bottom w:val="single" w:sz="8" w:color="0000FF"/>
            </w:tcBorders>
            <w:gridSpan w:val="10"/>
          </w:tcPr>
          <w:p>
            <w:pPr>
              <w:spacing w:after="0" w:line="183" w:lineRule="exact"/>
              <w:rPr>
                <w:rFonts w:ascii="Arial" w:cs="Arial" w:eastAsia="Arial" w:hAnsi="Arial"/>
                <w:sz w:val="16"/>
                <w:szCs w:val="16"/>
                <w:color w:val="0000FF"/>
                <w:w w:val="90"/>
              </w:rPr>
            </w:pPr>
            <w:hyperlink r:id="rId36">
              <w:r>
                <w:rPr>
                  <w:rFonts w:ascii="Arial" w:cs="Arial" w:eastAsia="Arial" w:hAnsi="Arial"/>
                  <w:sz w:val="16"/>
                  <w:szCs w:val="16"/>
                  <w:color w:val="0000FF"/>
                  <w:w w:val="90"/>
                </w:rPr>
                <w:t>LLC, the guarantors named therein and J.P. Morgan Securities LLC, as representative of</w:t>
              </w:r>
            </w:hyperlink>
          </w:p>
        </w:tc>
        <w:tc>
          <w:tcPr>
            <w:tcW w:w="220" w:type="dxa"/>
            <w:vAlign w:val="bottom"/>
            <w:gridSpan w:val="5"/>
          </w:tcPr>
          <w:p>
            <w:pPr>
              <w:spacing w:after="0"/>
              <w:rPr>
                <w:sz w:val="15"/>
                <w:szCs w:val="15"/>
                <w:color w:val="auto"/>
              </w:rPr>
            </w:pPr>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August 18, 2016.</w:t>
            </w:r>
          </w:p>
        </w:tc>
      </w:tr>
      <w:tr>
        <w:trPr>
          <w:trHeight w:val="183"/>
        </w:trPr>
        <w:tc>
          <w:tcPr>
            <w:tcW w:w="5940" w:type="dxa"/>
            <w:vAlign w:val="bottom"/>
            <w:gridSpan w:val="15"/>
          </w:tcPr>
          <w:p>
            <w:pPr>
              <w:spacing w:after="0" w:line="183" w:lineRule="exact"/>
              <w:rPr>
                <w:rFonts w:ascii="Arial" w:cs="Arial" w:eastAsia="Arial" w:hAnsi="Arial"/>
                <w:sz w:val="16"/>
                <w:szCs w:val="16"/>
                <w:color w:val="0000FF"/>
              </w:rPr>
            </w:pPr>
            <w:hyperlink r:id="rId36">
              <w:r>
                <w:rPr>
                  <w:rFonts w:ascii="Arial" w:cs="Arial" w:eastAsia="Arial" w:hAnsi="Arial"/>
                  <w:sz w:val="16"/>
                  <w:szCs w:val="16"/>
                  <w:color w:val="0000FF"/>
                </w:rPr>
                <w:t>the initial purchasers.</w:t>
              </w:r>
            </w:hyperlink>
          </w:p>
        </w:tc>
        <w:tc>
          <w:tcPr>
            <w:tcW w:w="4340" w:type="dxa"/>
            <w:vAlign w:val="bottom"/>
          </w:tcPr>
          <w:p>
            <w:pPr>
              <w:spacing w:after="0"/>
              <w:rPr>
                <w:sz w:val="15"/>
                <w:szCs w:val="15"/>
                <w:color w:val="auto"/>
              </w:rPr>
            </w:pPr>
          </w:p>
        </w:tc>
      </w:tr>
      <w:tr>
        <w:trPr>
          <w:trHeight w:val="20"/>
        </w:trPr>
        <w:tc>
          <w:tcPr>
            <w:tcW w:w="138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99"/>
        </w:trPr>
        <w:tc>
          <w:tcPr>
            <w:tcW w:w="5940" w:type="dxa"/>
            <w:vAlign w:val="bottom"/>
            <w:gridSpan w:val="15"/>
          </w:tcPr>
          <w:p>
            <w:pPr>
              <w:spacing w:after="0"/>
              <w:rPr>
                <w:rFonts w:ascii="Arial" w:cs="Arial" w:eastAsia="Arial" w:hAnsi="Arial"/>
                <w:sz w:val="16"/>
                <w:szCs w:val="16"/>
                <w:color w:val="0000FF"/>
                <w:w w:val="93"/>
              </w:rPr>
            </w:pPr>
            <w:hyperlink r:id="rId37">
              <w:r>
                <w:rPr>
                  <w:rFonts w:ascii="Arial" w:cs="Arial" w:eastAsia="Arial" w:hAnsi="Arial"/>
                  <w:sz w:val="16"/>
                  <w:szCs w:val="16"/>
                  <w:color w:val="0000FF"/>
                  <w:w w:val="93"/>
                </w:rPr>
                <w:t>Fifth Supplemental Indenture, dated as of January 29, 2018, among NRG Yield Operating</w:t>
              </w:r>
            </w:hyperlink>
          </w:p>
        </w:tc>
        <w:tc>
          <w:tcPr>
            <w:tcW w:w="4340" w:type="dxa"/>
            <w:vAlign w:val="bottom"/>
          </w:tcPr>
          <w:p>
            <w:pPr>
              <w:ind w:left="100"/>
              <w:spacing w:after="0"/>
              <w:rPr>
                <w:sz w:val="20"/>
                <w:szCs w:val="20"/>
                <w:color w:val="auto"/>
              </w:rPr>
            </w:pPr>
            <w:r>
              <w:rPr>
                <w:rFonts w:ascii="Arial" w:cs="Arial" w:eastAsia="Arial" w:hAnsi="Arial"/>
                <w:sz w:val="16"/>
                <w:szCs w:val="16"/>
                <w:color w:val="auto"/>
                <w:w w:val="91"/>
              </w:rPr>
              <w:t>Incorporated herein by reference to Exhibit 4.1 to the Registrant's</w:t>
            </w:r>
          </w:p>
        </w:tc>
      </w:tr>
      <w:tr>
        <w:trPr>
          <w:trHeight w:val="20"/>
        </w:trPr>
        <w:tc>
          <w:tcPr>
            <w:tcW w:w="30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83"/>
        </w:trPr>
        <w:tc>
          <w:tcPr>
            <w:tcW w:w="5940" w:type="dxa"/>
            <w:vAlign w:val="bottom"/>
            <w:gridSpan w:val="15"/>
          </w:tcPr>
          <w:p>
            <w:pPr>
              <w:spacing w:after="0" w:line="183" w:lineRule="exact"/>
              <w:rPr>
                <w:rFonts w:ascii="Arial" w:cs="Arial" w:eastAsia="Arial" w:hAnsi="Arial"/>
                <w:sz w:val="16"/>
                <w:szCs w:val="16"/>
                <w:color w:val="0000FF"/>
                <w:w w:val="92"/>
              </w:rPr>
            </w:pPr>
            <w:hyperlink r:id="rId37">
              <w:r>
                <w:rPr>
                  <w:rFonts w:ascii="Arial" w:cs="Arial" w:eastAsia="Arial" w:hAnsi="Arial"/>
                  <w:sz w:val="16"/>
                  <w:szCs w:val="16"/>
                  <w:color w:val="0000FF"/>
                  <w:w w:val="92"/>
                </w:rPr>
                <w:t>LLC, the guarantors named therein and Delaware Trust Company (as successor in interest</w:t>
              </w:r>
            </w:hyperlink>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January 31, 2018.</w:t>
            </w:r>
          </w:p>
        </w:tc>
      </w:tr>
      <w:tr>
        <w:trPr>
          <w:trHeight w:val="183"/>
        </w:trPr>
        <w:tc>
          <w:tcPr>
            <w:tcW w:w="5820" w:type="dxa"/>
            <w:vAlign w:val="bottom"/>
            <w:tcBorders>
              <w:top w:val="single" w:sz="8" w:color="0000FF"/>
            </w:tcBorders>
            <w:gridSpan w:val="12"/>
          </w:tcPr>
          <w:p>
            <w:pPr>
              <w:spacing w:after="0" w:line="183" w:lineRule="exact"/>
              <w:rPr>
                <w:rFonts w:ascii="Arial" w:cs="Arial" w:eastAsia="Arial" w:hAnsi="Arial"/>
                <w:sz w:val="16"/>
                <w:szCs w:val="16"/>
                <w:color w:val="0000FF"/>
              </w:rPr>
            </w:pPr>
            <w:hyperlink r:id="rId37">
              <w:r>
                <w:rPr>
                  <w:rFonts w:ascii="Arial" w:cs="Arial" w:eastAsia="Arial" w:hAnsi="Arial"/>
                  <w:sz w:val="16"/>
                  <w:szCs w:val="16"/>
                  <w:color w:val="0000FF"/>
                </w:rPr>
                <w:t>to Law Debenture Trust Company of New York).</w:t>
              </w:r>
            </w:hyperlink>
          </w:p>
        </w:tc>
        <w:tc>
          <w:tcPr>
            <w:tcW w:w="120" w:type="dxa"/>
            <w:vAlign w:val="bottom"/>
            <w:gridSpan w:val="3"/>
          </w:tcPr>
          <w:p>
            <w:pPr>
              <w:spacing w:after="0"/>
              <w:rPr>
                <w:sz w:val="15"/>
                <w:szCs w:val="15"/>
                <w:color w:val="auto"/>
              </w:rPr>
            </w:pPr>
          </w:p>
        </w:tc>
        <w:tc>
          <w:tcPr>
            <w:tcW w:w="4340" w:type="dxa"/>
            <w:vAlign w:val="bottom"/>
          </w:tcPr>
          <w:p>
            <w:pPr>
              <w:spacing w:after="0"/>
              <w:rPr>
                <w:sz w:val="15"/>
                <w:szCs w:val="15"/>
                <w:color w:val="auto"/>
              </w:rPr>
            </w:pPr>
          </w:p>
        </w:tc>
      </w:tr>
      <w:tr>
        <w:trPr>
          <w:trHeight w:val="20"/>
        </w:trPr>
        <w:tc>
          <w:tcPr>
            <w:tcW w:w="30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399"/>
        </w:trPr>
        <w:tc>
          <w:tcPr>
            <w:tcW w:w="5660" w:type="dxa"/>
            <w:vAlign w:val="bottom"/>
            <w:tcBorders>
              <w:bottom w:val="single" w:sz="8" w:color="0000FF"/>
            </w:tcBorders>
            <w:gridSpan w:val="9"/>
          </w:tcPr>
          <w:p>
            <w:pPr>
              <w:spacing w:after="0"/>
              <w:rPr>
                <w:rFonts w:ascii="Arial" w:cs="Arial" w:eastAsia="Arial" w:hAnsi="Arial"/>
                <w:sz w:val="16"/>
                <w:szCs w:val="16"/>
                <w:color w:val="0000FF"/>
                <w:w w:val="91"/>
              </w:rPr>
            </w:pPr>
            <w:hyperlink r:id="rId38">
              <w:r>
                <w:rPr>
                  <w:rFonts w:ascii="Arial" w:cs="Arial" w:eastAsia="Arial" w:hAnsi="Arial"/>
                  <w:sz w:val="16"/>
                  <w:szCs w:val="16"/>
                  <w:color w:val="0000FF"/>
                  <w:w w:val="91"/>
                </w:rPr>
                <w:t>Sixth Supplemental Indenture, dated as of June 12, 2018, among NRG Yield Operating</w:t>
              </w:r>
            </w:hyperlink>
          </w:p>
        </w:tc>
        <w:tc>
          <w:tcPr>
            <w:tcW w:w="280" w:type="dxa"/>
            <w:vAlign w:val="bottom"/>
            <w:gridSpan w:val="6"/>
          </w:tcPr>
          <w:p>
            <w:pPr>
              <w:spacing w:after="0"/>
              <w:rPr>
                <w:sz w:val="24"/>
                <w:szCs w:val="24"/>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4.1 to the Company's</w:t>
            </w:r>
          </w:p>
        </w:tc>
      </w:tr>
      <w:tr>
        <w:trPr>
          <w:trHeight w:val="183"/>
        </w:trPr>
        <w:tc>
          <w:tcPr>
            <w:tcW w:w="5940" w:type="dxa"/>
            <w:vAlign w:val="bottom"/>
            <w:gridSpan w:val="15"/>
          </w:tcPr>
          <w:p>
            <w:pPr>
              <w:spacing w:after="0" w:line="183" w:lineRule="exact"/>
              <w:rPr>
                <w:rFonts w:ascii="Arial" w:cs="Arial" w:eastAsia="Arial" w:hAnsi="Arial"/>
                <w:sz w:val="16"/>
                <w:szCs w:val="16"/>
                <w:color w:val="0000FF"/>
                <w:w w:val="92"/>
              </w:rPr>
            </w:pPr>
            <w:hyperlink r:id="rId38">
              <w:r>
                <w:rPr>
                  <w:rFonts w:ascii="Arial" w:cs="Arial" w:eastAsia="Arial" w:hAnsi="Arial"/>
                  <w:sz w:val="16"/>
                  <w:szCs w:val="16"/>
                  <w:color w:val="0000FF"/>
                  <w:w w:val="92"/>
                </w:rPr>
                <w:t>LLC, the guarantors named therein and Delaware Trust Company (as successor in interest</w:t>
              </w:r>
            </w:hyperlink>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June 12, 2018.</w:t>
            </w:r>
          </w:p>
        </w:tc>
      </w:tr>
      <w:tr>
        <w:trPr>
          <w:trHeight w:val="183"/>
        </w:trPr>
        <w:tc>
          <w:tcPr>
            <w:tcW w:w="5820" w:type="dxa"/>
            <w:vAlign w:val="bottom"/>
            <w:tcBorders>
              <w:top w:val="single" w:sz="8" w:color="0000FF"/>
            </w:tcBorders>
            <w:gridSpan w:val="12"/>
          </w:tcPr>
          <w:p>
            <w:pPr>
              <w:spacing w:after="0" w:line="183" w:lineRule="exact"/>
              <w:rPr>
                <w:rFonts w:ascii="Arial" w:cs="Arial" w:eastAsia="Arial" w:hAnsi="Arial"/>
                <w:sz w:val="16"/>
                <w:szCs w:val="16"/>
                <w:color w:val="0000FF"/>
              </w:rPr>
            </w:pPr>
            <w:hyperlink r:id="rId38">
              <w:r>
                <w:rPr>
                  <w:rFonts w:ascii="Arial" w:cs="Arial" w:eastAsia="Arial" w:hAnsi="Arial"/>
                  <w:sz w:val="16"/>
                  <w:szCs w:val="16"/>
                  <w:color w:val="0000FF"/>
                </w:rPr>
                <w:t>to Law Debenture Trust Company of New York).</w:t>
              </w:r>
            </w:hyperlink>
          </w:p>
        </w:tc>
        <w:tc>
          <w:tcPr>
            <w:tcW w:w="120" w:type="dxa"/>
            <w:vAlign w:val="bottom"/>
            <w:gridSpan w:val="3"/>
          </w:tcPr>
          <w:p>
            <w:pPr>
              <w:spacing w:after="0"/>
              <w:rPr>
                <w:sz w:val="15"/>
                <w:szCs w:val="15"/>
                <w:color w:val="auto"/>
              </w:rPr>
            </w:pPr>
          </w:p>
        </w:tc>
        <w:tc>
          <w:tcPr>
            <w:tcW w:w="4340" w:type="dxa"/>
            <w:vAlign w:val="bottom"/>
          </w:tcPr>
          <w:p>
            <w:pPr>
              <w:spacing w:after="0"/>
              <w:rPr>
                <w:sz w:val="15"/>
                <w:szCs w:val="15"/>
                <w:color w:val="auto"/>
              </w:rPr>
            </w:pPr>
          </w:p>
        </w:tc>
      </w:tr>
      <w:tr>
        <w:trPr>
          <w:trHeight w:val="20"/>
        </w:trPr>
        <w:tc>
          <w:tcPr>
            <w:tcW w:w="302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763"/>
        </w:trPr>
        <w:tc>
          <w:tcPr>
            <w:tcW w:w="5860" w:type="dxa"/>
            <w:vAlign w:val="bottom"/>
            <w:tcBorders>
              <w:bottom w:val="single" w:sz="8" w:color="0000FF"/>
            </w:tcBorders>
            <w:gridSpan w:val="14"/>
          </w:tcPr>
          <w:p>
            <w:pPr>
              <w:spacing w:after="0"/>
              <w:rPr>
                <w:rFonts w:ascii="Arial" w:cs="Arial" w:eastAsia="Arial" w:hAnsi="Arial"/>
                <w:sz w:val="16"/>
                <w:szCs w:val="16"/>
                <w:color w:val="0000FF"/>
                <w:w w:val="91"/>
              </w:rPr>
            </w:pPr>
            <w:hyperlink r:id="rId39">
              <w:r>
                <w:rPr>
                  <w:rFonts w:ascii="Arial" w:cs="Arial" w:eastAsia="Arial" w:hAnsi="Arial"/>
                  <w:sz w:val="16"/>
                  <w:szCs w:val="16"/>
                  <w:color w:val="0000FF"/>
                  <w:w w:val="91"/>
                </w:rPr>
                <w:t>Supplemental Indenture, dated as of January 29, 2018, among NRG Yield Operating LLC,</w:t>
              </w:r>
            </w:hyperlink>
          </w:p>
        </w:tc>
        <w:tc>
          <w:tcPr>
            <w:tcW w:w="80" w:type="dxa"/>
            <w:vAlign w:val="bottom"/>
          </w:tcPr>
          <w:p>
            <w:pPr>
              <w:spacing w:after="0"/>
              <w:rPr>
                <w:sz w:val="24"/>
                <w:szCs w:val="24"/>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1"/>
              </w:rPr>
              <w:t>Incorporated herein by reference to Exhibit 4.2 to the Registrant's</w:t>
            </w:r>
          </w:p>
        </w:tc>
      </w:tr>
      <w:tr>
        <w:trPr>
          <w:trHeight w:val="183"/>
        </w:trPr>
        <w:tc>
          <w:tcPr>
            <w:tcW w:w="5940" w:type="dxa"/>
            <w:vAlign w:val="bottom"/>
            <w:gridSpan w:val="15"/>
          </w:tcPr>
          <w:p>
            <w:pPr>
              <w:spacing w:after="0" w:line="183" w:lineRule="exact"/>
              <w:rPr>
                <w:rFonts w:ascii="Arial" w:cs="Arial" w:eastAsia="Arial" w:hAnsi="Arial"/>
                <w:sz w:val="16"/>
                <w:szCs w:val="16"/>
                <w:color w:val="0000FF"/>
                <w:w w:val="91"/>
              </w:rPr>
            </w:pPr>
            <w:hyperlink r:id="rId39">
              <w:r>
                <w:rPr>
                  <w:rFonts w:ascii="Arial" w:cs="Arial" w:eastAsia="Arial" w:hAnsi="Arial"/>
                  <w:sz w:val="16"/>
                  <w:szCs w:val="16"/>
                  <w:color w:val="0000FF"/>
                  <w:w w:val="91"/>
                </w:rPr>
                <w:t>the guarantors named therein and the Delaware Trust Company (as successor in interest to</w:t>
              </w:r>
            </w:hyperlink>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January 31, 2018.</w:t>
            </w:r>
          </w:p>
        </w:tc>
      </w:tr>
      <w:tr>
        <w:trPr>
          <w:trHeight w:val="183"/>
        </w:trPr>
        <w:tc>
          <w:tcPr>
            <w:tcW w:w="3020" w:type="dxa"/>
            <w:vAlign w:val="bottom"/>
            <w:tcBorders>
              <w:top w:val="single" w:sz="8" w:color="0000FF"/>
              <w:bottom w:val="single" w:sz="8" w:color="0000FF"/>
            </w:tcBorders>
            <w:gridSpan w:val="3"/>
          </w:tcPr>
          <w:p>
            <w:pPr>
              <w:spacing w:after="0" w:line="183" w:lineRule="exact"/>
              <w:rPr>
                <w:rFonts w:ascii="Arial" w:cs="Arial" w:eastAsia="Arial" w:hAnsi="Arial"/>
                <w:sz w:val="16"/>
                <w:szCs w:val="16"/>
                <w:color w:val="0000FF"/>
                <w:w w:val="92"/>
              </w:rPr>
            </w:pPr>
            <w:hyperlink r:id="rId39">
              <w:r>
                <w:rPr>
                  <w:rFonts w:ascii="Arial" w:cs="Arial" w:eastAsia="Arial" w:hAnsi="Arial"/>
                  <w:sz w:val="16"/>
                  <w:szCs w:val="16"/>
                  <w:color w:val="0000FF"/>
                  <w:w w:val="92"/>
                </w:rPr>
                <w:t>Law Debenture Trust Company of New York).</w:t>
              </w:r>
            </w:hyperlink>
          </w:p>
        </w:tc>
        <w:tc>
          <w:tcPr>
            <w:tcW w:w="2820" w:type="dxa"/>
            <w:vAlign w:val="bottom"/>
            <w:tcBorders>
              <w:top w:val="single" w:sz="8" w:color="0000FF"/>
            </w:tcBorders>
            <w:gridSpan w:val="10"/>
          </w:tcPr>
          <w:p>
            <w:pPr>
              <w:spacing w:after="0"/>
              <w:rPr>
                <w:sz w:val="15"/>
                <w:szCs w:val="15"/>
                <w:color w:val="auto"/>
              </w:rPr>
            </w:pPr>
          </w:p>
        </w:tc>
        <w:tc>
          <w:tcPr>
            <w:tcW w:w="100" w:type="dxa"/>
            <w:vAlign w:val="bottom"/>
            <w:gridSpan w:val="2"/>
          </w:tcPr>
          <w:p>
            <w:pPr>
              <w:spacing w:after="0"/>
              <w:rPr>
                <w:sz w:val="15"/>
                <w:szCs w:val="15"/>
                <w:color w:val="auto"/>
              </w:rPr>
            </w:pPr>
          </w:p>
        </w:tc>
        <w:tc>
          <w:tcPr>
            <w:tcW w:w="4340" w:type="dxa"/>
            <w:vAlign w:val="bottom"/>
          </w:tcPr>
          <w:p>
            <w:pPr>
              <w:spacing w:after="0"/>
              <w:rPr>
                <w:sz w:val="15"/>
                <w:szCs w:val="15"/>
                <w:color w:val="auto"/>
              </w:rPr>
            </w:pPr>
          </w:p>
        </w:tc>
      </w:tr>
      <w:tr>
        <w:trPr>
          <w:trHeight w:val="561"/>
        </w:trPr>
        <w:tc>
          <w:tcPr>
            <w:tcW w:w="5780" w:type="dxa"/>
            <w:vAlign w:val="bottom"/>
            <w:tcBorders>
              <w:bottom w:val="single" w:sz="8" w:color="0000FF"/>
            </w:tcBorders>
            <w:gridSpan w:val="11"/>
          </w:tcPr>
          <w:p>
            <w:pPr>
              <w:spacing w:after="0"/>
              <w:rPr>
                <w:rFonts w:ascii="Arial" w:cs="Arial" w:eastAsia="Arial" w:hAnsi="Arial"/>
                <w:sz w:val="16"/>
                <w:szCs w:val="16"/>
                <w:color w:val="0000FF"/>
                <w:w w:val="90"/>
              </w:rPr>
            </w:pPr>
            <w:hyperlink r:id="rId40">
              <w:r>
                <w:rPr>
                  <w:rFonts w:ascii="Arial" w:cs="Arial" w:eastAsia="Arial" w:hAnsi="Arial"/>
                  <w:sz w:val="16"/>
                  <w:szCs w:val="16"/>
                  <w:color w:val="0000FF"/>
                  <w:w w:val="90"/>
                </w:rPr>
                <w:t>Second Supplemental Indenture, dated as of June 12, 2018, among NRG Yield Operating</w:t>
              </w:r>
            </w:hyperlink>
          </w:p>
        </w:tc>
        <w:tc>
          <w:tcPr>
            <w:tcW w:w="160" w:type="dxa"/>
            <w:vAlign w:val="bottom"/>
            <w:gridSpan w:val="4"/>
          </w:tcPr>
          <w:p>
            <w:pPr>
              <w:spacing w:after="0"/>
              <w:rPr>
                <w:sz w:val="24"/>
                <w:szCs w:val="24"/>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4.2 to the Company's</w:t>
            </w:r>
          </w:p>
        </w:tc>
      </w:tr>
      <w:tr>
        <w:trPr>
          <w:trHeight w:val="183"/>
        </w:trPr>
        <w:tc>
          <w:tcPr>
            <w:tcW w:w="5940" w:type="dxa"/>
            <w:vAlign w:val="bottom"/>
            <w:gridSpan w:val="15"/>
          </w:tcPr>
          <w:p>
            <w:pPr>
              <w:spacing w:after="0" w:line="183" w:lineRule="exact"/>
              <w:rPr>
                <w:rFonts w:ascii="Arial" w:cs="Arial" w:eastAsia="Arial" w:hAnsi="Arial"/>
                <w:sz w:val="16"/>
                <w:szCs w:val="16"/>
                <w:color w:val="0000FF"/>
                <w:w w:val="92"/>
              </w:rPr>
            </w:pPr>
            <w:hyperlink r:id="rId40">
              <w:r>
                <w:rPr>
                  <w:rFonts w:ascii="Arial" w:cs="Arial" w:eastAsia="Arial" w:hAnsi="Arial"/>
                  <w:sz w:val="16"/>
                  <w:szCs w:val="16"/>
                  <w:color w:val="0000FF"/>
                  <w:w w:val="92"/>
                </w:rPr>
                <w:t>LLC, the guarantors named therein and Delaware Trust Company (as successor in interest</w:t>
              </w:r>
            </w:hyperlink>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Current Report on Form 8-K filed on June 12, 2018.</w:t>
            </w:r>
          </w:p>
        </w:tc>
      </w:tr>
      <w:tr>
        <w:trPr>
          <w:trHeight w:val="183"/>
        </w:trPr>
        <w:tc>
          <w:tcPr>
            <w:tcW w:w="5820" w:type="dxa"/>
            <w:vAlign w:val="bottom"/>
            <w:tcBorders>
              <w:top w:val="single" w:sz="8" w:color="0000FF"/>
            </w:tcBorders>
            <w:gridSpan w:val="12"/>
          </w:tcPr>
          <w:p>
            <w:pPr>
              <w:spacing w:after="0" w:line="183" w:lineRule="exact"/>
              <w:rPr>
                <w:rFonts w:ascii="Arial" w:cs="Arial" w:eastAsia="Arial" w:hAnsi="Arial"/>
                <w:sz w:val="16"/>
                <w:szCs w:val="16"/>
                <w:color w:val="0000FF"/>
              </w:rPr>
            </w:pPr>
            <w:hyperlink r:id="rId40">
              <w:r>
                <w:rPr>
                  <w:rFonts w:ascii="Arial" w:cs="Arial" w:eastAsia="Arial" w:hAnsi="Arial"/>
                  <w:sz w:val="16"/>
                  <w:szCs w:val="16"/>
                  <w:color w:val="0000FF"/>
                </w:rPr>
                <w:t>to Law Debenture Trust Company of New York).</w:t>
              </w:r>
            </w:hyperlink>
          </w:p>
        </w:tc>
        <w:tc>
          <w:tcPr>
            <w:tcW w:w="120" w:type="dxa"/>
            <w:vAlign w:val="bottom"/>
            <w:gridSpan w:val="3"/>
          </w:tcPr>
          <w:p>
            <w:pPr>
              <w:spacing w:after="0"/>
              <w:rPr>
                <w:sz w:val="15"/>
                <w:szCs w:val="15"/>
                <w:color w:val="auto"/>
              </w:rPr>
            </w:pPr>
          </w:p>
        </w:tc>
        <w:tc>
          <w:tcPr>
            <w:tcW w:w="4340" w:type="dxa"/>
            <w:vAlign w:val="bottom"/>
          </w:tcPr>
          <w:p>
            <w:pPr>
              <w:spacing w:after="0"/>
              <w:rPr>
                <w:sz w:val="15"/>
                <w:szCs w:val="15"/>
                <w:color w:val="auto"/>
              </w:rPr>
            </w:pPr>
          </w:p>
        </w:tc>
      </w:tr>
      <w:tr>
        <w:trPr>
          <w:trHeight w:val="20"/>
        </w:trPr>
        <w:tc>
          <w:tcPr>
            <w:tcW w:w="3180" w:type="dxa"/>
            <w:vAlign w:val="bottom"/>
            <w:gridSpan w:val="4"/>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763"/>
        </w:trPr>
        <w:tc>
          <w:tcPr>
            <w:tcW w:w="582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1"/>
              </w:rPr>
              <w:t>Seventh Supplemental Indenture, dated as of July 17, 2018, among NRG Yield Operating</w:t>
            </w:r>
          </w:p>
        </w:tc>
        <w:tc>
          <w:tcPr>
            <w:tcW w:w="120" w:type="dxa"/>
            <w:vAlign w:val="bottom"/>
            <w:gridSpan w:val="3"/>
          </w:tcPr>
          <w:p>
            <w:pPr>
              <w:spacing w:after="0"/>
              <w:rPr>
                <w:sz w:val="24"/>
                <w:szCs w:val="24"/>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4.3 to the Company's</w:t>
            </w:r>
          </w:p>
        </w:tc>
      </w:tr>
      <w:tr>
        <w:trPr>
          <w:trHeight w:val="183"/>
        </w:trPr>
        <w:tc>
          <w:tcPr>
            <w:tcW w:w="5940" w:type="dxa"/>
            <w:vAlign w:val="bottom"/>
            <w:gridSpan w:val="15"/>
          </w:tcPr>
          <w:p>
            <w:pPr>
              <w:spacing w:after="0" w:line="183" w:lineRule="exact"/>
              <w:rPr>
                <w:sz w:val="20"/>
                <w:szCs w:val="20"/>
                <w:color w:val="auto"/>
              </w:rPr>
            </w:pPr>
            <w:r>
              <w:rPr>
                <w:rFonts w:ascii="Arial" w:cs="Arial" w:eastAsia="Arial" w:hAnsi="Arial"/>
                <w:sz w:val="16"/>
                <w:szCs w:val="16"/>
                <w:color w:val="0000FF"/>
                <w:w w:val="92"/>
              </w:rPr>
              <w:t>LLC, the guarantors named therein and Delaware Trust Company (as successor in interest</w:t>
            </w:r>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Quarterly Report on Form 10-Q filed on August 2, 2018.</w:t>
            </w:r>
          </w:p>
        </w:tc>
      </w:tr>
      <w:tr>
        <w:trPr>
          <w:trHeight w:val="183"/>
        </w:trPr>
        <w:tc>
          <w:tcPr>
            <w:tcW w:w="5820" w:type="dxa"/>
            <w:vAlign w:val="bottom"/>
            <w:tcBorders>
              <w:top w:val="single" w:sz="8" w:color="0000FF"/>
            </w:tcBorders>
            <w:gridSpan w:val="12"/>
          </w:tcPr>
          <w:p>
            <w:pPr>
              <w:spacing w:after="0" w:line="183" w:lineRule="exact"/>
              <w:rPr>
                <w:sz w:val="20"/>
                <w:szCs w:val="20"/>
                <w:color w:val="auto"/>
              </w:rPr>
            </w:pPr>
            <w:r>
              <w:rPr>
                <w:rFonts w:ascii="Arial" w:cs="Arial" w:eastAsia="Arial" w:hAnsi="Arial"/>
                <w:sz w:val="16"/>
                <w:szCs w:val="16"/>
                <w:color w:val="0000FF"/>
              </w:rPr>
              <w:t>to Law Debenture Trust Company of New York).</w:t>
            </w:r>
          </w:p>
        </w:tc>
        <w:tc>
          <w:tcPr>
            <w:tcW w:w="120" w:type="dxa"/>
            <w:vAlign w:val="bottom"/>
            <w:gridSpan w:val="3"/>
          </w:tcPr>
          <w:p>
            <w:pPr>
              <w:spacing w:after="0"/>
              <w:rPr>
                <w:sz w:val="15"/>
                <w:szCs w:val="15"/>
                <w:color w:val="auto"/>
              </w:rPr>
            </w:pPr>
          </w:p>
        </w:tc>
        <w:tc>
          <w:tcPr>
            <w:tcW w:w="4340" w:type="dxa"/>
            <w:vAlign w:val="bottom"/>
          </w:tcPr>
          <w:p>
            <w:pPr>
              <w:spacing w:after="0"/>
              <w:rPr>
                <w:sz w:val="15"/>
                <w:szCs w:val="15"/>
                <w:color w:val="auto"/>
              </w:rPr>
            </w:pPr>
          </w:p>
        </w:tc>
      </w:tr>
      <w:tr>
        <w:trPr>
          <w:trHeight w:val="20"/>
        </w:trPr>
        <w:tc>
          <w:tcPr>
            <w:tcW w:w="3180" w:type="dxa"/>
            <w:vAlign w:val="bottom"/>
            <w:gridSpan w:val="4"/>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763"/>
        </w:trPr>
        <w:tc>
          <w:tcPr>
            <w:tcW w:w="5640" w:type="dxa"/>
            <w:vAlign w:val="bottom"/>
            <w:tcBorders>
              <w:bottom w:val="single" w:sz="8" w:color="0000FF"/>
            </w:tcBorders>
            <w:gridSpan w:val="8"/>
          </w:tcPr>
          <w:p>
            <w:pPr>
              <w:spacing w:after="0"/>
              <w:rPr>
                <w:rFonts w:ascii="Arial" w:cs="Arial" w:eastAsia="Arial" w:hAnsi="Arial"/>
                <w:sz w:val="16"/>
                <w:szCs w:val="16"/>
                <w:color w:val="0000FF"/>
                <w:w w:val="91"/>
              </w:rPr>
            </w:pPr>
            <w:hyperlink r:id="rId41">
              <w:r>
                <w:rPr>
                  <w:rFonts w:ascii="Arial" w:cs="Arial" w:eastAsia="Arial" w:hAnsi="Arial"/>
                  <w:sz w:val="16"/>
                  <w:szCs w:val="16"/>
                  <w:color w:val="0000FF"/>
                  <w:w w:val="91"/>
                </w:rPr>
                <w:t>Third Supplemental Indenture, dated as of July 17, 2018, among NRG Yield Operating</w:t>
              </w:r>
            </w:hyperlink>
          </w:p>
        </w:tc>
        <w:tc>
          <w:tcPr>
            <w:tcW w:w="300" w:type="dxa"/>
            <w:vAlign w:val="bottom"/>
            <w:gridSpan w:val="7"/>
          </w:tcPr>
          <w:p>
            <w:pPr>
              <w:spacing w:after="0"/>
              <w:rPr>
                <w:sz w:val="24"/>
                <w:szCs w:val="24"/>
                <w:color w:val="auto"/>
              </w:rPr>
            </w:pPr>
          </w:p>
        </w:tc>
        <w:tc>
          <w:tcPr>
            <w:tcW w:w="4340" w:type="dxa"/>
            <w:vAlign w:val="bottom"/>
          </w:tcPr>
          <w:p>
            <w:pPr>
              <w:ind w:left="100"/>
              <w:spacing w:after="0"/>
              <w:rPr>
                <w:sz w:val="20"/>
                <w:szCs w:val="20"/>
                <w:color w:val="auto"/>
              </w:rPr>
            </w:pPr>
            <w:r>
              <w:rPr>
                <w:rFonts w:ascii="Arial" w:cs="Arial" w:eastAsia="Arial" w:hAnsi="Arial"/>
                <w:sz w:val="16"/>
                <w:szCs w:val="16"/>
                <w:color w:val="auto"/>
                <w:w w:val="92"/>
              </w:rPr>
              <w:t>Incorporated herein by reference to Exhibit 4.4 to the Company's</w:t>
            </w:r>
          </w:p>
        </w:tc>
      </w:tr>
      <w:tr>
        <w:trPr>
          <w:trHeight w:val="183"/>
        </w:trPr>
        <w:tc>
          <w:tcPr>
            <w:tcW w:w="5940" w:type="dxa"/>
            <w:vAlign w:val="bottom"/>
            <w:gridSpan w:val="15"/>
          </w:tcPr>
          <w:p>
            <w:pPr>
              <w:spacing w:after="0" w:line="183" w:lineRule="exact"/>
              <w:rPr>
                <w:rFonts w:ascii="Arial" w:cs="Arial" w:eastAsia="Arial" w:hAnsi="Arial"/>
                <w:sz w:val="16"/>
                <w:szCs w:val="16"/>
                <w:color w:val="0000FF"/>
                <w:w w:val="92"/>
              </w:rPr>
            </w:pPr>
            <w:hyperlink r:id="rId41">
              <w:r>
                <w:rPr>
                  <w:rFonts w:ascii="Arial" w:cs="Arial" w:eastAsia="Arial" w:hAnsi="Arial"/>
                  <w:sz w:val="16"/>
                  <w:szCs w:val="16"/>
                  <w:color w:val="0000FF"/>
                  <w:w w:val="92"/>
                </w:rPr>
                <w:t>LLC, the guarantors named therein and Delaware Trust Company (as successor in interest</w:t>
              </w:r>
            </w:hyperlink>
          </w:p>
        </w:tc>
        <w:tc>
          <w:tcPr>
            <w:tcW w:w="4340" w:type="dxa"/>
            <w:vAlign w:val="bottom"/>
          </w:tcPr>
          <w:p>
            <w:pPr>
              <w:ind w:left="100"/>
              <w:spacing w:after="0" w:line="183" w:lineRule="exact"/>
              <w:rPr>
                <w:sz w:val="20"/>
                <w:szCs w:val="20"/>
                <w:color w:val="auto"/>
              </w:rPr>
            </w:pPr>
            <w:r>
              <w:rPr>
                <w:rFonts w:ascii="Arial" w:cs="Arial" w:eastAsia="Arial" w:hAnsi="Arial"/>
                <w:sz w:val="16"/>
                <w:szCs w:val="16"/>
                <w:color w:val="auto"/>
              </w:rPr>
              <w:t>Quarterly Report on Form 10-Q filed on August 2, 2018.</w:t>
            </w:r>
          </w:p>
        </w:tc>
      </w:tr>
      <w:tr>
        <w:trPr>
          <w:trHeight w:val="183"/>
        </w:trPr>
        <w:tc>
          <w:tcPr>
            <w:tcW w:w="5820" w:type="dxa"/>
            <w:vAlign w:val="bottom"/>
            <w:tcBorders>
              <w:top w:val="single" w:sz="8" w:color="0000FF"/>
            </w:tcBorders>
            <w:gridSpan w:val="12"/>
          </w:tcPr>
          <w:p>
            <w:pPr>
              <w:spacing w:after="0" w:line="183" w:lineRule="exact"/>
              <w:rPr>
                <w:rFonts w:ascii="Arial" w:cs="Arial" w:eastAsia="Arial" w:hAnsi="Arial"/>
                <w:sz w:val="16"/>
                <w:szCs w:val="16"/>
                <w:color w:val="0000FF"/>
              </w:rPr>
            </w:pPr>
            <w:hyperlink r:id="rId41">
              <w:r>
                <w:rPr>
                  <w:rFonts w:ascii="Arial" w:cs="Arial" w:eastAsia="Arial" w:hAnsi="Arial"/>
                  <w:sz w:val="16"/>
                  <w:szCs w:val="16"/>
                  <w:color w:val="0000FF"/>
                </w:rPr>
                <w:t>to Law Debenture Trust Company of New York).</w:t>
              </w:r>
            </w:hyperlink>
          </w:p>
        </w:tc>
        <w:tc>
          <w:tcPr>
            <w:tcW w:w="120" w:type="dxa"/>
            <w:vAlign w:val="bottom"/>
            <w:gridSpan w:val="3"/>
          </w:tcPr>
          <w:p>
            <w:pPr>
              <w:spacing w:after="0"/>
              <w:rPr>
                <w:sz w:val="15"/>
                <w:szCs w:val="15"/>
                <w:color w:val="auto"/>
              </w:rPr>
            </w:pPr>
          </w:p>
        </w:tc>
        <w:tc>
          <w:tcPr>
            <w:tcW w:w="4340" w:type="dxa"/>
            <w:vAlign w:val="bottom"/>
          </w:tcPr>
          <w:p>
            <w:pPr>
              <w:spacing w:after="0"/>
              <w:rPr>
                <w:sz w:val="15"/>
                <w:szCs w:val="15"/>
                <w:color w:val="auto"/>
              </w:rPr>
            </w:pPr>
          </w:p>
        </w:tc>
      </w:tr>
      <w:tr>
        <w:trPr>
          <w:trHeight w:val="20"/>
        </w:trPr>
        <w:tc>
          <w:tcPr>
            <w:tcW w:w="13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bl>
    <w:p>
      <w:pPr>
        <w:sectPr>
          <w:pgSz w:w="11900" w:h="16838" w:orient="portrait"/>
          <w:cols w:equalWidth="0" w:num="2">
            <w:col w:w="320" w:space="720"/>
            <w:col w:w="10300"/>
          </w:cols>
          <w:pgMar w:left="280" w:top="751" w:right="279" w:bottom="1103"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auto"/>
        </w:rPr>
        <w:t>4.19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4.20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4.21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4.22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4.25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10.6.1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10.6.2</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0"/>
        <w:spacing w:after="0" w:line="278" w:lineRule="auto"/>
        <w:rPr>
          <w:rFonts w:ascii="Arial" w:cs="Arial" w:eastAsia="Arial" w:hAnsi="Arial"/>
          <w:sz w:val="16"/>
          <w:szCs w:val="16"/>
          <w:u w:val="single" w:color="auto"/>
          <w:color w:val="0000FF"/>
        </w:rPr>
      </w:pPr>
      <w:hyperlink r:id="rId42">
        <w:r>
          <w:rPr>
            <w:rFonts w:ascii="Arial" w:cs="Arial" w:eastAsia="Arial" w:hAnsi="Arial"/>
            <w:sz w:val="16"/>
            <w:szCs w:val="16"/>
            <w:u w:val="single" w:color="auto"/>
            <w:color w:val="0000FF"/>
          </w:rPr>
          <w:t>Eighth Supplemental Indenture, dated as of August 30, 2018, among NRG Yield</w:t>
        </w:r>
      </w:hyperlink>
      <w:r>
        <w:rPr>
          <w:rFonts w:ascii="Arial" w:cs="Arial" w:eastAsia="Arial" w:hAnsi="Arial"/>
          <w:sz w:val="16"/>
          <w:szCs w:val="16"/>
          <w:u w:val="single" w:color="auto"/>
          <w:color w:val="0000FF"/>
        </w:rPr>
        <w:t xml:space="preserve"> </w:t>
      </w:r>
      <w:hyperlink r:id="rId42">
        <w:r>
          <w:rPr>
            <w:rFonts w:ascii="Arial" w:cs="Arial" w:eastAsia="Arial" w:hAnsi="Arial"/>
            <w:sz w:val="16"/>
            <w:szCs w:val="16"/>
            <w:u w:val="single" w:color="auto"/>
            <w:color w:val="0000FF"/>
          </w:rPr>
          <w:t>Operating LLC, the guarantors named therein and Delaware Trust Company (as successor</w:t>
        </w:r>
      </w:hyperlink>
      <w:r>
        <w:rPr>
          <w:rFonts w:ascii="Arial" w:cs="Arial" w:eastAsia="Arial" w:hAnsi="Arial"/>
          <w:sz w:val="16"/>
          <w:szCs w:val="16"/>
          <w:u w:val="single" w:color="auto"/>
          <w:color w:val="0000FF"/>
        </w:rPr>
        <w:t xml:space="preserve"> </w:t>
      </w:r>
      <w:hyperlink r:id="rId42">
        <w:r>
          <w:rPr>
            <w:rFonts w:ascii="Arial" w:cs="Arial" w:eastAsia="Arial" w:hAnsi="Arial"/>
            <w:sz w:val="16"/>
            <w:szCs w:val="16"/>
            <w:u w:val="single" w:color="auto"/>
            <w:color w:val="0000FF"/>
          </w:rPr>
          <w:t>in interest to Law Debenture Trust Company of New York).</w:t>
        </w:r>
      </w:hyperlink>
    </w:p>
    <w:p>
      <w:pPr>
        <w:spacing w:after="0" w:line="200" w:lineRule="exact"/>
        <w:rPr>
          <w:rFonts w:ascii="Arial" w:cs="Arial" w:eastAsia="Arial" w:hAnsi="Arial"/>
          <w:sz w:val="16"/>
          <w:szCs w:val="16"/>
          <w:u w:val="single" w:color="auto"/>
          <w:color w:val="0000FF"/>
        </w:rPr>
      </w:pPr>
    </w:p>
    <w:p>
      <w:pPr>
        <w:spacing w:after="0" w:line="349" w:lineRule="exact"/>
        <w:rPr>
          <w:rFonts w:ascii="Arial" w:cs="Arial" w:eastAsia="Arial" w:hAnsi="Arial"/>
          <w:sz w:val="16"/>
          <w:szCs w:val="16"/>
          <w:u w:val="single" w:color="auto"/>
          <w:color w:val="0000FF"/>
        </w:rPr>
      </w:pPr>
    </w:p>
    <w:p>
      <w:pPr>
        <w:ind w:right="20"/>
        <w:spacing w:after="0" w:line="278" w:lineRule="auto"/>
        <w:rPr>
          <w:rFonts w:ascii="Arial" w:cs="Arial" w:eastAsia="Arial" w:hAnsi="Arial"/>
          <w:sz w:val="16"/>
          <w:szCs w:val="16"/>
          <w:u w:val="single" w:color="auto"/>
          <w:color w:val="0000FF"/>
        </w:rPr>
      </w:pPr>
      <w:hyperlink r:id="rId43">
        <w:r>
          <w:rPr>
            <w:rFonts w:ascii="Arial" w:cs="Arial" w:eastAsia="Arial" w:hAnsi="Arial"/>
            <w:sz w:val="16"/>
            <w:szCs w:val="16"/>
            <w:u w:val="single" w:color="auto"/>
            <w:color w:val="0000FF"/>
          </w:rPr>
          <w:t>Fourth Supplemental Indenture, dated as of August 30, 2018, among NRG Yield</w:t>
        </w:r>
      </w:hyperlink>
      <w:r>
        <w:rPr>
          <w:rFonts w:ascii="Arial" w:cs="Arial" w:eastAsia="Arial" w:hAnsi="Arial"/>
          <w:sz w:val="16"/>
          <w:szCs w:val="16"/>
          <w:u w:val="single" w:color="auto"/>
          <w:color w:val="0000FF"/>
        </w:rPr>
        <w:t xml:space="preserve"> </w:t>
      </w:r>
      <w:hyperlink r:id="rId43">
        <w:r>
          <w:rPr>
            <w:rFonts w:ascii="Arial" w:cs="Arial" w:eastAsia="Arial" w:hAnsi="Arial"/>
            <w:sz w:val="16"/>
            <w:szCs w:val="16"/>
            <w:u w:val="single" w:color="auto"/>
            <w:color w:val="0000FF"/>
          </w:rPr>
          <w:t>Operating LLC, the guarantors named therein and Delaware Trust Company (as successor</w:t>
        </w:r>
      </w:hyperlink>
      <w:r>
        <w:rPr>
          <w:rFonts w:ascii="Arial" w:cs="Arial" w:eastAsia="Arial" w:hAnsi="Arial"/>
          <w:sz w:val="16"/>
          <w:szCs w:val="16"/>
          <w:u w:val="single" w:color="auto"/>
          <w:color w:val="0000FF"/>
        </w:rPr>
        <w:t xml:space="preserve"> </w:t>
      </w:r>
      <w:hyperlink r:id="rId43">
        <w:r>
          <w:rPr>
            <w:rFonts w:ascii="Arial" w:cs="Arial" w:eastAsia="Arial" w:hAnsi="Arial"/>
            <w:sz w:val="16"/>
            <w:szCs w:val="16"/>
            <w:u w:val="single" w:color="auto"/>
            <w:color w:val="0000FF"/>
          </w:rPr>
          <w:t>in interest to Law Debenture Trust Company of New York).</w:t>
        </w:r>
      </w:hyperlink>
    </w:p>
    <w:p>
      <w:pPr>
        <w:spacing w:after="0" w:line="200" w:lineRule="exact"/>
        <w:rPr>
          <w:rFonts w:ascii="Arial" w:cs="Arial" w:eastAsia="Arial" w:hAnsi="Arial"/>
          <w:sz w:val="16"/>
          <w:szCs w:val="16"/>
          <w:u w:val="single" w:color="auto"/>
          <w:color w:val="0000FF"/>
        </w:rPr>
      </w:pPr>
    </w:p>
    <w:p>
      <w:pPr>
        <w:spacing w:after="0" w:line="349" w:lineRule="exact"/>
        <w:rPr>
          <w:rFonts w:ascii="Arial" w:cs="Arial" w:eastAsia="Arial" w:hAnsi="Arial"/>
          <w:sz w:val="16"/>
          <w:szCs w:val="16"/>
          <w:u w:val="single" w:color="auto"/>
          <w:color w:val="0000FF"/>
        </w:rPr>
      </w:pPr>
    </w:p>
    <w:p>
      <w:pPr>
        <w:spacing w:after="0" w:line="293" w:lineRule="auto"/>
        <w:rPr>
          <w:rFonts w:ascii="Arial" w:cs="Arial" w:eastAsia="Arial" w:hAnsi="Arial"/>
          <w:sz w:val="16"/>
          <w:szCs w:val="16"/>
          <w:u w:val="single" w:color="auto"/>
          <w:color w:val="0000FF"/>
        </w:rPr>
      </w:pPr>
      <w:hyperlink r:id="rId44">
        <w:r>
          <w:rPr>
            <w:rFonts w:ascii="Arial" w:cs="Arial" w:eastAsia="Arial" w:hAnsi="Arial"/>
            <w:sz w:val="16"/>
            <w:szCs w:val="16"/>
            <w:u w:val="single" w:color="auto"/>
            <w:color w:val="0000FF"/>
          </w:rPr>
          <w:t>Indenture, dated October 1, 2018, among Clearway Energy Operating LLC, the guarantors</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named therein and Delaware Trust Company, as trustee.</w:t>
        </w:r>
      </w:hyperlink>
    </w:p>
    <w:p>
      <w:pPr>
        <w:spacing w:after="0" w:line="200" w:lineRule="exact"/>
        <w:rPr>
          <w:sz w:val="20"/>
          <w:szCs w:val="20"/>
          <w:color w:val="auto"/>
        </w:rPr>
      </w:pPr>
    </w:p>
    <w:p>
      <w:pPr>
        <w:spacing w:after="0" w:line="337" w:lineRule="exact"/>
        <w:rPr>
          <w:sz w:val="20"/>
          <w:szCs w:val="20"/>
          <w:color w:val="auto"/>
        </w:rPr>
      </w:pPr>
    </w:p>
    <w:p>
      <w:pPr>
        <w:spacing w:after="0"/>
        <w:rPr>
          <w:rFonts w:ascii="Arial" w:cs="Arial" w:eastAsia="Arial" w:hAnsi="Arial"/>
          <w:sz w:val="16"/>
          <w:szCs w:val="16"/>
          <w:u w:val="single" w:color="auto"/>
          <w:color w:val="0000FF"/>
        </w:rPr>
      </w:pPr>
      <w:hyperlink r:id="rId44">
        <w:r>
          <w:rPr>
            <w:rFonts w:ascii="Arial" w:cs="Arial" w:eastAsia="Arial" w:hAnsi="Arial"/>
            <w:sz w:val="16"/>
            <w:szCs w:val="16"/>
            <w:u w:val="single" w:color="auto"/>
            <w:color w:val="0000FF"/>
          </w:rPr>
          <w:t>Form of 5.750% Senior Notes due 2025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305" w:lineRule="auto"/>
        <w:rPr>
          <w:rFonts w:ascii="Arial" w:cs="Arial" w:eastAsia="Arial" w:hAnsi="Arial"/>
          <w:sz w:val="15"/>
          <w:szCs w:val="15"/>
          <w:u w:val="single" w:color="auto"/>
          <w:color w:val="0000FF"/>
        </w:rPr>
      </w:pPr>
      <w:hyperlink r:id="rId45">
        <w:r>
          <w:rPr>
            <w:rFonts w:ascii="Arial" w:cs="Arial" w:eastAsia="Arial" w:hAnsi="Arial"/>
            <w:sz w:val="15"/>
            <w:szCs w:val="15"/>
            <w:u w:val="single" w:color="auto"/>
            <w:color w:val="0000FF"/>
          </w:rPr>
          <w:t>Ninth Supplemental Indenture, dated as of October 25, 2018, among Clearway Energy</w:t>
        </w:r>
      </w:hyperlink>
      <w:r>
        <w:rPr>
          <w:rFonts w:ascii="Arial" w:cs="Arial" w:eastAsia="Arial" w:hAnsi="Arial"/>
          <w:sz w:val="15"/>
          <w:szCs w:val="15"/>
          <w:u w:val="single" w:color="auto"/>
          <w:color w:val="0000FF"/>
        </w:rPr>
        <w:t xml:space="preserve"> </w:t>
      </w:r>
      <w:hyperlink r:id="rId45">
        <w:r>
          <w:rPr>
            <w:rFonts w:ascii="Arial" w:cs="Arial" w:eastAsia="Arial" w:hAnsi="Arial"/>
            <w:sz w:val="15"/>
            <w:szCs w:val="15"/>
            <w:u w:val="single" w:color="auto"/>
            <w:color w:val="0000FF"/>
          </w:rPr>
          <w:t>Operating LLC, the guarantors named therein and Delaware Trust Company (as successor</w:t>
        </w:r>
      </w:hyperlink>
      <w:r>
        <w:rPr>
          <w:rFonts w:ascii="Arial" w:cs="Arial" w:eastAsia="Arial" w:hAnsi="Arial"/>
          <w:sz w:val="15"/>
          <w:szCs w:val="15"/>
          <w:u w:val="single" w:color="auto"/>
          <w:color w:val="0000FF"/>
        </w:rPr>
        <w:t xml:space="preserve"> </w:t>
      </w:r>
      <w:hyperlink r:id="rId45">
        <w:r>
          <w:rPr>
            <w:rFonts w:ascii="Arial" w:cs="Arial" w:eastAsia="Arial" w:hAnsi="Arial"/>
            <w:sz w:val="15"/>
            <w:szCs w:val="15"/>
            <w:u w:val="single" w:color="auto"/>
            <w:color w:val="0000FF"/>
          </w:rPr>
          <w:t>in interest to Law Debenture Trust Company of New York).</w:t>
        </w:r>
      </w:hyperlink>
    </w:p>
    <w:p>
      <w:pPr>
        <w:spacing w:after="0" w:line="200" w:lineRule="exact"/>
        <w:rPr>
          <w:rFonts w:ascii="Arial" w:cs="Arial" w:eastAsia="Arial" w:hAnsi="Arial"/>
          <w:sz w:val="15"/>
          <w:szCs w:val="15"/>
          <w:u w:val="single" w:color="auto"/>
          <w:color w:val="0000FF"/>
        </w:rPr>
      </w:pPr>
    </w:p>
    <w:p>
      <w:pPr>
        <w:spacing w:after="0" w:line="331" w:lineRule="exact"/>
        <w:rPr>
          <w:rFonts w:ascii="Arial" w:cs="Arial" w:eastAsia="Arial" w:hAnsi="Arial"/>
          <w:sz w:val="15"/>
          <w:szCs w:val="15"/>
          <w:u w:val="single" w:color="auto"/>
          <w:color w:val="0000FF"/>
        </w:rPr>
      </w:pPr>
    </w:p>
    <w:p>
      <w:pPr>
        <w:ind w:right="20"/>
        <w:spacing w:after="0" w:line="305" w:lineRule="auto"/>
        <w:rPr>
          <w:rFonts w:ascii="Arial" w:cs="Arial" w:eastAsia="Arial" w:hAnsi="Arial"/>
          <w:sz w:val="15"/>
          <w:szCs w:val="15"/>
          <w:u w:val="single" w:color="auto"/>
          <w:color w:val="0000FF"/>
        </w:rPr>
      </w:pPr>
      <w:hyperlink r:id="rId46">
        <w:r>
          <w:rPr>
            <w:rFonts w:ascii="Arial" w:cs="Arial" w:eastAsia="Arial" w:hAnsi="Arial"/>
            <w:sz w:val="15"/>
            <w:szCs w:val="15"/>
            <w:u w:val="single" w:color="auto"/>
            <w:color w:val="0000FF"/>
          </w:rPr>
          <w:t>Fifth Supplemental Indenture, dated as of October 25, 2018, among Clearway Energy</w:t>
        </w:r>
      </w:hyperlink>
      <w:r>
        <w:rPr>
          <w:rFonts w:ascii="Arial" w:cs="Arial" w:eastAsia="Arial" w:hAnsi="Arial"/>
          <w:sz w:val="15"/>
          <w:szCs w:val="15"/>
          <w:u w:val="single" w:color="auto"/>
          <w:color w:val="0000FF"/>
        </w:rPr>
        <w:t xml:space="preserve"> </w:t>
      </w:r>
      <w:hyperlink r:id="rId46">
        <w:r>
          <w:rPr>
            <w:rFonts w:ascii="Arial" w:cs="Arial" w:eastAsia="Arial" w:hAnsi="Arial"/>
            <w:sz w:val="15"/>
            <w:szCs w:val="15"/>
            <w:u w:val="single" w:color="auto"/>
            <w:color w:val="0000FF"/>
          </w:rPr>
          <w:t>Operating LLC, the guarantors named therein and Delaware Trust Company (as successor</w:t>
        </w:r>
      </w:hyperlink>
      <w:r>
        <w:rPr>
          <w:rFonts w:ascii="Arial" w:cs="Arial" w:eastAsia="Arial" w:hAnsi="Arial"/>
          <w:sz w:val="15"/>
          <w:szCs w:val="15"/>
          <w:u w:val="single" w:color="auto"/>
          <w:color w:val="0000FF"/>
        </w:rPr>
        <w:t xml:space="preserve"> </w:t>
      </w:r>
      <w:hyperlink r:id="rId46">
        <w:r>
          <w:rPr>
            <w:rFonts w:ascii="Arial" w:cs="Arial" w:eastAsia="Arial" w:hAnsi="Arial"/>
            <w:sz w:val="15"/>
            <w:szCs w:val="15"/>
            <w:u w:val="single" w:color="auto"/>
            <w:color w:val="0000FF"/>
          </w:rPr>
          <w:t>in interest to Law Debenture Trust Company of New York).</w:t>
        </w:r>
      </w:hyperlink>
    </w:p>
    <w:p>
      <w:pPr>
        <w:spacing w:after="0" w:line="200" w:lineRule="exact"/>
        <w:rPr>
          <w:rFonts w:ascii="Arial" w:cs="Arial" w:eastAsia="Arial" w:hAnsi="Arial"/>
          <w:sz w:val="15"/>
          <w:szCs w:val="15"/>
          <w:u w:val="single" w:color="auto"/>
          <w:color w:val="0000FF"/>
        </w:rPr>
      </w:pPr>
    </w:p>
    <w:p>
      <w:pPr>
        <w:spacing w:after="0" w:line="331" w:lineRule="exact"/>
        <w:rPr>
          <w:rFonts w:ascii="Arial" w:cs="Arial" w:eastAsia="Arial" w:hAnsi="Arial"/>
          <w:sz w:val="15"/>
          <w:szCs w:val="15"/>
          <w:u w:val="single" w:color="auto"/>
          <w:color w:val="0000FF"/>
        </w:rPr>
      </w:pPr>
    </w:p>
    <w:p>
      <w:pPr>
        <w:ind w:right="340"/>
        <w:spacing w:after="0" w:line="369" w:lineRule="auto"/>
        <w:rPr>
          <w:rFonts w:ascii="Arial" w:cs="Arial" w:eastAsia="Arial" w:hAnsi="Arial"/>
          <w:sz w:val="14"/>
          <w:szCs w:val="14"/>
          <w:u w:val="single" w:color="auto"/>
          <w:color w:val="0000FF"/>
        </w:rPr>
      </w:pPr>
      <w:hyperlink r:id="rId47">
        <w:r>
          <w:rPr>
            <w:rFonts w:ascii="Arial" w:cs="Arial" w:eastAsia="Arial" w:hAnsi="Arial"/>
            <w:sz w:val="14"/>
            <w:szCs w:val="14"/>
            <w:u w:val="single" w:color="auto"/>
            <w:color w:val="0000FF"/>
          </w:rPr>
          <w:t>First Supplemental Indenture, dated as of October 25, 2018, among Clearway Energy</w:t>
        </w:r>
      </w:hyperlink>
      <w:r>
        <w:rPr>
          <w:rFonts w:ascii="Arial" w:cs="Arial" w:eastAsia="Arial" w:hAnsi="Arial"/>
          <w:sz w:val="14"/>
          <w:szCs w:val="14"/>
          <w:u w:val="single" w:color="auto"/>
          <w:color w:val="0000FF"/>
        </w:rPr>
        <w:t xml:space="preserve"> </w:t>
      </w:r>
      <w:hyperlink r:id="rId47">
        <w:r>
          <w:rPr>
            <w:rFonts w:ascii="Arial" w:cs="Arial" w:eastAsia="Arial" w:hAnsi="Arial"/>
            <w:sz w:val="14"/>
            <w:szCs w:val="14"/>
            <w:u w:val="single" w:color="auto"/>
            <w:color w:val="0000FF"/>
          </w:rPr>
          <w:t>Operating LLC, the guarantors named therein and Delaware Trust Company.</w:t>
        </w:r>
      </w:hyperlink>
    </w:p>
    <w:p>
      <w:pPr>
        <w:spacing w:after="0" w:line="200" w:lineRule="exact"/>
        <w:rPr>
          <w:sz w:val="20"/>
          <w:szCs w:val="20"/>
          <w:color w:val="auto"/>
        </w:rPr>
      </w:pPr>
    </w:p>
    <w:p>
      <w:pPr>
        <w:spacing w:after="0" w:line="291" w:lineRule="exact"/>
        <w:rPr>
          <w:sz w:val="20"/>
          <w:szCs w:val="20"/>
          <w:color w:val="auto"/>
        </w:rPr>
      </w:pPr>
    </w:p>
    <w:p>
      <w:pPr>
        <w:ind w:right="360"/>
        <w:spacing w:after="0" w:line="293" w:lineRule="auto"/>
        <w:rPr>
          <w:rFonts w:ascii="Arial" w:cs="Arial" w:eastAsia="Arial" w:hAnsi="Arial"/>
          <w:sz w:val="16"/>
          <w:szCs w:val="16"/>
          <w:u w:val="single" w:color="auto"/>
          <w:color w:val="0000FF"/>
        </w:rPr>
      </w:pPr>
      <w:hyperlink r:id="rId48">
        <w:r>
          <w:rPr>
            <w:rFonts w:ascii="Arial" w:cs="Arial" w:eastAsia="Arial" w:hAnsi="Arial"/>
            <w:sz w:val="16"/>
            <w:szCs w:val="16"/>
            <w:u w:val="single" w:color="auto"/>
            <w:color w:val="0000FF"/>
          </w:rPr>
          <w:t>Third Amended and Restated Right of First Offer Agreement, dated as of August 31,</w:t>
        </w:r>
      </w:hyperlink>
      <w:r>
        <w:rPr>
          <w:rFonts w:ascii="Arial" w:cs="Arial" w:eastAsia="Arial" w:hAnsi="Arial"/>
          <w:sz w:val="16"/>
          <w:szCs w:val="16"/>
          <w:u w:val="single" w:color="auto"/>
          <w:color w:val="0000FF"/>
        </w:rPr>
        <w:t xml:space="preserve"> </w:t>
      </w:r>
      <w:hyperlink r:id="rId48">
        <w:r>
          <w:rPr>
            <w:rFonts w:ascii="Arial" w:cs="Arial" w:eastAsia="Arial" w:hAnsi="Arial"/>
            <w:sz w:val="16"/>
            <w:szCs w:val="16"/>
            <w:u w:val="single" w:color="auto"/>
            <w:color w:val="0000FF"/>
          </w:rPr>
          <w:t>2018, by and between NRG Yield, Inc. and NRG Energy, Inc.</w:t>
        </w:r>
      </w:hyperlink>
    </w:p>
    <w:p>
      <w:pPr>
        <w:spacing w:after="0" w:line="200" w:lineRule="exact"/>
        <w:rPr>
          <w:sz w:val="20"/>
          <w:szCs w:val="20"/>
          <w:color w:val="auto"/>
        </w:rPr>
      </w:pPr>
    </w:p>
    <w:p>
      <w:pPr>
        <w:spacing w:after="0" w:line="377" w:lineRule="exact"/>
        <w:rPr>
          <w:sz w:val="20"/>
          <w:szCs w:val="20"/>
          <w:color w:val="auto"/>
        </w:rPr>
      </w:pPr>
    </w:p>
    <w:p>
      <w:pPr>
        <w:ind w:right="120"/>
        <w:spacing w:after="0" w:line="278" w:lineRule="auto"/>
        <w:rPr>
          <w:rFonts w:ascii="Arial" w:cs="Arial" w:eastAsia="Arial" w:hAnsi="Arial"/>
          <w:sz w:val="16"/>
          <w:szCs w:val="16"/>
          <w:u w:val="single" w:color="auto"/>
          <w:color w:val="0000FF"/>
        </w:rPr>
      </w:pPr>
      <w:hyperlink r:id="rId49">
        <w:r>
          <w:rPr>
            <w:rFonts w:ascii="Arial" w:cs="Arial" w:eastAsia="Arial" w:hAnsi="Arial"/>
            <w:sz w:val="16"/>
            <w:szCs w:val="16"/>
            <w:u w:val="single" w:color="auto"/>
            <w:color w:val="0000FF"/>
          </w:rPr>
          <w:t>Right of First Offer Agreement, dated as of August 31, 2018, by and among NRG Yield,</w:t>
        </w:r>
      </w:hyperlink>
      <w:r>
        <w:rPr>
          <w:rFonts w:ascii="Arial" w:cs="Arial" w:eastAsia="Arial" w:hAnsi="Arial"/>
          <w:sz w:val="16"/>
          <w:szCs w:val="16"/>
          <w:u w:val="single" w:color="auto"/>
          <w:color w:val="0000FF"/>
        </w:rPr>
        <w:t xml:space="preserve"> </w:t>
      </w:r>
      <w:hyperlink r:id="rId49">
        <w:r>
          <w:rPr>
            <w:rFonts w:ascii="Arial" w:cs="Arial" w:eastAsia="Arial" w:hAnsi="Arial"/>
            <w:sz w:val="16"/>
            <w:szCs w:val="16"/>
            <w:u w:val="single" w:color="auto"/>
            <w:color w:val="0000FF"/>
          </w:rPr>
          <w:t>Inc., Zephyr Renewables LLC and solely for purposes of Section 2.4, GIP III Zephyr</w:t>
        </w:r>
      </w:hyperlink>
      <w:r>
        <w:rPr>
          <w:rFonts w:ascii="Arial" w:cs="Arial" w:eastAsia="Arial" w:hAnsi="Arial"/>
          <w:sz w:val="16"/>
          <w:szCs w:val="16"/>
          <w:u w:val="single" w:color="auto"/>
          <w:color w:val="0000FF"/>
        </w:rPr>
        <w:t xml:space="preserve"> </w:t>
      </w:r>
      <w:hyperlink r:id="rId49">
        <w:r>
          <w:rPr>
            <w:rFonts w:ascii="Arial" w:cs="Arial" w:eastAsia="Arial" w:hAnsi="Arial"/>
            <w:sz w:val="16"/>
            <w:szCs w:val="16"/>
            <w:u w:val="single" w:color="auto"/>
            <w:color w:val="0000FF"/>
          </w:rPr>
          <w:t>Acquisition Partners, L.P.</w:t>
        </w:r>
      </w:hyperlink>
    </w:p>
    <w:p>
      <w:pPr>
        <w:spacing w:after="0" w:line="200" w:lineRule="exact"/>
        <w:rPr>
          <w:rFonts w:ascii="Arial" w:cs="Arial" w:eastAsia="Arial" w:hAnsi="Arial"/>
          <w:sz w:val="16"/>
          <w:szCs w:val="16"/>
          <w:u w:val="single" w:color="auto"/>
          <w:color w:val="0000FF"/>
        </w:rPr>
      </w:pPr>
    </w:p>
    <w:p>
      <w:pPr>
        <w:spacing w:after="0" w:line="268" w:lineRule="exact"/>
        <w:rPr>
          <w:rFonts w:ascii="Arial" w:cs="Arial" w:eastAsia="Arial" w:hAnsi="Arial"/>
          <w:sz w:val="16"/>
          <w:szCs w:val="16"/>
          <w:u w:val="single" w:color="auto"/>
          <w:color w:val="0000FF"/>
        </w:rPr>
      </w:pPr>
    </w:p>
    <w:p>
      <w:pPr>
        <w:ind w:right="320"/>
        <w:spacing w:after="0" w:line="293" w:lineRule="auto"/>
        <w:rPr>
          <w:rFonts w:ascii="Arial" w:cs="Arial" w:eastAsia="Arial" w:hAnsi="Arial"/>
          <w:sz w:val="16"/>
          <w:szCs w:val="16"/>
          <w:u w:val="single" w:color="auto"/>
          <w:color w:val="0000FF"/>
        </w:rPr>
      </w:pPr>
      <w:hyperlink r:id="rId50">
        <w:r>
          <w:rPr>
            <w:rFonts w:ascii="Arial" w:cs="Arial" w:eastAsia="Arial" w:hAnsi="Arial"/>
            <w:sz w:val="16"/>
            <w:szCs w:val="16"/>
            <w:u w:val="single" w:color="auto"/>
            <w:color w:val="0000FF"/>
          </w:rPr>
          <w:t>First Amendment to Right of First Offer Agreement, dated February 14, 2019, by and</w:t>
        </w:r>
      </w:hyperlink>
      <w:r>
        <w:rPr>
          <w:rFonts w:ascii="Arial" w:cs="Arial" w:eastAsia="Arial" w:hAnsi="Arial"/>
          <w:sz w:val="16"/>
          <w:szCs w:val="16"/>
          <w:u w:val="single" w:color="auto"/>
          <w:color w:val="0000FF"/>
        </w:rPr>
        <w:t xml:space="preserve"> </w:t>
      </w:r>
      <w:hyperlink r:id="rId50">
        <w:r>
          <w:rPr>
            <w:rFonts w:ascii="Arial" w:cs="Arial" w:eastAsia="Arial" w:hAnsi="Arial"/>
            <w:sz w:val="16"/>
            <w:szCs w:val="16"/>
            <w:u w:val="single" w:color="auto"/>
            <w:color w:val="0000FF"/>
          </w:rPr>
          <w:t>between Clearway Energy Group LLC and Clearway Energy, Inc.</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329" w:lineRule="auto"/>
        <w:rPr>
          <w:rFonts w:ascii="Arial" w:cs="Arial" w:eastAsia="Arial" w:hAnsi="Arial"/>
          <w:sz w:val="15"/>
          <w:szCs w:val="15"/>
          <w:u w:val="single" w:color="auto"/>
          <w:color w:val="0000FF"/>
        </w:rPr>
      </w:pPr>
      <w:hyperlink r:id="rId51">
        <w:r>
          <w:rPr>
            <w:rFonts w:ascii="Arial" w:cs="Arial" w:eastAsia="Arial" w:hAnsi="Arial"/>
            <w:sz w:val="15"/>
            <w:szCs w:val="15"/>
            <w:u w:val="single" w:color="auto"/>
            <w:color w:val="0000FF"/>
          </w:rPr>
          <w:t>Master Services Agreement, dated as of August 31, 2018, by and among NRG Yield, Inc.,</w:t>
        </w:r>
      </w:hyperlink>
      <w:r>
        <w:rPr>
          <w:rFonts w:ascii="Arial" w:cs="Arial" w:eastAsia="Arial" w:hAnsi="Arial"/>
          <w:sz w:val="15"/>
          <w:szCs w:val="15"/>
          <w:u w:val="single" w:color="auto"/>
          <w:color w:val="0000FF"/>
        </w:rPr>
        <w:t xml:space="preserve"> </w:t>
      </w:r>
      <w:hyperlink r:id="rId51">
        <w:r>
          <w:rPr>
            <w:rFonts w:ascii="Arial" w:cs="Arial" w:eastAsia="Arial" w:hAnsi="Arial"/>
            <w:sz w:val="15"/>
            <w:szCs w:val="15"/>
            <w:u w:val="single" w:color="auto"/>
            <w:color w:val="0000FF"/>
          </w:rPr>
          <w:t>NRG Yield LLC, NRG Yield Operating LLC and Zephyr Renewables LLC.</w:t>
        </w:r>
      </w:hyperlink>
    </w:p>
    <w:p>
      <w:pPr>
        <w:spacing w:after="0" w:line="200" w:lineRule="exact"/>
        <w:rPr>
          <w:sz w:val="20"/>
          <w:szCs w:val="20"/>
          <w:color w:val="auto"/>
        </w:rPr>
      </w:pPr>
    </w:p>
    <w:p>
      <w:pPr>
        <w:spacing w:after="0" w:line="354" w:lineRule="exact"/>
        <w:rPr>
          <w:sz w:val="20"/>
          <w:szCs w:val="20"/>
          <w:color w:val="auto"/>
        </w:rPr>
      </w:pPr>
    </w:p>
    <w:p>
      <w:pPr>
        <w:ind w:right="260"/>
        <w:spacing w:after="0" w:line="329" w:lineRule="auto"/>
        <w:rPr>
          <w:rFonts w:ascii="Arial" w:cs="Arial" w:eastAsia="Arial" w:hAnsi="Arial"/>
          <w:sz w:val="15"/>
          <w:szCs w:val="15"/>
          <w:u w:val="single" w:color="auto"/>
          <w:color w:val="0000FF"/>
        </w:rPr>
      </w:pPr>
      <w:hyperlink r:id="rId52">
        <w:r>
          <w:rPr>
            <w:rFonts w:ascii="Arial" w:cs="Arial" w:eastAsia="Arial" w:hAnsi="Arial"/>
            <w:sz w:val="15"/>
            <w:szCs w:val="15"/>
            <w:u w:val="single" w:color="auto"/>
            <w:color w:val="0000FF"/>
          </w:rPr>
          <w:t>Master Services Agreement, dated as of August 31, 2018, by and among Zephyr</w:t>
        </w:r>
      </w:hyperlink>
      <w:r>
        <w:rPr>
          <w:rFonts w:ascii="Arial" w:cs="Arial" w:eastAsia="Arial" w:hAnsi="Arial"/>
          <w:sz w:val="15"/>
          <w:szCs w:val="15"/>
          <w:u w:val="single" w:color="auto"/>
          <w:color w:val="0000FF"/>
        </w:rPr>
        <w:t xml:space="preserve"> </w:t>
      </w:r>
      <w:hyperlink r:id="rId52">
        <w:r>
          <w:rPr>
            <w:rFonts w:ascii="Arial" w:cs="Arial" w:eastAsia="Arial" w:hAnsi="Arial"/>
            <w:sz w:val="15"/>
            <w:szCs w:val="15"/>
            <w:u w:val="single" w:color="auto"/>
            <w:color w:val="0000FF"/>
          </w:rPr>
          <w:t>Renewables LLC, NRG Yield, Inc., NRG Yield LLC, and NRG Yield Operating LLC.</w:t>
        </w:r>
      </w:hyperlink>
    </w:p>
    <w:p>
      <w:pPr>
        <w:spacing w:after="0" w:line="200" w:lineRule="exact"/>
        <w:rPr>
          <w:sz w:val="20"/>
          <w:szCs w:val="20"/>
          <w:color w:val="auto"/>
        </w:rPr>
      </w:pPr>
    </w:p>
    <w:p>
      <w:pPr>
        <w:spacing w:after="0" w:line="354" w:lineRule="exact"/>
        <w:rPr>
          <w:sz w:val="20"/>
          <w:szCs w:val="20"/>
          <w:color w:val="auto"/>
        </w:rPr>
      </w:pPr>
    </w:p>
    <w:p>
      <w:pPr>
        <w:ind w:right="280"/>
        <w:spacing w:after="0" w:line="293" w:lineRule="auto"/>
        <w:rPr>
          <w:rFonts w:ascii="Arial" w:cs="Arial" w:eastAsia="Arial" w:hAnsi="Arial"/>
          <w:sz w:val="16"/>
          <w:szCs w:val="16"/>
          <w:u w:val="single" w:color="auto"/>
          <w:color w:val="0000FF"/>
        </w:rPr>
      </w:pPr>
      <w:hyperlink r:id="rId53">
        <w:r>
          <w:rPr>
            <w:rFonts w:ascii="Arial" w:cs="Arial" w:eastAsia="Arial" w:hAnsi="Arial"/>
            <w:sz w:val="16"/>
            <w:szCs w:val="16"/>
            <w:u w:val="single" w:color="auto"/>
            <w:color w:val="0000FF"/>
          </w:rPr>
          <w:t>Termination Agreement, dated as of August 31, 2018, by and among NRG Yield, Inc.,</w:t>
        </w:r>
      </w:hyperlink>
      <w:r>
        <w:rPr>
          <w:rFonts w:ascii="Arial" w:cs="Arial" w:eastAsia="Arial" w:hAnsi="Arial"/>
          <w:sz w:val="16"/>
          <w:szCs w:val="16"/>
          <w:u w:val="single" w:color="auto"/>
          <w:color w:val="0000FF"/>
        </w:rPr>
        <w:t xml:space="preserve"> </w:t>
      </w:r>
      <w:hyperlink r:id="rId53">
        <w:r>
          <w:rPr>
            <w:rFonts w:ascii="Arial" w:cs="Arial" w:eastAsia="Arial" w:hAnsi="Arial"/>
            <w:sz w:val="16"/>
            <w:szCs w:val="16"/>
            <w:u w:val="single" w:color="auto"/>
            <w:color w:val="0000FF"/>
          </w:rPr>
          <w:t>NRG Yield LLC, NRG Yield Operating LLC and NRG Energy, Inc.</w:t>
        </w:r>
      </w:hyperlink>
    </w:p>
    <w:p>
      <w:pPr>
        <w:spacing w:after="0" w:line="200" w:lineRule="exact"/>
        <w:rPr>
          <w:sz w:val="20"/>
          <w:szCs w:val="20"/>
          <w:color w:val="auto"/>
        </w:rPr>
      </w:pPr>
    </w:p>
    <w:p>
      <w:pPr>
        <w:spacing w:after="0" w:line="296" w:lineRule="exact"/>
        <w:rPr>
          <w:sz w:val="20"/>
          <w:szCs w:val="20"/>
          <w:color w:val="auto"/>
        </w:rPr>
      </w:pPr>
    </w:p>
    <w:p>
      <w:pPr>
        <w:ind w:right="60"/>
        <w:spacing w:after="0" w:line="271" w:lineRule="auto"/>
        <w:rPr>
          <w:rFonts w:ascii="Arial" w:cs="Arial" w:eastAsia="Arial" w:hAnsi="Arial"/>
          <w:sz w:val="16"/>
          <w:szCs w:val="16"/>
          <w:u w:val="single" w:color="auto"/>
          <w:color w:val="0000FF"/>
        </w:rPr>
      </w:pPr>
      <w:hyperlink r:id="rId54">
        <w:r>
          <w:rPr>
            <w:rFonts w:ascii="Arial" w:cs="Arial" w:eastAsia="Arial" w:hAnsi="Arial"/>
            <w:sz w:val="16"/>
            <w:szCs w:val="16"/>
            <w:u w:val="single" w:color="auto"/>
            <w:color w:val="0000FF"/>
          </w:rPr>
          <w:t>Amended and Restated Credit Agreement, dated April 25, 2014, by and among NRG</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Yield Operating LLC, NRG Yield LLC, Royal Bank of Canada, as Administrative Agent,</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the lenders party thereto, Royal Bank of Canada, Goldman Sachs Bank USA and Bank of</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America, N.A., as L/C Issuers and RBC Capital Markets as Sole Left Lead Arranger and</w:t>
        </w:r>
      </w:hyperlink>
      <w:r>
        <w:rPr>
          <w:rFonts w:ascii="Arial" w:cs="Arial" w:eastAsia="Arial" w:hAnsi="Arial"/>
          <w:sz w:val="16"/>
          <w:szCs w:val="16"/>
          <w:u w:val="single" w:color="auto"/>
          <w:color w:val="0000FF"/>
        </w:rPr>
        <w:t xml:space="preserve"> </w:t>
      </w:r>
      <w:hyperlink r:id="rId54">
        <w:r>
          <w:rPr>
            <w:rFonts w:ascii="Arial" w:cs="Arial" w:eastAsia="Arial" w:hAnsi="Arial"/>
            <w:sz w:val="16"/>
            <w:szCs w:val="16"/>
            <w:u w:val="single" w:color="auto"/>
            <w:color w:val="0000FF"/>
          </w:rPr>
          <w:t>Sole Left Lead Book Runner.</w:t>
        </w:r>
      </w:hyperlink>
    </w:p>
    <w:p>
      <w:pPr>
        <w:spacing w:after="0" w:line="109" w:lineRule="exact"/>
        <w:rPr>
          <w:rFonts w:ascii="Arial" w:cs="Arial" w:eastAsia="Arial" w:hAnsi="Arial"/>
          <w:sz w:val="16"/>
          <w:szCs w:val="16"/>
          <w:u w:val="single" w:color="auto"/>
          <w:color w:val="0000FF"/>
        </w:rPr>
      </w:pPr>
    </w:p>
    <w:p>
      <w:pPr>
        <w:ind w:right="20"/>
        <w:spacing w:after="0" w:line="278" w:lineRule="auto"/>
        <w:rPr>
          <w:rFonts w:ascii="Arial" w:cs="Arial" w:eastAsia="Arial" w:hAnsi="Arial"/>
          <w:sz w:val="16"/>
          <w:szCs w:val="16"/>
          <w:u w:val="single" w:color="auto"/>
          <w:color w:val="0000FF"/>
        </w:rPr>
      </w:pPr>
      <w:hyperlink r:id="rId55">
        <w:r>
          <w:rPr>
            <w:rFonts w:ascii="Arial" w:cs="Arial" w:eastAsia="Arial" w:hAnsi="Arial"/>
            <w:sz w:val="16"/>
            <w:szCs w:val="16"/>
            <w:u w:val="single" w:color="auto"/>
            <w:color w:val="0000FF"/>
          </w:rPr>
          <w:t>First Amendment to Amended &amp; Restated Credit Agreement, dated June 26, 2015, by and</w:t>
        </w:r>
      </w:hyperlink>
      <w:r>
        <w:rPr>
          <w:rFonts w:ascii="Arial" w:cs="Arial" w:eastAsia="Arial" w:hAnsi="Arial"/>
          <w:sz w:val="16"/>
          <w:szCs w:val="16"/>
          <w:u w:val="single" w:color="auto"/>
          <w:color w:val="0000FF"/>
        </w:rPr>
        <w:t xml:space="preserve"> </w:t>
      </w:r>
      <w:hyperlink r:id="rId55">
        <w:r>
          <w:rPr>
            <w:rFonts w:ascii="Arial" w:cs="Arial" w:eastAsia="Arial" w:hAnsi="Arial"/>
            <w:sz w:val="16"/>
            <w:szCs w:val="16"/>
            <w:u w:val="single" w:color="auto"/>
            <w:color w:val="0000FF"/>
          </w:rPr>
          <w:t>among NRG Yield Operating LLC, NRG Yield LLC, Royal Bank of Canada and the</w:t>
        </w:r>
      </w:hyperlink>
      <w:r>
        <w:rPr>
          <w:rFonts w:ascii="Arial" w:cs="Arial" w:eastAsia="Arial" w:hAnsi="Arial"/>
          <w:sz w:val="16"/>
          <w:szCs w:val="16"/>
          <w:u w:val="single" w:color="auto"/>
          <w:color w:val="0000FF"/>
        </w:rPr>
        <w:t xml:space="preserve"> </w:t>
      </w:r>
      <w:hyperlink r:id="rId55">
        <w:r>
          <w:rPr>
            <w:rFonts w:ascii="Arial" w:cs="Arial" w:eastAsia="Arial" w:hAnsi="Arial"/>
            <w:sz w:val="16"/>
            <w:szCs w:val="16"/>
            <w:u w:val="single" w:color="auto"/>
            <w:color w:val="0000FF"/>
          </w:rPr>
          <w:t>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61" w:lineRule="exact"/>
        <w:rPr>
          <w:rFonts w:ascii="Arial" w:cs="Arial" w:eastAsia="Arial" w:hAnsi="Arial"/>
          <w:sz w:val="16"/>
          <w:szCs w:val="16"/>
          <w:u w:val="single" w:color="auto"/>
          <w:color w:val="0000FF"/>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September 6, 2018.</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93" w:lineRule="exact"/>
        <w:rPr>
          <w:rFonts w:ascii="Arial" w:cs="Arial" w:eastAsia="Arial" w:hAnsi="Arial"/>
          <w:sz w:val="16"/>
          <w:szCs w:val="16"/>
          <w:u w:val="single" w:color="auto"/>
          <w:color w:val="0000FF"/>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4.2 to the Company's Current Report on Form 8-K filed on September 6, 2018.</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93" w:lineRule="exact"/>
        <w:rPr>
          <w:rFonts w:ascii="Arial" w:cs="Arial" w:eastAsia="Arial" w:hAnsi="Arial"/>
          <w:sz w:val="16"/>
          <w:szCs w:val="16"/>
          <w:u w:val="single" w:color="auto"/>
          <w:color w:val="0000FF"/>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October 2, 2018.</w:t>
      </w:r>
    </w:p>
    <w:p>
      <w:pPr>
        <w:spacing w:after="0" w:line="200" w:lineRule="exact"/>
        <w:rPr>
          <w:rFonts w:ascii="Arial" w:cs="Arial" w:eastAsia="Arial" w:hAnsi="Arial"/>
          <w:sz w:val="16"/>
          <w:szCs w:val="16"/>
          <w:u w:val="single" w:color="auto"/>
          <w:color w:val="0000FF"/>
        </w:rPr>
      </w:pPr>
    </w:p>
    <w:p>
      <w:pPr>
        <w:spacing w:after="0" w:line="291" w:lineRule="exact"/>
        <w:rPr>
          <w:rFonts w:ascii="Arial" w:cs="Arial" w:eastAsia="Arial" w:hAnsi="Arial"/>
          <w:sz w:val="16"/>
          <w:szCs w:val="16"/>
          <w:u w:val="single" w:color="auto"/>
          <w:color w:val="0000FF"/>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4.2 to the Company's Current Report on Form 8-K filed on October 2, 2018.</w:t>
      </w:r>
    </w:p>
    <w:p>
      <w:pPr>
        <w:spacing w:after="0" w:line="200" w:lineRule="exact"/>
        <w:rPr>
          <w:rFonts w:ascii="Arial" w:cs="Arial" w:eastAsia="Arial" w:hAnsi="Arial"/>
          <w:sz w:val="16"/>
          <w:szCs w:val="16"/>
          <w:u w:val="single" w:color="auto"/>
          <w:color w:val="0000FF"/>
        </w:rPr>
      </w:pPr>
    </w:p>
    <w:p>
      <w:pPr>
        <w:spacing w:after="0" w:line="291" w:lineRule="exact"/>
        <w:rPr>
          <w:rFonts w:ascii="Arial" w:cs="Arial" w:eastAsia="Arial" w:hAnsi="Arial"/>
          <w:sz w:val="16"/>
          <w:szCs w:val="16"/>
          <w:u w:val="single" w:color="auto"/>
          <w:color w:val="0000FF"/>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October 31, 2018.</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93" w:lineRule="exact"/>
        <w:rPr>
          <w:rFonts w:ascii="Arial" w:cs="Arial" w:eastAsia="Arial" w:hAnsi="Arial"/>
          <w:sz w:val="16"/>
          <w:szCs w:val="16"/>
          <w:u w:val="single" w:color="auto"/>
          <w:color w:val="0000FF"/>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4.2 to the Company's Current Report on Form 8-K filed on October 31, 2018.</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93" w:lineRule="exact"/>
        <w:rPr>
          <w:rFonts w:ascii="Arial" w:cs="Arial" w:eastAsia="Arial" w:hAnsi="Arial"/>
          <w:sz w:val="16"/>
          <w:szCs w:val="16"/>
          <w:u w:val="single" w:color="auto"/>
          <w:color w:val="0000FF"/>
        </w:rPr>
      </w:pPr>
    </w:p>
    <w:p>
      <w:pPr>
        <w:spacing w:after="0" w:line="369" w:lineRule="auto"/>
        <w:rPr>
          <w:sz w:val="20"/>
          <w:szCs w:val="20"/>
          <w:color w:val="auto"/>
        </w:rPr>
      </w:pPr>
      <w:r>
        <w:rPr>
          <w:rFonts w:ascii="Arial" w:cs="Arial" w:eastAsia="Arial" w:hAnsi="Arial"/>
          <w:sz w:val="14"/>
          <w:szCs w:val="14"/>
          <w:color w:val="auto"/>
        </w:rPr>
        <w:t>Incorporated herein by reference to Exhibit 4.3 to the Registrant's Current Report on Form 8-K filed on October 31, 2018.</w:t>
      </w:r>
    </w:p>
    <w:p>
      <w:pPr>
        <w:spacing w:after="0" w:line="200" w:lineRule="exact"/>
        <w:rPr>
          <w:rFonts w:ascii="Arial" w:cs="Arial" w:eastAsia="Arial" w:hAnsi="Arial"/>
          <w:sz w:val="16"/>
          <w:szCs w:val="16"/>
          <w:u w:val="single" w:color="auto"/>
          <w:color w:val="0000FF"/>
        </w:rPr>
      </w:pPr>
    </w:p>
    <w:p>
      <w:pPr>
        <w:spacing w:after="0" w:line="291" w:lineRule="exact"/>
        <w:rPr>
          <w:rFonts w:ascii="Arial" w:cs="Arial" w:eastAsia="Arial" w:hAnsi="Arial"/>
          <w:sz w:val="16"/>
          <w:szCs w:val="16"/>
          <w:u w:val="single" w:color="auto"/>
          <w:color w:val="0000FF"/>
        </w:rPr>
      </w:pPr>
    </w:p>
    <w:p>
      <w:pPr>
        <w:ind w:right="40"/>
        <w:spacing w:after="0" w:line="278" w:lineRule="auto"/>
        <w:rPr>
          <w:sz w:val="20"/>
          <w:szCs w:val="20"/>
          <w:color w:val="auto"/>
        </w:rPr>
      </w:pPr>
      <w:r>
        <w:rPr>
          <w:rFonts w:ascii="Arial" w:cs="Arial" w:eastAsia="Arial" w:hAnsi="Arial"/>
          <w:sz w:val="16"/>
          <w:szCs w:val="16"/>
          <w:color w:val="auto"/>
        </w:rPr>
        <w:t>Incorporated herein by reference to Exhibit 10.5 to Clearway Energy, Inc.'s Current Report on Form 8-K filed on September 5, 2018.</w:t>
      </w:r>
    </w:p>
    <w:p>
      <w:pPr>
        <w:spacing w:after="0" w:line="200" w:lineRule="exact"/>
        <w:rPr>
          <w:rFonts w:ascii="Arial" w:cs="Arial" w:eastAsia="Arial" w:hAnsi="Arial"/>
          <w:sz w:val="16"/>
          <w:szCs w:val="16"/>
          <w:u w:val="single" w:color="auto"/>
          <w:color w:val="0000FF"/>
        </w:rPr>
      </w:pPr>
    </w:p>
    <w:p>
      <w:pPr>
        <w:spacing w:after="0" w:line="349" w:lineRule="exact"/>
        <w:rPr>
          <w:rFonts w:ascii="Arial" w:cs="Arial" w:eastAsia="Arial" w:hAnsi="Arial"/>
          <w:sz w:val="16"/>
          <w:szCs w:val="16"/>
          <w:u w:val="single" w:color="auto"/>
          <w:color w:val="0000FF"/>
        </w:rPr>
      </w:pPr>
    </w:p>
    <w:p>
      <w:pPr>
        <w:ind w:right="40"/>
        <w:spacing w:after="0" w:line="278" w:lineRule="auto"/>
        <w:rPr>
          <w:sz w:val="20"/>
          <w:szCs w:val="20"/>
          <w:color w:val="auto"/>
        </w:rPr>
      </w:pPr>
      <w:r>
        <w:rPr>
          <w:rFonts w:ascii="Arial" w:cs="Arial" w:eastAsia="Arial" w:hAnsi="Arial"/>
          <w:sz w:val="16"/>
          <w:szCs w:val="16"/>
          <w:color w:val="auto"/>
        </w:rPr>
        <w:t>Incorporated herein by reference to Exhibit 10.3 to Clearway Energy, Inc.'s Current Report on Form 8-K filed on September 5, 2018.</w:t>
      </w:r>
    </w:p>
    <w:p>
      <w:pPr>
        <w:spacing w:after="0" w:line="387" w:lineRule="exact"/>
        <w:rPr>
          <w:rFonts w:ascii="Arial" w:cs="Arial" w:eastAsia="Arial" w:hAnsi="Arial"/>
          <w:sz w:val="16"/>
          <w:szCs w:val="16"/>
          <w:u w:val="single" w:color="auto"/>
          <w:color w:val="0000FF"/>
        </w:rPr>
      </w:pPr>
    </w:p>
    <w:p>
      <w:pPr>
        <w:ind w:right="60"/>
        <w:spacing w:after="0" w:line="278" w:lineRule="auto"/>
        <w:rPr>
          <w:sz w:val="20"/>
          <w:szCs w:val="20"/>
          <w:color w:val="auto"/>
        </w:rPr>
      </w:pPr>
      <w:r>
        <w:rPr>
          <w:rFonts w:ascii="Arial" w:cs="Arial" w:eastAsia="Arial" w:hAnsi="Arial"/>
          <w:sz w:val="16"/>
          <w:szCs w:val="16"/>
          <w:color w:val="auto"/>
        </w:rPr>
        <w:t>Incorporated herein by reference to Exhibit 10.1 to Clearway Energy, Inc.'s Current Report on Form 8-K filed on February 14, 2019.</w:t>
      </w:r>
    </w:p>
    <w:p>
      <w:pPr>
        <w:spacing w:after="0" w:line="387" w:lineRule="exact"/>
        <w:rPr>
          <w:rFonts w:ascii="Arial" w:cs="Arial" w:eastAsia="Arial" w:hAnsi="Arial"/>
          <w:sz w:val="16"/>
          <w:szCs w:val="16"/>
          <w:u w:val="single" w:color="auto"/>
          <w:color w:val="0000FF"/>
        </w:rPr>
      </w:pPr>
    </w:p>
    <w:p>
      <w:pPr>
        <w:ind w:right="40"/>
        <w:spacing w:after="0" w:line="278" w:lineRule="auto"/>
        <w:rPr>
          <w:sz w:val="20"/>
          <w:szCs w:val="20"/>
          <w:color w:val="auto"/>
        </w:rPr>
      </w:pPr>
      <w:r>
        <w:rPr>
          <w:rFonts w:ascii="Arial" w:cs="Arial" w:eastAsia="Arial" w:hAnsi="Arial"/>
          <w:sz w:val="16"/>
          <w:szCs w:val="16"/>
          <w:color w:val="auto"/>
        </w:rPr>
        <w:t>Incorporated herein by reference to Exhibit 10.1 to Clearway Energy, Inc.'s Current Report on Form 8-K filed on September 5, 2018.</w:t>
      </w:r>
    </w:p>
    <w:p>
      <w:pPr>
        <w:spacing w:after="0" w:line="387" w:lineRule="exact"/>
        <w:rPr>
          <w:rFonts w:ascii="Arial" w:cs="Arial" w:eastAsia="Arial" w:hAnsi="Arial"/>
          <w:sz w:val="16"/>
          <w:szCs w:val="16"/>
          <w:u w:val="single" w:color="auto"/>
          <w:color w:val="0000FF"/>
        </w:rPr>
      </w:pPr>
    </w:p>
    <w:p>
      <w:pPr>
        <w:ind w:right="40"/>
        <w:spacing w:after="0" w:line="278" w:lineRule="auto"/>
        <w:rPr>
          <w:sz w:val="20"/>
          <w:szCs w:val="20"/>
          <w:color w:val="auto"/>
        </w:rPr>
      </w:pPr>
      <w:r>
        <w:rPr>
          <w:rFonts w:ascii="Arial" w:cs="Arial" w:eastAsia="Arial" w:hAnsi="Arial"/>
          <w:sz w:val="16"/>
          <w:szCs w:val="16"/>
          <w:color w:val="auto"/>
        </w:rPr>
        <w:t>Incorporated herein by reference to Exhibit 10.2 to Clearway Energy, Inc.'s Current Report on Form 8-K filed on September 5, 2018.</w:t>
      </w:r>
    </w:p>
    <w:p>
      <w:pPr>
        <w:spacing w:after="0" w:line="387" w:lineRule="exact"/>
        <w:rPr>
          <w:rFonts w:ascii="Arial" w:cs="Arial" w:eastAsia="Arial" w:hAnsi="Arial"/>
          <w:sz w:val="16"/>
          <w:szCs w:val="16"/>
          <w:u w:val="single" w:color="auto"/>
          <w:color w:val="0000FF"/>
        </w:rPr>
      </w:pPr>
    </w:p>
    <w:p>
      <w:pPr>
        <w:ind w:right="40"/>
        <w:spacing w:after="0" w:line="278" w:lineRule="auto"/>
        <w:rPr>
          <w:sz w:val="20"/>
          <w:szCs w:val="20"/>
          <w:color w:val="auto"/>
        </w:rPr>
      </w:pPr>
      <w:r>
        <w:rPr>
          <w:rFonts w:ascii="Arial" w:cs="Arial" w:eastAsia="Arial" w:hAnsi="Arial"/>
          <w:sz w:val="16"/>
          <w:szCs w:val="16"/>
          <w:color w:val="auto"/>
        </w:rPr>
        <w:t>Incorporated herein by reference to Exhibit 10.9 to Clearway Energy, Inc.'s Current Report on Form 8-K filed on September 5, 2018.</w:t>
      </w:r>
    </w:p>
    <w:p>
      <w:pPr>
        <w:spacing w:after="0" w:line="306" w:lineRule="exact"/>
        <w:rPr>
          <w:rFonts w:ascii="Arial" w:cs="Arial" w:eastAsia="Arial" w:hAnsi="Arial"/>
          <w:sz w:val="16"/>
          <w:szCs w:val="16"/>
          <w:u w:val="single" w:color="auto"/>
          <w:color w:val="0000FF"/>
        </w:rPr>
      </w:pPr>
    </w:p>
    <w:p>
      <w:pPr>
        <w:ind w:right="200"/>
        <w:spacing w:after="0" w:line="369" w:lineRule="auto"/>
        <w:rPr>
          <w:sz w:val="20"/>
          <w:szCs w:val="20"/>
          <w:color w:val="auto"/>
        </w:rPr>
      </w:pPr>
      <w:r>
        <w:rPr>
          <w:rFonts w:ascii="Arial" w:cs="Arial" w:eastAsia="Arial" w:hAnsi="Arial"/>
          <w:sz w:val="14"/>
          <w:szCs w:val="14"/>
          <w:color w:val="auto"/>
        </w:rPr>
        <w:t>Incorporated by reference to Exhibit 10.1 to Clearway Energy, Inc.'s Current Report on Form 8-K filed on April 28, 2014.</w:t>
      </w:r>
    </w:p>
    <w:p>
      <w:pPr>
        <w:spacing w:after="0" w:line="200" w:lineRule="exact"/>
        <w:rPr>
          <w:rFonts w:ascii="Arial" w:cs="Arial" w:eastAsia="Arial" w:hAnsi="Arial"/>
          <w:sz w:val="16"/>
          <w:szCs w:val="16"/>
          <w:u w:val="single" w:color="auto"/>
          <w:color w:val="0000FF"/>
        </w:rPr>
      </w:pPr>
    </w:p>
    <w:p>
      <w:pPr>
        <w:spacing w:after="0" w:line="372" w:lineRule="exact"/>
        <w:rPr>
          <w:rFonts w:ascii="Arial" w:cs="Arial" w:eastAsia="Arial" w:hAnsi="Arial"/>
          <w:sz w:val="16"/>
          <w:szCs w:val="16"/>
          <w:u w:val="single" w:color="auto"/>
          <w:color w:val="0000FF"/>
        </w:rPr>
      </w:pPr>
    </w:p>
    <w:p>
      <w:pPr>
        <w:ind w:right="60"/>
        <w:spacing w:after="0" w:line="278" w:lineRule="auto"/>
        <w:rPr>
          <w:sz w:val="20"/>
          <w:szCs w:val="20"/>
          <w:color w:val="auto"/>
        </w:rPr>
      </w:pPr>
      <w:r>
        <w:rPr>
          <w:rFonts w:ascii="Arial" w:cs="Arial" w:eastAsia="Arial" w:hAnsi="Arial"/>
          <w:sz w:val="16"/>
          <w:szCs w:val="16"/>
          <w:color w:val="auto"/>
        </w:rPr>
        <w:t>Incorporated herein by reference to Exhibit 10.9 to Clearway Energy, Inc.'s Quarterly Report on Form 10-Q filed on August 4, 2015.</w:t>
      </w:r>
    </w:p>
    <w:p>
      <w:pPr>
        <w:sectPr>
          <w:pgSz w:w="11900" w:h="16838" w:orient="portrait"/>
          <w:cols w:equalWidth="0" w:num="3">
            <w:col w:w="400" w:space="640"/>
            <w:col w:w="5860" w:space="180"/>
            <w:col w:w="4240"/>
          </w:cols>
          <w:pgMar w:left="280" w:top="751" w:right="29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1040" w:type="dxa"/>
            <w:vAlign w:val="bottom"/>
          </w:tcPr>
          <w:p>
            <w:pPr>
              <w:jc w:val="right"/>
              <w:ind w:right="559"/>
              <w:spacing w:after="0"/>
              <w:rPr>
                <w:sz w:val="20"/>
                <w:szCs w:val="20"/>
                <w:color w:val="auto"/>
              </w:rPr>
            </w:pPr>
            <w:r>
              <w:rPr>
                <w:rFonts w:ascii="Arial" w:cs="Arial" w:eastAsia="Arial" w:hAnsi="Arial"/>
                <w:sz w:val="16"/>
                <w:szCs w:val="16"/>
                <w:color w:val="auto"/>
                <w:w w:val="85"/>
              </w:rPr>
              <w:t>10.6.3</w:t>
            </w:r>
          </w:p>
        </w:tc>
        <w:tc>
          <w:tcPr>
            <w:tcW w:w="5800" w:type="dxa"/>
            <w:vAlign w:val="bottom"/>
            <w:gridSpan w:val="3"/>
          </w:tcPr>
          <w:p>
            <w:pPr>
              <w:spacing w:after="0"/>
              <w:rPr>
                <w:rFonts w:ascii="Arial" w:cs="Arial" w:eastAsia="Arial" w:hAnsi="Arial"/>
                <w:sz w:val="16"/>
                <w:szCs w:val="16"/>
                <w:color w:val="0000FF"/>
                <w:w w:val="91"/>
              </w:rPr>
            </w:pPr>
            <w:hyperlink r:id="rId56">
              <w:r>
                <w:rPr>
                  <w:rFonts w:ascii="Arial" w:cs="Arial" w:eastAsia="Arial" w:hAnsi="Arial"/>
                  <w:sz w:val="16"/>
                  <w:szCs w:val="16"/>
                  <w:color w:val="0000FF"/>
                  <w:w w:val="91"/>
                </w:rPr>
                <w:t>Second Amendment to Amended &amp; Restated Credit Agreement, dated February 6, 2018,</w:t>
              </w:r>
            </w:hyperlink>
          </w:p>
        </w:tc>
      </w:tr>
      <w:tr>
        <w:trPr>
          <w:trHeight w:val="20"/>
        </w:trPr>
        <w:tc>
          <w:tcPr>
            <w:tcW w:w="1040" w:type="dxa"/>
            <w:vAlign w:val="bottom"/>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800" w:type="dxa"/>
            <w:vAlign w:val="bottom"/>
            <w:tcBorders>
              <w:bottom w:val="single" w:sz="8" w:color="0000FF"/>
            </w:tcBorders>
            <w:gridSpan w:val="3"/>
          </w:tcPr>
          <w:p>
            <w:pPr>
              <w:spacing w:after="0" w:line="183" w:lineRule="exact"/>
              <w:rPr>
                <w:rFonts w:ascii="Arial" w:cs="Arial" w:eastAsia="Arial" w:hAnsi="Arial"/>
                <w:sz w:val="16"/>
                <w:szCs w:val="16"/>
                <w:color w:val="0000FF"/>
                <w:w w:val="93"/>
              </w:rPr>
            </w:pPr>
            <w:hyperlink r:id="rId56">
              <w:r>
                <w:rPr>
                  <w:rFonts w:ascii="Arial" w:cs="Arial" w:eastAsia="Arial" w:hAnsi="Arial"/>
                  <w:sz w:val="16"/>
                  <w:szCs w:val="16"/>
                  <w:color w:val="0000FF"/>
                  <w:w w:val="93"/>
                </w:rPr>
                <w:t>by and among NRG Yield Operating LLC, NRG Yield LLC, the guarantors party thereto,</w:t>
              </w:r>
            </w:hyperlink>
          </w:p>
        </w:tc>
      </w:tr>
      <w:tr>
        <w:trPr>
          <w:trHeight w:val="183"/>
        </w:trPr>
        <w:tc>
          <w:tcPr>
            <w:tcW w:w="1040" w:type="dxa"/>
            <w:vAlign w:val="bottom"/>
          </w:tcPr>
          <w:p>
            <w:pPr>
              <w:spacing w:after="0"/>
              <w:rPr>
                <w:sz w:val="15"/>
                <w:szCs w:val="15"/>
                <w:color w:val="auto"/>
              </w:rPr>
            </w:pPr>
          </w:p>
        </w:tc>
        <w:tc>
          <w:tcPr>
            <w:tcW w:w="5100" w:type="dxa"/>
            <w:vAlign w:val="bottom"/>
            <w:tcBorders>
              <w:bottom w:val="single" w:sz="8" w:color="0000FF"/>
            </w:tcBorders>
          </w:tcPr>
          <w:p>
            <w:pPr>
              <w:spacing w:after="0" w:line="183" w:lineRule="exact"/>
              <w:rPr>
                <w:rFonts w:ascii="Arial" w:cs="Arial" w:eastAsia="Arial" w:hAnsi="Arial"/>
                <w:sz w:val="16"/>
                <w:szCs w:val="16"/>
                <w:color w:val="0000FF"/>
                <w:w w:val="91"/>
              </w:rPr>
            </w:pPr>
            <w:hyperlink r:id="rId56">
              <w:r>
                <w:rPr>
                  <w:rFonts w:ascii="Arial" w:cs="Arial" w:eastAsia="Arial" w:hAnsi="Arial"/>
                  <w:sz w:val="16"/>
                  <w:szCs w:val="16"/>
                  <w:color w:val="0000FF"/>
                  <w:w w:val="91"/>
                </w:rPr>
                <w:t>Royal Bank of Canada, as Administrative Agent, and the lenders party thereto.</w:t>
              </w:r>
            </w:hyperlink>
          </w:p>
        </w:tc>
        <w:tc>
          <w:tcPr>
            <w:tcW w:w="700" w:type="dxa"/>
            <w:vAlign w:val="bottom"/>
            <w:gridSpan w:val="2"/>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February 12, 2018.</w:t>
      </w:r>
    </w:p>
    <w:p>
      <w:pPr>
        <w:sectPr>
          <w:pgSz w:w="11900" w:h="16838" w:orient="portrait"/>
          <w:cols w:equalWidth="0" w:num="2">
            <w:col w:w="6840" w:space="240"/>
            <w:col w:w="4020"/>
          </w:cols>
          <w:pgMar w:left="280" w:top="131" w:right="519" w:bottom="1440" w:gutter="0" w:footer="0" w:header="0"/>
        </w:sectPr>
      </w:pPr>
    </w:p>
    <w:bookmarkStart w:id="7" w:name="page8"/>
    <w:bookmarkEnd w:id="7"/>
    <w:tbl>
      <w:tblPr>
        <w:tblLayout w:type="fixed"/>
        <w:tblInd w:w="5" w:type="dxa"/>
        <w:tblCellMar>
          <w:top w:w="0" w:type="dxa"/>
          <w:left w:w="0" w:type="dxa"/>
          <w:bottom w:w="0" w:type="dxa"/>
          <w:right w:w="0" w:type="dxa"/>
        </w:tblCellMar>
      </w:tblPr>
      <w:tr>
        <w:trPr>
          <w:trHeight w:val="206"/>
        </w:trPr>
        <w:tc>
          <w:tcPr>
            <w:tcW w:w="1040" w:type="dxa"/>
            <w:vAlign w:val="bottom"/>
          </w:tcPr>
          <w:p>
            <w:pPr>
              <w:jc w:val="right"/>
              <w:ind w:right="559"/>
              <w:spacing w:after="0"/>
              <w:rPr>
                <w:sz w:val="20"/>
                <w:szCs w:val="20"/>
                <w:color w:val="auto"/>
              </w:rPr>
            </w:pPr>
            <w:r>
              <w:rPr>
                <w:rFonts w:ascii="Arial" w:cs="Arial" w:eastAsia="Arial" w:hAnsi="Arial"/>
                <w:sz w:val="16"/>
                <w:szCs w:val="16"/>
                <w:color w:val="auto"/>
                <w:w w:val="85"/>
              </w:rPr>
              <w:t>10.6.4</w:t>
            </w:r>
          </w:p>
        </w:tc>
        <w:tc>
          <w:tcPr>
            <w:tcW w:w="5840" w:type="dxa"/>
            <w:vAlign w:val="bottom"/>
            <w:gridSpan w:val="4"/>
            <w:vMerge w:val="restart"/>
          </w:tcPr>
          <w:p>
            <w:pPr>
              <w:spacing w:after="0"/>
              <w:rPr>
                <w:rFonts w:ascii="Arial" w:cs="Arial" w:eastAsia="Arial" w:hAnsi="Arial"/>
                <w:sz w:val="16"/>
                <w:szCs w:val="16"/>
                <w:color w:val="0000FF"/>
                <w:w w:val="92"/>
              </w:rPr>
            </w:pPr>
            <w:hyperlink r:id="rId57">
              <w:r>
                <w:rPr>
                  <w:rFonts w:ascii="Arial" w:cs="Arial" w:eastAsia="Arial" w:hAnsi="Arial"/>
                  <w:sz w:val="16"/>
                  <w:szCs w:val="16"/>
                  <w:color w:val="0000FF"/>
                  <w:w w:val="92"/>
                </w:rPr>
                <w:t>Third Amendment to Amended and Restated Credit Agreement and Administrative Agent</w:t>
              </w:r>
            </w:hyperlink>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840" w:type="dxa"/>
            <w:vAlign w:val="bottom"/>
            <w:tcBorders>
              <w:bottom w:val="single" w:sz="8" w:color="0000FF"/>
            </w:tcBorders>
            <w:gridSpan w:val="4"/>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tcBorders>
              <w:bottom w:val="single" w:sz="8" w:color="0000FF"/>
            </w:tcBorders>
            <w:gridSpan w:val="5"/>
          </w:tcPr>
          <w:p>
            <w:pPr>
              <w:spacing w:after="0" w:line="183" w:lineRule="exact"/>
              <w:rPr>
                <w:rFonts w:ascii="Arial" w:cs="Arial" w:eastAsia="Arial" w:hAnsi="Arial"/>
                <w:sz w:val="16"/>
                <w:szCs w:val="16"/>
                <w:color w:val="0000FF"/>
                <w:w w:val="92"/>
              </w:rPr>
            </w:pPr>
            <w:hyperlink r:id="rId57">
              <w:r>
                <w:rPr>
                  <w:rFonts w:ascii="Arial" w:cs="Arial" w:eastAsia="Arial" w:hAnsi="Arial"/>
                  <w:sz w:val="16"/>
                  <w:szCs w:val="16"/>
                  <w:color w:val="0000FF"/>
                  <w:w w:val="92"/>
                </w:rPr>
                <w:t>Resignation and Appointment Agreement, dated as of April 30, 2018, by and among NRG</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440" w:type="dxa"/>
            <w:vAlign w:val="bottom"/>
            <w:tcBorders>
              <w:bottom w:val="single" w:sz="8" w:color="0000FF"/>
            </w:tcBorders>
            <w:gridSpan w:val="2"/>
          </w:tcPr>
          <w:p>
            <w:pPr>
              <w:spacing w:after="0" w:line="183" w:lineRule="exact"/>
              <w:rPr>
                <w:rFonts w:ascii="Arial" w:cs="Arial" w:eastAsia="Arial" w:hAnsi="Arial"/>
                <w:sz w:val="16"/>
                <w:szCs w:val="16"/>
                <w:color w:val="0000FF"/>
                <w:w w:val="93"/>
              </w:rPr>
            </w:pPr>
            <w:hyperlink r:id="rId57">
              <w:r>
                <w:rPr>
                  <w:rFonts w:ascii="Arial" w:cs="Arial" w:eastAsia="Arial" w:hAnsi="Arial"/>
                  <w:sz w:val="16"/>
                  <w:szCs w:val="16"/>
                  <w:color w:val="0000FF"/>
                  <w:w w:val="93"/>
                </w:rPr>
                <w:t>Yield Operating LLC, NRG Yield LLC, the guarantors party thereto, Royal Bank of</w:t>
              </w:r>
            </w:hyperlink>
          </w:p>
        </w:tc>
        <w:tc>
          <w:tcPr>
            <w:tcW w:w="4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60" w:type="dxa"/>
            <w:vAlign w:val="bottom"/>
            <w:gridSpan w:val="5"/>
          </w:tcPr>
          <w:p>
            <w:pPr>
              <w:spacing w:after="0" w:line="183" w:lineRule="exact"/>
              <w:rPr>
                <w:rFonts w:ascii="Arial" w:cs="Arial" w:eastAsia="Arial" w:hAnsi="Arial"/>
                <w:sz w:val="16"/>
                <w:szCs w:val="16"/>
                <w:color w:val="0000FF"/>
                <w:w w:val="93"/>
              </w:rPr>
            </w:pPr>
            <w:hyperlink r:id="rId57">
              <w:r>
                <w:rPr>
                  <w:rFonts w:ascii="Arial" w:cs="Arial" w:eastAsia="Arial" w:hAnsi="Arial"/>
                  <w:sz w:val="16"/>
                  <w:szCs w:val="16"/>
                  <w:color w:val="0000FF"/>
                  <w:w w:val="93"/>
                </w:rPr>
                <w:t>Canada, as Resigning Administrative Agent, JPMorgan Chase Bank, N.A., as Successor</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38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92"/>
              </w:rPr>
            </w:pPr>
            <w:hyperlink r:id="rId57">
              <w:r>
                <w:rPr>
                  <w:rFonts w:ascii="Arial" w:cs="Arial" w:eastAsia="Arial" w:hAnsi="Arial"/>
                  <w:sz w:val="16"/>
                  <w:szCs w:val="16"/>
                  <w:color w:val="0000FF"/>
                  <w:w w:val="92"/>
                </w:rPr>
                <w:t>Administrative Agent, and the lenders party thereto.</w:t>
              </w:r>
            </w:hyperlink>
          </w:p>
        </w:tc>
        <w:tc>
          <w:tcPr>
            <w:tcW w:w="2320" w:type="dxa"/>
            <w:vAlign w:val="bottom"/>
            <w:tcBorders>
              <w:top w:val="single" w:sz="8" w:color="0000FF"/>
            </w:tcBorders>
            <w:gridSpan w:val="2"/>
          </w:tcPr>
          <w:p>
            <w:pPr>
              <w:spacing w:after="0"/>
              <w:rPr>
                <w:sz w:val="15"/>
                <w:szCs w:val="15"/>
                <w:color w:val="auto"/>
              </w:rPr>
            </w:pP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9" w:lineRule="auto"/>
        <w:rPr>
          <w:sz w:val="20"/>
          <w:szCs w:val="20"/>
          <w:color w:val="auto"/>
        </w:rPr>
      </w:pPr>
      <w:r>
        <w:rPr>
          <w:rFonts w:ascii="Arial" w:cs="Arial" w:eastAsia="Arial" w:hAnsi="Arial"/>
          <w:sz w:val="14"/>
          <w:szCs w:val="14"/>
          <w:color w:val="auto"/>
        </w:rPr>
        <w:t>Incorporated herein by reference to Exhibit 10.1 to the Company's Quarterly Report on Form 10-Q filed on May 3, 2018.</w:t>
      </w:r>
    </w:p>
    <w:p>
      <w:pPr>
        <w:spacing w:after="0" w:line="781" w:lineRule="exact"/>
        <w:rPr>
          <w:sz w:val="20"/>
          <w:szCs w:val="20"/>
          <w:color w:val="auto"/>
        </w:rPr>
      </w:pPr>
    </w:p>
    <w:p>
      <w:pPr>
        <w:sectPr>
          <w:pgSz w:w="11900" w:h="16838" w:orient="portrait"/>
          <w:cols w:equalWidth="0" w:num="2">
            <w:col w:w="6905" w:space="180"/>
            <w:col w:w="4280"/>
          </w:cols>
          <w:pgMar w:left="275" w:top="751" w:right="259" w:bottom="677" w:gutter="0" w:footer="0" w:header="0"/>
        </w:sectPr>
      </w:pPr>
    </w:p>
    <w:p>
      <w:pPr>
        <w:spacing w:after="0" w:line="143"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6"/>
                <w:szCs w:val="16"/>
                <w:color w:val="auto"/>
              </w:rPr>
              <w:t>10.6.5</w:t>
            </w:r>
          </w:p>
        </w:tc>
        <w:tc>
          <w:tcPr>
            <w:tcW w:w="5720" w:type="dxa"/>
            <w:vAlign w:val="bottom"/>
            <w:tcBorders>
              <w:bottom w:val="single" w:sz="8" w:color="0000FF"/>
            </w:tcBorders>
            <w:gridSpan w:val="21"/>
          </w:tcPr>
          <w:p>
            <w:pPr>
              <w:spacing w:after="0"/>
              <w:rPr>
                <w:rFonts w:ascii="Arial" w:cs="Arial" w:eastAsia="Arial" w:hAnsi="Arial"/>
                <w:sz w:val="16"/>
                <w:szCs w:val="16"/>
                <w:color w:val="0000FF"/>
                <w:w w:val="91"/>
              </w:rPr>
            </w:pPr>
            <w:hyperlink r:id="rId58">
              <w:r>
                <w:rPr>
                  <w:rFonts w:ascii="Arial" w:cs="Arial" w:eastAsia="Arial" w:hAnsi="Arial"/>
                  <w:sz w:val="16"/>
                  <w:szCs w:val="16"/>
                  <w:color w:val="0000FF"/>
                  <w:w w:val="91"/>
                </w:rPr>
                <w:t>Fourth Amendment to Amended and Restated Credit Agreement, dated as of November</w:t>
              </w:r>
            </w:hyperlink>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00" w:type="dxa"/>
            <w:vAlign w:val="bottom"/>
            <w:tcBorders>
              <w:bottom w:val="single" w:sz="8" w:color="0000FF"/>
            </w:tcBorders>
            <w:gridSpan w:val="16"/>
          </w:tcPr>
          <w:p>
            <w:pPr>
              <w:spacing w:after="0" w:line="183" w:lineRule="exact"/>
              <w:rPr>
                <w:rFonts w:ascii="Arial" w:cs="Arial" w:eastAsia="Arial" w:hAnsi="Arial"/>
                <w:sz w:val="16"/>
                <w:szCs w:val="16"/>
                <w:color w:val="0000FF"/>
                <w:w w:val="92"/>
              </w:rPr>
            </w:pPr>
            <w:hyperlink r:id="rId58">
              <w:r>
                <w:rPr>
                  <w:rFonts w:ascii="Arial" w:cs="Arial" w:eastAsia="Arial" w:hAnsi="Arial"/>
                  <w:sz w:val="16"/>
                  <w:szCs w:val="16"/>
                  <w:color w:val="0000FF"/>
                  <w:w w:val="92"/>
                </w:rPr>
                <w:t>30, 2018, by and among Clearway Energy Operating LLC, Clearway Energy LLC, the</w:t>
              </w:r>
            </w:hyperlink>
          </w:p>
        </w:tc>
        <w:tc>
          <w:tcPr>
            <w:tcW w:w="24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40" w:type="dxa"/>
            <w:vAlign w:val="bottom"/>
            <w:tcBorders>
              <w:bottom w:val="single" w:sz="8" w:color="0000FF"/>
            </w:tcBorders>
            <w:gridSpan w:val="17"/>
          </w:tcPr>
          <w:p>
            <w:pPr>
              <w:spacing w:after="0" w:line="183" w:lineRule="exact"/>
              <w:rPr>
                <w:rFonts w:ascii="Arial" w:cs="Arial" w:eastAsia="Arial" w:hAnsi="Arial"/>
                <w:sz w:val="16"/>
                <w:szCs w:val="16"/>
                <w:color w:val="0000FF"/>
                <w:w w:val="90"/>
              </w:rPr>
            </w:pPr>
            <w:hyperlink r:id="rId58">
              <w:r>
                <w:rPr>
                  <w:rFonts w:ascii="Arial" w:cs="Arial" w:eastAsia="Arial" w:hAnsi="Arial"/>
                  <w:sz w:val="16"/>
                  <w:szCs w:val="16"/>
                  <w:color w:val="0000FF"/>
                  <w:w w:val="90"/>
                </w:rPr>
                <w:t>guarantors party thereto, JPMorgan Chase Bank, N.A., as administrative agent, and the</w:t>
              </w:r>
            </w:hyperlink>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24"/>
          </w:tcPr>
          <w:p>
            <w:pPr>
              <w:spacing w:after="0" w:line="183" w:lineRule="exact"/>
              <w:rPr>
                <w:rFonts w:ascii="Arial" w:cs="Arial" w:eastAsia="Arial" w:hAnsi="Arial"/>
                <w:sz w:val="16"/>
                <w:szCs w:val="16"/>
                <w:color w:val="0000FF"/>
              </w:rPr>
            </w:pPr>
            <w:hyperlink r:id="rId58">
              <w:r>
                <w:rPr>
                  <w:rFonts w:ascii="Arial" w:cs="Arial" w:eastAsia="Arial" w:hAnsi="Arial"/>
                  <w:sz w:val="16"/>
                  <w:szCs w:val="16"/>
                  <w:color w:val="0000FF"/>
                </w:rPr>
                <w:t>lenders party thereto.</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6"/>
                <w:szCs w:val="16"/>
                <w:color w:val="auto"/>
              </w:rPr>
              <w:t>10.7^</w:t>
            </w:r>
          </w:p>
        </w:tc>
        <w:tc>
          <w:tcPr>
            <w:tcW w:w="1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1040" w:type="dxa"/>
            <w:vAlign w:val="bottom"/>
            <w:vMerge w:val="continue"/>
          </w:tcPr>
          <w:p>
            <w:pPr>
              <w:spacing w:after="0"/>
              <w:rPr>
                <w:sz w:val="24"/>
                <w:szCs w:val="24"/>
                <w:color w:val="auto"/>
              </w:rPr>
            </w:pPr>
          </w:p>
        </w:tc>
        <w:tc>
          <w:tcPr>
            <w:tcW w:w="5640" w:type="dxa"/>
            <w:vAlign w:val="bottom"/>
            <w:gridSpan w:val="17"/>
            <w:vMerge w:val="restart"/>
          </w:tcPr>
          <w:p>
            <w:pPr>
              <w:spacing w:after="0"/>
              <w:rPr>
                <w:rFonts w:ascii="Arial" w:cs="Arial" w:eastAsia="Arial" w:hAnsi="Arial"/>
                <w:sz w:val="16"/>
                <w:szCs w:val="16"/>
                <w:color w:val="0000FF"/>
                <w:w w:val="93"/>
              </w:rPr>
            </w:pPr>
            <w:hyperlink r:id="rId59">
              <w:r>
                <w:rPr>
                  <w:rFonts w:ascii="Arial" w:cs="Arial" w:eastAsia="Arial" w:hAnsi="Arial"/>
                  <w:sz w:val="16"/>
                  <w:szCs w:val="16"/>
                  <w:color w:val="0000FF"/>
                  <w:w w:val="93"/>
                </w:rPr>
                <w:t>Amended and Restated Limited Liability Company Agreement of NRG RPV Holdco 1</w:t>
              </w:r>
            </w:hyperlink>
          </w:p>
        </w:tc>
        <w:tc>
          <w:tcPr>
            <w:tcW w:w="200" w:type="dxa"/>
            <w:vAlign w:val="bottom"/>
            <w:gridSpan w:val="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640" w:type="dxa"/>
            <w:vAlign w:val="bottom"/>
            <w:tcBorders>
              <w:bottom w:val="single" w:sz="8" w:color="0000FF"/>
            </w:tcBorders>
            <w:gridSpan w:val="17"/>
            <w:vMerge w:val="continue"/>
          </w:tcPr>
          <w:p>
            <w:pPr>
              <w:spacing w:after="0"/>
              <w:rPr>
                <w:sz w:val="4"/>
                <w:szCs w:val="4"/>
                <w:color w:val="auto"/>
              </w:rPr>
            </w:pPr>
          </w:p>
        </w:tc>
        <w:tc>
          <w:tcPr>
            <w:tcW w:w="20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040" w:type="dxa"/>
            <w:vAlign w:val="bottom"/>
            <w:tcBorders>
              <w:bottom w:val="single" w:sz="8" w:color="0000FF"/>
            </w:tcBorders>
            <w:gridSpan w:val="5"/>
          </w:tcPr>
          <w:p>
            <w:pPr>
              <w:spacing w:after="0" w:line="183" w:lineRule="exact"/>
              <w:rPr>
                <w:rFonts w:ascii="Arial" w:cs="Arial" w:eastAsia="Arial" w:hAnsi="Arial"/>
                <w:sz w:val="16"/>
                <w:szCs w:val="16"/>
                <w:color w:val="0000FF"/>
                <w:w w:val="93"/>
              </w:rPr>
            </w:pPr>
            <w:hyperlink r:id="rId59">
              <w:r>
                <w:rPr>
                  <w:rFonts w:ascii="Arial" w:cs="Arial" w:eastAsia="Arial" w:hAnsi="Arial"/>
                  <w:sz w:val="16"/>
                  <w:szCs w:val="16"/>
                  <w:color w:val="0000FF"/>
                  <w:w w:val="93"/>
                </w:rPr>
                <w:t>LLC, dated as of April 9, 2015.</w:t>
              </w:r>
            </w:hyperlink>
          </w:p>
        </w:tc>
        <w:tc>
          <w:tcPr>
            <w:tcW w:w="380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040" w:type="dxa"/>
            <w:vAlign w:val="bottom"/>
          </w:tcPr>
          <w:p>
            <w:pPr>
              <w:spacing w:after="0"/>
              <w:rPr>
                <w:sz w:val="20"/>
                <w:szCs w:val="20"/>
                <w:color w:val="auto"/>
              </w:rPr>
            </w:pPr>
            <w:r>
              <w:rPr>
                <w:rFonts w:ascii="Arial" w:cs="Arial" w:eastAsia="Arial" w:hAnsi="Arial"/>
                <w:sz w:val="16"/>
                <w:szCs w:val="16"/>
                <w:color w:val="auto"/>
              </w:rPr>
              <w:t>10.8^</w:t>
            </w:r>
          </w:p>
        </w:tc>
        <w:tc>
          <w:tcPr>
            <w:tcW w:w="5840" w:type="dxa"/>
            <w:vAlign w:val="bottom"/>
            <w:gridSpan w:val="24"/>
            <w:vMerge w:val="restart"/>
          </w:tcPr>
          <w:p>
            <w:pPr>
              <w:spacing w:after="0"/>
              <w:rPr>
                <w:rFonts w:ascii="Arial" w:cs="Arial" w:eastAsia="Arial" w:hAnsi="Arial"/>
                <w:sz w:val="16"/>
                <w:szCs w:val="16"/>
                <w:color w:val="0000FF"/>
                <w:w w:val="94"/>
              </w:rPr>
            </w:pPr>
            <w:hyperlink r:id="rId60">
              <w:r>
                <w:rPr>
                  <w:rFonts w:ascii="Arial" w:cs="Arial" w:eastAsia="Arial" w:hAnsi="Arial"/>
                  <w:sz w:val="16"/>
                  <w:szCs w:val="16"/>
                  <w:color w:val="0000FF"/>
                  <w:w w:val="94"/>
                </w:rPr>
                <w:t>Amended and Restated Limited Liability Company Agreement of NRG DGPV Holdco 1</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760" w:type="dxa"/>
            <w:vAlign w:val="bottom"/>
            <w:tcBorders>
              <w:top w:val="single" w:sz="8" w:color="0000FF"/>
            </w:tcBorders>
            <w:gridSpan w:val="22"/>
          </w:tcPr>
          <w:p>
            <w:pPr>
              <w:spacing w:after="0" w:line="183" w:lineRule="exact"/>
              <w:rPr>
                <w:rFonts w:ascii="Arial" w:cs="Arial" w:eastAsia="Arial" w:hAnsi="Arial"/>
                <w:sz w:val="16"/>
                <w:szCs w:val="16"/>
                <w:color w:val="0000FF"/>
              </w:rPr>
            </w:pPr>
            <w:hyperlink r:id="rId60">
              <w:r>
                <w:rPr>
                  <w:rFonts w:ascii="Arial" w:cs="Arial" w:eastAsia="Arial" w:hAnsi="Arial"/>
                  <w:sz w:val="16"/>
                  <w:szCs w:val="16"/>
                  <w:color w:val="0000FF"/>
                </w:rPr>
                <w:t>LLC, dated as of May 8, 2015.</w:t>
              </w:r>
            </w:hyperlink>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color w:val="auto"/>
              </w:rPr>
              <w:t>10.9^</w:t>
            </w:r>
          </w:p>
        </w:tc>
        <w:tc>
          <w:tcPr>
            <w:tcW w:w="5840" w:type="dxa"/>
            <w:vAlign w:val="bottom"/>
            <w:gridSpan w:val="24"/>
          </w:tcPr>
          <w:p>
            <w:pPr>
              <w:spacing w:after="0"/>
              <w:rPr>
                <w:rFonts w:ascii="Arial" w:cs="Arial" w:eastAsia="Arial" w:hAnsi="Arial"/>
                <w:sz w:val="16"/>
                <w:szCs w:val="16"/>
                <w:color w:val="0000FF"/>
                <w:w w:val="95"/>
              </w:rPr>
            </w:pPr>
            <w:hyperlink r:id="rId61">
              <w:r>
                <w:rPr>
                  <w:rFonts w:ascii="Arial" w:cs="Arial" w:eastAsia="Arial" w:hAnsi="Arial"/>
                  <w:sz w:val="16"/>
                  <w:szCs w:val="16"/>
                  <w:color w:val="0000FF"/>
                  <w:w w:val="95"/>
                </w:rPr>
                <w:t>Amendment No. 1 to Amended and Restated Limited Liability Company Agreement of</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700" w:type="dxa"/>
            <w:vAlign w:val="bottom"/>
            <w:tcBorders>
              <w:bottom w:val="single" w:sz="8" w:color="0000FF"/>
            </w:tcBorders>
            <w:gridSpan w:val="20"/>
          </w:tcPr>
          <w:p>
            <w:pPr>
              <w:spacing w:after="0" w:line="183" w:lineRule="exact"/>
              <w:rPr>
                <w:rFonts w:ascii="Arial" w:cs="Arial" w:eastAsia="Arial" w:hAnsi="Arial"/>
                <w:sz w:val="16"/>
                <w:szCs w:val="16"/>
                <w:color w:val="0000FF"/>
                <w:w w:val="93"/>
              </w:rPr>
            </w:pPr>
            <w:hyperlink r:id="rId61">
              <w:r>
                <w:rPr>
                  <w:rFonts w:ascii="Arial" w:cs="Arial" w:eastAsia="Arial" w:hAnsi="Arial"/>
                  <w:sz w:val="16"/>
                  <w:szCs w:val="16"/>
                  <w:color w:val="0000FF"/>
                  <w:w w:val="93"/>
                </w:rPr>
                <w:t>NRG RPV Holdco 1 LLC, dated as of March 1, 2016, by and between NRG Yield RPV</w:t>
              </w:r>
            </w:hyperlink>
          </w:p>
        </w:tc>
        <w:tc>
          <w:tcPr>
            <w:tcW w:w="1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24"/>
          </w:tcPr>
          <w:p>
            <w:pPr>
              <w:spacing w:after="0" w:line="183" w:lineRule="exact"/>
              <w:rPr>
                <w:rFonts w:ascii="Arial" w:cs="Arial" w:eastAsia="Arial" w:hAnsi="Arial"/>
                <w:sz w:val="16"/>
                <w:szCs w:val="16"/>
                <w:color w:val="0000FF"/>
              </w:rPr>
            </w:pPr>
            <w:hyperlink r:id="rId61">
              <w:r>
                <w:rPr>
                  <w:rFonts w:ascii="Arial" w:cs="Arial" w:eastAsia="Arial" w:hAnsi="Arial"/>
                  <w:sz w:val="16"/>
                  <w:szCs w:val="16"/>
                  <w:color w:val="0000FF"/>
                </w:rPr>
                <w:t>Holding LLC and NRG Residential Solar Solutions LLC.</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6"/>
                <w:szCs w:val="16"/>
                <w:color w:val="auto"/>
              </w:rPr>
              <w:t>10.10^</w:t>
            </w: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1040" w:type="dxa"/>
            <w:vAlign w:val="bottom"/>
            <w:vMerge w:val="continue"/>
          </w:tcPr>
          <w:p>
            <w:pPr>
              <w:spacing w:after="0"/>
              <w:rPr>
                <w:sz w:val="24"/>
                <w:szCs w:val="24"/>
                <w:color w:val="auto"/>
              </w:rPr>
            </w:pPr>
          </w:p>
        </w:tc>
        <w:tc>
          <w:tcPr>
            <w:tcW w:w="5840" w:type="dxa"/>
            <w:vAlign w:val="bottom"/>
            <w:gridSpan w:val="24"/>
            <w:vMerge w:val="restart"/>
          </w:tcPr>
          <w:p>
            <w:pPr>
              <w:spacing w:after="0"/>
              <w:rPr>
                <w:rFonts w:ascii="Arial" w:cs="Arial" w:eastAsia="Arial" w:hAnsi="Arial"/>
                <w:sz w:val="16"/>
                <w:szCs w:val="16"/>
                <w:color w:val="0000FF"/>
                <w:w w:val="95"/>
              </w:rPr>
            </w:pPr>
            <w:hyperlink r:id="rId62">
              <w:r>
                <w:rPr>
                  <w:rFonts w:ascii="Arial" w:cs="Arial" w:eastAsia="Arial" w:hAnsi="Arial"/>
                  <w:sz w:val="16"/>
                  <w:szCs w:val="16"/>
                  <w:color w:val="0000FF"/>
                  <w:w w:val="95"/>
                </w:rPr>
                <w:t>Amendment No. 2 to Amended and Restated Limited Liability Company Agreement of</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tcBorders>
              <w:bottom w:val="single" w:sz="8" w:color="0000FF"/>
            </w:tcBorders>
            <w:gridSpan w:val="24"/>
          </w:tcPr>
          <w:p>
            <w:pPr>
              <w:spacing w:after="0" w:line="183" w:lineRule="exact"/>
              <w:rPr>
                <w:rFonts w:ascii="Arial" w:cs="Arial" w:eastAsia="Arial" w:hAnsi="Arial"/>
                <w:sz w:val="16"/>
                <w:szCs w:val="16"/>
                <w:color w:val="0000FF"/>
                <w:w w:val="93"/>
              </w:rPr>
            </w:pPr>
            <w:hyperlink r:id="rId62">
              <w:r>
                <w:rPr>
                  <w:rFonts w:ascii="Arial" w:cs="Arial" w:eastAsia="Arial" w:hAnsi="Arial"/>
                  <w:sz w:val="16"/>
                  <w:szCs w:val="16"/>
                  <w:color w:val="0000FF"/>
                  <w:w w:val="93"/>
                </w:rPr>
                <w:t>NRG DGPV Holdco 1 LLC, dated as of March 1, 2016, by and among NRG Yield DGPV</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580" w:type="dxa"/>
            <w:vAlign w:val="bottom"/>
            <w:tcBorders>
              <w:bottom w:val="single" w:sz="8" w:color="0000FF"/>
            </w:tcBorders>
            <w:gridSpan w:val="12"/>
          </w:tcPr>
          <w:p>
            <w:pPr>
              <w:spacing w:after="0" w:line="183" w:lineRule="exact"/>
              <w:rPr>
                <w:rFonts w:ascii="Arial" w:cs="Arial" w:eastAsia="Arial" w:hAnsi="Arial"/>
                <w:sz w:val="16"/>
                <w:szCs w:val="16"/>
                <w:color w:val="0000FF"/>
                <w:w w:val="95"/>
              </w:rPr>
            </w:pPr>
            <w:hyperlink r:id="rId62">
              <w:r>
                <w:rPr>
                  <w:rFonts w:ascii="Arial" w:cs="Arial" w:eastAsia="Arial" w:hAnsi="Arial"/>
                  <w:sz w:val="16"/>
                  <w:szCs w:val="16"/>
                  <w:color w:val="0000FF"/>
                  <w:w w:val="95"/>
                </w:rPr>
                <w:t>Holding LLC, NRG Renew DG Holdings LLC and NRG Renew LLC.</w:t>
              </w:r>
            </w:hyperlink>
          </w:p>
        </w:tc>
        <w:tc>
          <w:tcPr>
            <w:tcW w:w="126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555"/>
        </w:trPr>
        <w:tc>
          <w:tcPr>
            <w:tcW w:w="1040" w:type="dxa"/>
            <w:vAlign w:val="bottom"/>
          </w:tcPr>
          <w:p>
            <w:pPr>
              <w:spacing w:after="0"/>
              <w:rPr>
                <w:sz w:val="20"/>
                <w:szCs w:val="20"/>
                <w:color w:val="auto"/>
              </w:rPr>
            </w:pPr>
            <w:r>
              <w:rPr>
                <w:rFonts w:ascii="Arial" w:cs="Arial" w:eastAsia="Arial" w:hAnsi="Arial"/>
                <w:sz w:val="16"/>
                <w:szCs w:val="16"/>
                <w:color w:val="auto"/>
              </w:rPr>
              <w:t>10.11^</w:t>
            </w:r>
          </w:p>
        </w:tc>
        <w:tc>
          <w:tcPr>
            <w:tcW w:w="5840" w:type="dxa"/>
            <w:vAlign w:val="bottom"/>
            <w:gridSpan w:val="24"/>
            <w:vMerge w:val="restart"/>
          </w:tcPr>
          <w:p>
            <w:pPr>
              <w:spacing w:after="0"/>
              <w:rPr>
                <w:rFonts w:ascii="Arial" w:cs="Arial" w:eastAsia="Arial" w:hAnsi="Arial"/>
                <w:sz w:val="16"/>
                <w:szCs w:val="16"/>
                <w:color w:val="0000FF"/>
                <w:w w:val="94"/>
              </w:rPr>
            </w:pPr>
            <w:hyperlink r:id="rId63">
              <w:r>
                <w:rPr>
                  <w:rFonts w:ascii="Arial" w:cs="Arial" w:eastAsia="Arial" w:hAnsi="Arial"/>
                  <w:sz w:val="16"/>
                  <w:szCs w:val="16"/>
                  <w:color w:val="0000FF"/>
                  <w:w w:val="94"/>
                </w:rPr>
                <w:t>Amended and Restated Limited Liability Company Agreement of NRG DGPV Holdco 2</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680" w:type="dxa"/>
            <w:vAlign w:val="bottom"/>
            <w:tcBorders>
              <w:top w:val="single" w:sz="8" w:color="0000FF"/>
              <w:bottom w:val="single" w:sz="8" w:color="0000FF"/>
            </w:tcBorders>
            <w:gridSpan w:val="19"/>
          </w:tcPr>
          <w:p>
            <w:pPr>
              <w:spacing w:after="0" w:line="183" w:lineRule="exact"/>
              <w:rPr>
                <w:rFonts w:ascii="Arial" w:cs="Arial" w:eastAsia="Arial" w:hAnsi="Arial"/>
                <w:sz w:val="16"/>
                <w:szCs w:val="16"/>
                <w:color w:val="0000FF"/>
                <w:w w:val="94"/>
              </w:rPr>
            </w:pPr>
            <w:hyperlink r:id="rId63">
              <w:r>
                <w:rPr>
                  <w:rFonts w:ascii="Arial" w:cs="Arial" w:eastAsia="Arial" w:hAnsi="Arial"/>
                  <w:sz w:val="16"/>
                  <w:szCs w:val="16"/>
                  <w:color w:val="0000FF"/>
                  <w:w w:val="94"/>
                </w:rPr>
                <w:t>LLC, dated as of March 1, 2016, by and among NRG Yield DGPV Holding LLC, NRG</w:t>
              </w:r>
            </w:hyperlink>
          </w:p>
        </w:tc>
        <w:tc>
          <w:tcPr>
            <w:tcW w:w="80" w:type="dxa"/>
            <w:vAlign w:val="bottom"/>
            <w:tcBorders>
              <w:top w:val="single" w:sz="8" w:color="0000FF"/>
            </w:tcBorders>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280" w:type="dxa"/>
            <w:vAlign w:val="bottom"/>
            <w:tcBorders>
              <w:bottom w:val="single" w:sz="8" w:color="0000FF"/>
            </w:tcBorders>
            <w:gridSpan w:val="7"/>
          </w:tcPr>
          <w:p>
            <w:pPr>
              <w:spacing w:after="0" w:line="183" w:lineRule="exact"/>
              <w:rPr>
                <w:rFonts w:ascii="Arial" w:cs="Arial" w:eastAsia="Arial" w:hAnsi="Arial"/>
                <w:sz w:val="16"/>
                <w:szCs w:val="16"/>
                <w:color w:val="0000FF"/>
                <w:w w:val="93"/>
              </w:rPr>
            </w:pPr>
            <w:hyperlink r:id="rId63">
              <w:r>
                <w:rPr>
                  <w:rFonts w:ascii="Arial" w:cs="Arial" w:eastAsia="Arial" w:hAnsi="Arial"/>
                  <w:sz w:val="16"/>
                  <w:szCs w:val="16"/>
                  <w:color w:val="0000FF"/>
                  <w:w w:val="93"/>
                </w:rPr>
                <w:t>Renew DG Holdings LLC, and NRG Renew LLC.</w:t>
              </w:r>
            </w:hyperlink>
          </w:p>
        </w:tc>
        <w:tc>
          <w:tcPr>
            <w:tcW w:w="256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1040" w:type="dxa"/>
            <w:vAlign w:val="bottom"/>
          </w:tcPr>
          <w:p>
            <w:pPr>
              <w:spacing w:after="0"/>
              <w:rPr>
                <w:sz w:val="20"/>
                <w:szCs w:val="20"/>
                <w:color w:val="auto"/>
              </w:rPr>
            </w:pPr>
            <w:r>
              <w:rPr>
                <w:rFonts w:ascii="Arial" w:cs="Arial" w:eastAsia="Arial" w:hAnsi="Arial"/>
                <w:sz w:val="16"/>
                <w:szCs w:val="16"/>
                <w:color w:val="auto"/>
              </w:rPr>
              <w:t>10.12</w:t>
            </w:r>
          </w:p>
        </w:tc>
        <w:tc>
          <w:tcPr>
            <w:tcW w:w="5840" w:type="dxa"/>
            <w:vAlign w:val="bottom"/>
            <w:gridSpan w:val="24"/>
            <w:vMerge w:val="restart"/>
          </w:tcPr>
          <w:p>
            <w:pPr>
              <w:spacing w:after="0"/>
              <w:rPr>
                <w:rFonts w:ascii="Arial" w:cs="Arial" w:eastAsia="Arial" w:hAnsi="Arial"/>
                <w:sz w:val="16"/>
                <w:szCs w:val="16"/>
                <w:color w:val="0000FF"/>
                <w:w w:val="95"/>
              </w:rPr>
            </w:pPr>
            <w:hyperlink r:id="rId64">
              <w:r>
                <w:rPr>
                  <w:rFonts w:ascii="Arial" w:cs="Arial" w:eastAsia="Arial" w:hAnsi="Arial"/>
                  <w:sz w:val="16"/>
                  <w:szCs w:val="16"/>
                  <w:color w:val="0000FF"/>
                  <w:w w:val="95"/>
                </w:rPr>
                <w:t>Amendment No. 2 to Amended and Restated Limited Liability Company Agreement of</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24"/>
          </w:tcPr>
          <w:p>
            <w:pPr>
              <w:spacing w:after="0" w:line="183" w:lineRule="exact"/>
              <w:rPr>
                <w:rFonts w:ascii="Arial" w:cs="Arial" w:eastAsia="Arial" w:hAnsi="Arial"/>
                <w:sz w:val="16"/>
                <w:szCs w:val="16"/>
                <w:color w:val="0000FF"/>
                <w:w w:val="94"/>
              </w:rPr>
            </w:pPr>
            <w:hyperlink r:id="rId64">
              <w:r>
                <w:rPr>
                  <w:rFonts w:ascii="Arial" w:cs="Arial" w:eastAsia="Arial" w:hAnsi="Arial"/>
                  <w:sz w:val="16"/>
                  <w:szCs w:val="16"/>
                  <w:color w:val="0000FF"/>
                  <w:w w:val="94"/>
                </w:rPr>
                <w:t>NRG RPV Holdco 1 LLC, dated as of August 5, 2016, by and between NRG Yield RPV</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720" w:type="dxa"/>
            <w:vAlign w:val="bottom"/>
            <w:tcBorders>
              <w:top w:val="single" w:sz="8" w:color="0000FF"/>
            </w:tcBorders>
            <w:gridSpan w:val="21"/>
          </w:tcPr>
          <w:p>
            <w:pPr>
              <w:spacing w:after="0" w:line="183" w:lineRule="exact"/>
              <w:rPr>
                <w:rFonts w:ascii="Arial" w:cs="Arial" w:eastAsia="Arial" w:hAnsi="Arial"/>
                <w:sz w:val="16"/>
                <w:szCs w:val="16"/>
                <w:color w:val="0000FF"/>
              </w:rPr>
            </w:pPr>
            <w:hyperlink r:id="rId64">
              <w:r>
                <w:rPr>
                  <w:rFonts w:ascii="Arial" w:cs="Arial" w:eastAsia="Arial" w:hAnsi="Arial"/>
                  <w:sz w:val="16"/>
                  <w:szCs w:val="16"/>
                  <w:color w:val="0000FF"/>
                </w:rPr>
                <w:t>Holding LLC and NRG Residential Solar Solutions LLC.</w:t>
              </w:r>
            </w:hyperlink>
          </w:p>
        </w:tc>
        <w:tc>
          <w:tcPr>
            <w:tcW w:w="1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6"/>
                <w:szCs w:val="16"/>
                <w:color w:val="auto"/>
              </w:rPr>
              <w:t>10.13†</w:t>
            </w:r>
          </w:p>
        </w:tc>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1040" w:type="dxa"/>
            <w:vAlign w:val="bottom"/>
            <w:vMerge w:val="continue"/>
          </w:tcPr>
          <w:p>
            <w:pPr>
              <w:spacing w:after="0"/>
              <w:rPr>
                <w:sz w:val="24"/>
                <w:szCs w:val="24"/>
                <w:color w:val="auto"/>
              </w:rPr>
            </w:pPr>
          </w:p>
        </w:tc>
        <w:tc>
          <w:tcPr>
            <w:tcW w:w="5240" w:type="dxa"/>
            <w:vAlign w:val="bottom"/>
            <w:gridSpan w:val="14"/>
            <w:vMerge w:val="restart"/>
          </w:tcPr>
          <w:p>
            <w:pPr>
              <w:spacing w:after="0"/>
              <w:rPr>
                <w:rFonts w:ascii="Arial" w:cs="Arial" w:eastAsia="Arial" w:hAnsi="Arial"/>
                <w:sz w:val="16"/>
                <w:szCs w:val="16"/>
                <w:color w:val="0000FF"/>
                <w:w w:val="91"/>
              </w:rPr>
            </w:pPr>
            <w:hyperlink r:id="rId65">
              <w:r>
                <w:rPr>
                  <w:rFonts w:ascii="Arial" w:cs="Arial" w:eastAsia="Arial" w:hAnsi="Arial"/>
                  <w:sz w:val="16"/>
                  <w:szCs w:val="16"/>
                  <w:color w:val="0000FF"/>
                  <w:w w:val="91"/>
                </w:rPr>
                <w:t>Employment Agreement, dated as of May 6, 2016, between NRG Yield, Inc. and</w:t>
              </w:r>
            </w:hyperlink>
          </w:p>
        </w:tc>
        <w:tc>
          <w:tcPr>
            <w:tcW w:w="600" w:type="dxa"/>
            <w:vAlign w:val="bottom"/>
            <w:gridSpan w:val="10"/>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240" w:type="dxa"/>
            <w:vAlign w:val="bottom"/>
            <w:tcBorders>
              <w:bottom w:val="single" w:sz="8" w:color="0000FF"/>
            </w:tcBorders>
            <w:gridSpan w:val="14"/>
            <w:vMerge w:val="continue"/>
          </w:tcPr>
          <w:p>
            <w:pPr>
              <w:spacing w:after="0"/>
              <w:rPr>
                <w:sz w:val="4"/>
                <w:szCs w:val="4"/>
                <w:color w:val="auto"/>
              </w:rPr>
            </w:pPr>
          </w:p>
        </w:tc>
        <w:tc>
          <w:tcPr>
            <w:tcW w:w="60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380" w:type="dxa"/>
            <w:vAlign w:val="bottom"/>
            <w:tcBorders>
              <w:bottom w:val="single" w:sz="8" w:color="0000FF"/>
            </w:tcBorders>
            <w:gridSpan w:val="2"/>
          </w:tcPr>
          <w:p>
            <w:pPr>
              <w:spacing w:after="0" w:line="183" w:lineRule="exact"/>
              <w:rPr>
                <w:rFonts w:ascii="Arial" w:cs="Arial" w:eastAsia="Arial" w:hAnsi="Arial"/>
                <w:sz w:val="16"/>
                <w:szCs w:val="16"/>
                <w:color w:val="0000FF"/>
                <w:w w:val="89"/>
              </w:rPr>
            </w:pPr>
            <w:hyperlink r:id="rId65">
              <w:r>
                <w:rPr>
                  <w:rFonts w:ascii="Arial" w:cs="Arial" w:eastAsia="Arial" w:hAnsi="Arial"/>
                  <w:sz w:val="16"/>
                  <w:szCs w:val="16"/>
                  <w:color w:val="0000FF"/>
                  <w:w w:val="89"/>
                </w:rPr>
                <w:t>Christopher S. Sotos.</w:t>
              </w:r>
            </w:hyperlink>
          </w:p>
        </w:tc>
        <w:tc>
          <w:tcPr>
            <w:tcW w:w="446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555"/>
        </w:trPr>
        <w:tc>
          <w:tcPr>
            <w:tcW w:w="1040" w:type="dxa"/>
            <w:vAlign w:val="bottom"/>
          </w:tcPr>
          <w:p>
            <w:pPr>
              <w:spacing w:after="0"/>
              <w:rPr>
                <w:sz w:val="20"/>
                <w:szCs w:val="20"/>
                <w:color w:val="auto"/>
              </w:rPr>
            </w:pPr>
            <w:r>
              <w:rPr>
                <w:rFonts w:ascii="Arial" w:cs="Arial" w:eastAsia="Arial" w:hAnsi="Arial"/>
                <w:sz w:val="16"/>
                <w:szCs w:val="16"/>
                <w:color w:val="auto"/>
              </w:rPr>
              <w:t>10.14†</w:t>
            </w:r>
          </w:p>
        </w:tc>
        <w:tc>
          <w:tcPr>
            <w:tcW w:w="5840" w:type="dxa"/>
            <w:vAlign w:val="bottom"/>
            <w:gridSpan w:val="24"/>
            <w:vMerge w:val="restart"/>
          </w:tcPr>
          <w:p>
            <w:pPr>
              <w:spacing w:after="0"/>
              <w:rPr>
                <w:rFonts w:ascii="Arial" w:cs="Arial" w:eastAsia="Arial" w:hAnsi="Arial"/>
                <w:sz w:val="16"/>
                <w:szCs w:val="16"/>
                <w:color w:val="0000FF"/>
                <w:w w:val="92"/>
              </w:rPr>
            </w:pPr>
            <w:hyperlink r:id="rId66">
              <w:r>
                <w:rPr>
                  <w:rFonts w:ascii="Arial" w:cs="Arial" w:eastAsia="Arial" w:hAnsi="Arial"/>
                  <w:sz w:val="16"/>
                  <w:szCs w:val="16"/>
                  <w:color w:val="0000FF"/>
                  <w:w w:val="92"/>
                </w:rPr>
                <w:t>Amendment, dated January 1, 2018 to Employment Agreement between NRG Yield, Inc.</w:t>
              </w:r>
            </w:hyperlink>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584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480" w:type="dxa"/>
            <w:vAlign w:val="bottom"/>
            <w:tcBorders>
              <w:top w:val="single" w:sz="8" w:color="0000FF"/>
              <w:bottom w:val="single" w:sz="8" w:color="0000FF"/>
            </w:tcBorders>
            <w:gridSpan w:val="3"/>
          </w:tcPr>
          <w:p>
            <w:pPr>
              <w:spacing w:after="0" w:line="183" w:lineRule="exact"/>
              <w:rPr>
                <w:rFonts w:ascii="Arial" w:cs="Arial" w:eastAsia="Arial" w:hAnsi="Arial"/>
                <w:sz w:val="16"/>
                <w:szCs w:val="16"/>
                <w:color w:val="0000FF"/>
                <w:w w:val="89"/>
              </w:rPr>
            </w:pPr>
            <w:hyperlink r:id="rId66">
              <w:r>
                <w:rPr>
                  <w:rFonts w:ascii="Arial" w:cs="Arial" w:eastAsia="Arial" w:hAnsi="Arial"/>
                  <w:sz w:val="16"/>
                  <w:szCs w:val="16"/>
                  <w:color w:val="0000FF"/>
                  <w:w w:val="89"/>
                </w:rPr>
                <w:t>and Christopher Sotos.</w:t>
              </w:r>
            </w:hyperlink>
          </w:p>
        </w:tc>
        <w:tc>
          <w:tcPr>
            <w:tcW w:w="4300" w:type="dxa"/>
            <w:vAlign w:val="bottom"/>
            <w:tcBorders>
              <w:top w:val="single" w:sz="8" w:color="0000FF"/>
            </w:tcBorders>
            <w:gridSpan w:val="20"/>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5"/>
        </w:trPr>
        <w:tc>
          <w:tcPr>
            <w:tcW w:w="1040" w:type="dxa"/>
            <w:vAlign w:val="bottom"/>
          </w:tcPr>
          <w:p>
            <w:pPr>
              <w:spacing w:after="0"/>
              <w:rPr>
                <w:sz w:val="20"/>
                <w:szCs w:val="20"/>
                <w:color w:val="auto"/>
              </w:rPr>
            </w:pPr>
            <w:r>
              <w:rPr>
                <w:rFonts w:ascii="Arial" w:cs="Arial" w:eastAsia="Arial" w:hAnsi="Arial"/>
                <w:sz w:val="16"/>
                <w:szCs w:val="16"/>
                <w:color w:val="auto"/>
              </w:rPr>
              <w:t>10.15</w:t>
            </w:r>
          </w:p>
        </w:tc>
        <w:tc>
          <w:tcPr>
            <w:tcW w:w="5380" w:type="dxa"/>
            <w:vAlign w:val="bottom"/>
            <w:gridSpan w:val="15"/>
            <w:vMerge w:val="restart"/>
          </w:tcPr>
          <w:p>
            <w:pPr>
              <w:spacing w:after="0"/>
              <w:rPr>
                <w:rFonts w:ascii="Arial" w:cs="Arial" w:eastAsia="Arial" w:hAnsi="Arial"/>
                <w:sz w:val="16"/>
                <w:szCs w:val="16"/>
                <w:color w:val="0000FF"/>
                <w:w w:val="91"/>
              </w:rPr>
            </w:pPr>
            <w:hyperlink r:id="rId67">
              <w:r>
                <w:rPr>
                  <w:rFonts w:ascii="Arial" w:cs="Arial" w:eastAsia="Arial" w:hAnsi="Arial"/>
                  <w:sz w:val="16"/>
                  <w:szCs w:val="16"/>
                  <w:color w:val="0000FF"/>
                  <w:w w:val="91"/>
                </w:rPr>
                <w:t>Assignment and Assumption Agreement, effective as of February 26, 2019, among</w:t>
              </w:r>
            </w:hyperlink>
          </w:p>
        </w:tc>
        <w:tc>
          <w:tcPr>
            <w:tcW w:w="460" w:type="dxa"/>
            <w:vAlign w:val="bottom"/>
            <w:gridSpan w:val="9"/>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5380" w:type="dxa"/>
            <w:vAlign w:val="bottom"/>
            <w:tcBorders>
              <w:bottom w:val="single" w:sz="8" w:color="0000FF"/>
            </w:tcBorders>
            <w:gridSpan w:val="15"/>
            <w:vMerge w:val="continue"/>
          </w:tcPr>
          <w:p>
            <w:pPr>
              <w:spacing w:after="0"/>
              <w:rPr>
                <w:sz w:val="4"/>
                <w:szCs w:val="4"/>
                <w:color w:val="auto"/>
              </w:rPr>
            </w:pPr>
          </w:p>
        </w:tc>
        <w:tc>
          <w:tcPr>
            <w:tcW w:w="46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5840" w:type="dxa"/>
            <w:vAlign w:val="bottom"/>
            <w:gridSpan w:val="24"/>
          </w:tcPr>
          <w:p>
            <w:pPr>
              <w:spacing w:after="0" w:line="183" w:lineRule="exact"/>
              <w:rPr>
                <w:rFonts w:ascii="Arial" w:cs="Arial" w:eastAsia="Arial" w:hAnsi="Arial"/>
                <w:sz w:val="16"/>
                <w:szCs w:val="16"/>
                <w:color w:val="0000FF"/>
              </w:rPr>
            </w:pPr>
            <w:hyperlink r:id="rId67">
              <w:r>
                <w:rPr>
                  <w:rFonts w:ascii="Arial" w:cs="Arial" w:eastAsia="Arial" w:hAnsi="Arial"/>
                  <w:sz w:val="16"/>
                  <w:szCs w:val="16"/>
                  <w:color w:val="0000FF"/>
                </w:rPr>
                <w:t>Clearway Energy Operating LLC and GIP III Zephyr Carlsbad Holdings, LLC.</w:t>
              </w:r>
            </w:hyperlink>
          </w:p>
        </w:tc>
        <w:tc>
          <w:tcPr>
            <w:tcW w:w="0" w:type="dxa"/>
            <w:vAlign w:val="bottom"/>
          </w:tcPr>
          <w:p>
            <w:pPr>
              <w:spacing w:after="0"/>
              <w:rPr>
                <w:sz w:val="1"/>
                <w:szCs w:val="1"/>
                <w:color w:val="auto"/>
              </w:rPr>
            </w:pPr>
          </w:p>
        </w:tc>
      </w:tr>
      <w:tr>
        <w:trPr>
          <w:trHeight w:val="717"/>
        </w:trPr>
        <w:tc>
          <w:tcPr>
            <w:tcW w:w="1040" w:type="dxa"/>
            <w:vAlign w:val="bottom"/>
          </w:tcPr>
          <w:p>
            <w:pPr>
              <w:spacing w:after="0"/>
              <w:rPr>
                <w:sz w:val="20"/>
                <w:szCs w:val="20"/>
                <w:color w:val="auto"/>
              </w:rPr>
            </w:pPr>
            <w:r>
              <w:rPr>
                <w:rFonts w:ascii="Arial" w:cs="Arial" w:eastAsia="Arial" w:hAnsi="Arial"/>
                <w:sz w:val="16"/>
                <w:szCs w:val="16"/>
                <w:color w:val="auto"/>
              </w:rPr>
              <w:t>21.1</w:t>
            </w:r>
          </w:p>
        </w:tc>
        <w:tc>
          <w:tcPr>
            <w:tcW w:w="2520" w:type="dxa"/>
            <w:vAlign w:val="bottom"/>
            <w:tcBorders>
              <w:top w:val="single" w:sz="8" w:color="0000FF"/>
            </w:tcBorders>
            <w:gridSpan w:val="6"/>
            <w:vMerge w:val="restart"/>
          </w:tcPr>
          <w:p>
            <w:pPr>
              <w:spacing w:after="0"/>
              <w:rPr>
                <w:rFonts w:ascii="Arial" w:cs="Arial" w:eastAsia="Arial" w:hAnsi="Arial"/>
                <w:sz w:val="16"/>
                <w:szCs w:val="16"/>
                <w:color w:val="0000FF"/>
                <w:w w:val="92"/>
              </w:rPr>
            </w:pPr>
            <w:hyperlink r:id="rId68">
              <w:r>
                <w:rPr>
                  <w:rFonts w:ascii="Arial" w:cs="Arial" w:eastAsia="Arial" w:hAnsi="Arial"/>
                  <w:sz w:val="16"/>
                  <w:szCs w:val="16"/>
                  <w:color w:val="0000FF"/>
                  <w:w w:val="92"/>
                </w:rPr>
                <w:t>Subsidiaries of Clearway Energy LLC.</w:t>
              </w:r>
            </w:hyperlink>
          </w:p>
        </w:tc>
        <w:tc>
          <w:tcPr>
            <w:tcW w:w="2600" w:type="dxa"/>
            <w:vAlign w:val="bottom"/>
            <w:tcBorders>
              <w:top w:val="single" w:sz="8" w:color="0000FF"/>
            </w:tcBorders>
            <w:gridSpan w:val="7"/>
            <w:vMerge w:val="restart"/>
          </w:tcPr>
          <w:p>
            <w:pPr>
              <w:spacing w:after="0"/>
              <w:rPr>
                <w:sz w:val="24"/>
                <w:szCs w:val="24"/>
                <w:color w:val="auto"/>
              </w:rPr>
            </w:pPr>
          </w:p>
        </w:tc>
        <w:tc>
          <w:tcPr>
            <w:tcW w:w="720" w:type="dxa"/>
            <w:vAlign w:val="bottom"/>
            <w:gridSpan w:val="11"/>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2520" w:type="dxa"/>
            <w:vAlign w:val="bottom"/>
            <w:tcBorders>
              <w:bottom w:val="single" w:sz="8" w:color="0000FF"/>
            </w:tcBorders>
            <w:gridSpan w:val="6"/>
            <w:vMerge w:val="continue"/>
          </w:tcPr>
          <w:p>
            <w:pPr>
              <w:spacing w:after="0"/>
              <w:rPr>
                <w:sz w:val="4"/>
                <w:szCs w:val="4"/>
                <w:color w:val="auto"/>
              </w:rPr>
            </w:pPr>
          </w:p>
        </w:tc>
        <w:tc>
          <w:tcPr>
            <w:tcW w:w="2600" w:type="dxa"/>
            <w:vAlign w:val="bottom"/>
            <w:gridSpan w:val="7"/>
            <w:vMerge w:val="continue"/>
          </w:tcPr>
          <w:p>
            <w:pPr>
              <w:spacing w:after="0"/>
              <w:rPr>
                <w:sz w:val="4"/>
                <w:szCs w:val="4"/>
                <w:color w:val="auto"/>
              </w:rPr>
            </w:pPr>
          </w:p>
        </w:tc>
        <w:tc>
          <w:tcPr>
            <w:tcW w:w="72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4"/>
        </w:trPr>
        <w:tc>
          <w:tcPr>
            <w:tcW w:w="1040" w:type="dxa"/>
            <w:vAlign w:val="bottom"/>
          </w:tcPr>
          <w:p>
            <w:pPr>
              <w:spacing w:after="0"/>
              <w:rPr>
                <w:sz w:val="20"/>
                <w:szCs w:val="20"/>
                <w:color w:val="auto"/>
              </w:rPr>
            </w:pPr>
            <w:r>
              <w:rPr>
                <w:rFonts w:ascii="Arial" w:cs="Arial" w:eastAsia="Arial" w:hAnsi="Arial"/>
                <w:sz w:val="16"/>
                <w:szCs w:val="16"/>
                <w:color w:val="auto"/>
              </w:rPr>
              <w:t>31.1</w:t>
            </w:r>
          </w:p>
        </w:tc>
        <w:tc>
          <w:tcPr>
            <w:tcW w:w="408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2"/>
              </w:rPr>
              <w:t>Rule 13a-14(a)/15d-14(a) certification of Christopher S. Sotos.</w:t>
            </w:r>
          </w:p>
        </w:tc>
        <w:tc>
          <w:tcPr>
            <w:tcW w:w="17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31.2</w:t>
            </w:r>
          </w:p>
        </w:tc>
        <w:tc>
          <w:tcPr>
            <w:tcW w:w="5840" w:type="dxa"/>
            <w:vAlign w:val="bottom"/>
            <w:gridSpan w:val="24"/>
          </w:tcPr>
          <w:p>
            <w:pPr>
              <w:spacing w:after="0"/>
              <w:rPr>
                <w:sz w:val="20"/>
                <w:szCs w:val="20"/>
                <w:color w:val="auto"/>
              </w:rPr>
            </w:pPr>
            <w:r>
              <w:rPr>
                <w:rFonts w:ascii="Arial" w:cs="Arial" w:eastAsia="Arial" w:hAnsi="Arial"/>
                <w:sz w:val="16"/>
                <w:szCs w:val="16"/>
                <w:color w:val="0000FF"/>
              </w:rPr>
              <w:t>Rule 13a-14(a)/15d-14(a) certification of Chad Plotkin.</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580" w:type="dxa"/>
            <w:vAlign w:val="bottom"/>
            <w:gridSpan w:val="8"/>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6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31.3</w:t>
            </w:r>
          </w:p>
        </w:tc>
        <w:tc>
          <w:tcPr>
            <w:tcW w:w="398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94"/>
              </w:rPr>
              <w:t>Rule 13a-14(a)/15d-14(a) certification of Mary-Lee Stillwell.</w:t>
            </w:r>
          </w:p>
        </w:tc>
        <w:tc>
          <w:tcPr>
            <w:tcW w:w="186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045" w:hanging="1045"/>
        <w:spacing w:after="0"/>
        <w:tabs>
          <w:tab w:leader="none" w:pos="1045"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0000FF"/>
        </w:rPr>
        <w:t>Section 1350 Certification.</w:t>
      </w:r>
    </w:p>
    <w:p>
      <w:pPr>
        <w:spacing w:after="0" w:line="61"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280" w:type="dxa"/>
            <w:vAlign w:val="bottom"/>
          </w:tcPr>
          <w:p>
            <w:pPr>
              <w:spacing w:after="0"/>
              <w:rPr>
                <w:sz w:val="20"/>
                <w:szCs w:val="20"/>
                <w:color w:val="auto"/>
              </w:rPr>
            </w:pPr>
            <w:r>
              <w:rPr>
                <w:rFonts w:ascii="Arial" w:cs="Arial" w:eastAsia="Arial" w:hAnsi="Arial"/>
                <w:sz w:val="16"/>
                <w:szCs w:val="16"/>
                <w:color w:val="auto"/>
                <w:w w:val="83"/>
              </w:rPr>
              <w:t>99.1</w:t>
            </w:r>
          </w:p>
        </w:tc>
        <w:tc>
          <w:tcPr>
            <w:tcW w:w="760" w:type="dxa"/>
            <w:vAlign w:val="bottom"/>
          </w:tcPr>
          <w:p>
            <w:pPr>
              <w:spacing w:after="0"/>
              <w:rPr>
                <w:sz w:val="16"/>
                <w:szCs w:val="16"/>
                <w:color w:val="auto"/>
              </w:rPr>
            </w:pPr>
          </w:p>
        </w:tc>
        <w:tc>
          <w:tcPr>
            <w:tcW w:w="538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1"/>
              </w:rPr>
              <w:t>Financial Statements of DGPV Holdco 3 LLC and Subsidiaries for the years ended</w:t>
            </w:r>
          </w:p>
        </w:tc>
      </w:tr>
      <w:tr>
        <w:trPr>
          <w:trHeight w:val="183"/>
        </w:trPr>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380" w:type="dxa"/>
            <w:vAlign w:val="bottom"/>
            <w:gridSpan w:val="2"/>
          </w:tcPr>
          <w:p>
            <w:pPr>
              <w:spacing w:after="0" w:line="183" w:lineRule="exact"/>
              <w:rPr>
                <w:sz w:val="20"/>
                <w:szCs w:val="20"/>
                <w:color w:val="auto"/>
              </w:rPr>
            </w:pPr>
            <w:r>
              <w:rPr>
                <w:rFonts w:ascii="Arial" w:cs="Arial" w:eastAsia="Arial" w:hAnsi="Arial"/>
                <w:sz w:val="16"/>
                <w:szCs w:val="16"/>
                <w:color w:val="0000FF"/>
              </w:rPr>
              <w:t>December 31, 2018 and 2017.</w:t>
            </w:r>
          </w:p>
        </w:tc>
      </w:tr>
      <w:tr>
        <w:trPr>
          <w:trHeight w:val="271"/>
        </w:trPr>
        <w:tc>
          <w:tcPr>
            <w:tcW w:w="1040" w:type="dxa"/>
            <w:vAlign w:val="bottom"/>
            <w:gridSpan w:val="2"/>
          </w:tcPr>
          <w:p>
            <w:pPr>
              <w:spacing w:after="0"/>
              <w:rPr>
                <w:sz w:val="20"/>
                <w:szCs w:val="20"/>
                <w:color w:val="auto"/>
              </w:rPr>
            </w:pPr>
            <w:r>
              <w:rPr>
                <w:rFonts w:ascii="Arial" w:cs="Arial" w:eastAsia="Arial" w:hAnsi="Arial"/>
                <w:sz w:val="16"/>
                <w:szCs w:val="16"/>
                <w:color w:val="auto"/>
              </w:rPr>
              <w:t>101 INS</w:t>
            </w:r>
          </w:p>
        </w:tc>
        <w:tc>
          <w:tcPr>
            <w:tcW w:w="1940" w:type="dxa"/>
            <w:vAlign w:val="bottom"/>
            <w:tcBorders>
              <w:top w:val="single" w:sz="8" w:color="0000FF"/>
            </w:tcBorders>
          </w:tcPr>
          <w:p>
            <w:pPr>
              <w:spacing w:after="0"/>
              <w:rPr>
                <w:sz w:val="20"/>
                <w:szCs w:val="20"/>
                <w:color w:val="auto"/>
              </w:rPr>
            </w:pPr>
            <w:r>
              <w:rPr>
                <w:rFonts w:ascii="Arial" w:cs="Arial" w:eastAsia="Arial" w:hAnsi="Arial"/>
                <w:sz w:val="16"/>
                <w:szCs w:val="16"/>
                <w:color w:val="auto"/>
              </w:rPr>
              <w:t>XBRL Instance Document.</w:t>
            </w:r>
          </w:p>
        </w:tc>
        <w:tc>
          <w:tcPr>
            <w:tcW w:w="3440" w:type="dxa"/>
            <w:vAlign w:val="bottom"/>
          </w:tcPr>
          <w:p>
            <w:pPr>
              <w:spacing w:after="0"/>
              <w:rPr>
                <w:sz w:val="23"/>
                <w:szCs w:val="23"/>
                <w:color w:val="auto"/>
              </w:rPr>
            </w:pPr>
          </w:p>
        </w:tc>
      </w:tr>
      <w:tr>
        <w:trPr>
          <w:trHeight w:val="459"/>
        </w:trPr>
        <w:tc>
          <w:tcPr>
            <w:tcW w:w="1040" w:type="dxa"/>
            <w:vAlign w:val="bottom"/>
            <w:gridSpan w:val="2"/>
          </w:tcPr>
          <w:p>
            <w:pPr>
              <w:spacing w:after="0"/>
              <w:rPr>
                <w:sz w:val="20"/>
                <w:szCs w:val="20"/>
                <w:color w:val="auto"/>
              </w:rPr>
            </w:pPr>
            <w:r>
              <w:rPr>
                <w:rFonts w:ascii="Arial" w:cs="Arial" w:eastAsia="Arial" w:hAnsi="Arial"/>
                <w:sz w:val="16"/>
                <w:szCs w:val="16"/>
                <w:color w:val="auto"/>
              </w:rPr>
              <w:t>101 SCH</w:t>
            </w:r>
          </w:p>
        </w:tc>
        <w:tc>
          <w:tcPr>
            <w:tcW w:w="5380" w:type="dxa"/>
            <w:vAlign w:val="bottom"/>
            <w:gridSpan w:val="2"/>
          </w:tcPr>
          <w:p>
            <w:pPr>
              <w:spacing w:after="0"/>
              <w:rPr>
                <w:sz w:val="20"/>
                <w:szCs w:val="20"/>
                <w:color w:val="auto"/>
              </w:rPr>
            </w:pPr>
            <w:r>
              <w:rPr>
                <w:rFonts w:ascii="Arial" w:cs="Arial" w:eastAsia="Arial" w:hAnsi="Arial"/>
                <w:sz w:val="16"/>
                <w:szCs w:val="16"/>
                <w:color w:val="auto"/>
              </w:rPr>
              <w:t>XBRL Taxonomy Extension Schema.</w:t>
            </w:r>
          </w:p>
        </w:tc>
      </w:tr>
      <w:tr>
        <w:trPr>
          <w:trHeight w:val="459"/>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CAL</w:t>
            </w:r>
          </w:p>
        </w:tc>
        <w:tc>
          <w:tcPr>
            <w:tcW w:w="5380" w:type="dxa"/>
            <w:vAlign w:val="bottom"/>
            <w:gridSpan w:val="2"/>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459"/>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DEF</w:t>
            </w:r>
          </w:p>
        </w:tc>
        <w:tc>
          <w:tcPr>
            <w:tcW w:w="5380" w:type="dxa"/>
            <w:vAlign w:val="bottom"/>
            <w:gridSpan w:val="2"/>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459"/>
        </w:trPr>
        <w:tc>
          <w:tcPr>
            <w:tcW w:w="1040" w:type="dxa"/>
            <w:vAlign w:val="bottom"/>
            <w:gridSpan w:val="2"/>
          </w:tcPr>
          <w:p>
            <w:pPr>
              <w:spacing w:after="0"/>
              <w:rPr>
                <w:sz w:val="20"/>
                <w:szCs w:val="20"/>
                <w:color w:val="auto"/>
              </w:rPr>
            </w:pPr>
            <w:r>
              <w:rPr>
                <w:rFonts w:ascii="Arial" w:cs="Arial" w:eastAsia="Arial" w:hAnsi="Arial"/>
                <w:sz w:val="16"/>
                <w:szCs w:val="16"/>
                <w:color w:val="auto"/>
              </w:rPr>
              <w:t>101 LAB</w:t>
            </w:r>
          </w:p>
        </w:tc>
        <w:tc>
          <w:tcPr>
            <w:tcW w:w="5380" w:type="dxa"/>
            <w:vAlign w:val="bottom"/>
            <w:gridSpan w:val="2"/>
          </w:tcPr>
          <w:p>
            <w:pPr>
              <w:spacing w:after="0"/>
              <w:rPr>
                <w:sz w:val="20"/>
                <w:szCs w:val="20"/>
                <w:color w:val="auto"/>
              </w:rPr>
            </w:pPr>
            <w:r>
              <w:rPr>
                <w:rFonts w:ascii="Arial" w:cs="Arial" w:eastAsia="Arial" w:hAnsi="Arial"/>
                <w:sz w:val="16"/>
                <w:szCs w:val="16"/>
                <w:color w:val="auto"/>
              </w:rPr>
              <w:t>XBRL Taxonomy Extension Label Linkbase.</w:t>
            </w: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6, 2018.</w:t>
      </w:r>
    </w:p>
    <w:p>
      <w:pPr>
        <w:spacing w:after="0" w:line="200" w:lineRule="exact"/>
        <w:rPr>
          <w:sz w:val="20"/>
          <w:szCs w:val="20"/>
          <w:color w:val="auto"/>
        </w:rPr>
      </w:pPr>
    </w:p>
    <w:p>
      <w:pPr>
        <w:spacing w:after="0" w:line="228"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Incorporated herein by reference to Exhibit 10.1 to Clearway Energy, Inc.'s Quarterly Report on Form 10-Q filed on August 4, 2015.</w:t>
      </w:r>
    </w:p>
    <w:p>
      <w:pPr>
        <w:spacing w:after="0" w:line="22"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Incorporated herein by reference to Exhibit 10.2 to Clearway Energy, Inc.'s Quarterly Report on Form 10-Q filed on August 4, 2015.</w:t>
      </w:r>
    </w:p>
    <w:p>
      <w:pPr>
        <w:spacing w:after="0" w:line="103" w:lineRule="exact"/>
        <w:rPr>
          <w:sz w:val="20"/>
          <w:szCs w:val="20"/>
          <w:color w:val="auto"/>
        </w:rPr>
      </w:pPr>
    </w:p>
    <w:p>
      <w:pPr>
        <w:jc w:val="both"/>
        <w:ind w:right="260"/>
        <w:spacing w:after="0" w:line="278" w:lineRule="auto"/>
        <w:rPr>
          <w:sz w:val="20"/>
          <w:szCs w:val="20"/>
          <w:color w:val="auto"/>
        </w:rPr>
      </w:pPr>
      <w:r>
        <w:rPr>
          <w:rFonts w:ascii="Arial" w:cs="Arial" w:eastAsia="Arial" w:hAnsi="Arial"/>
          <w:sz w:val="16"/>
          <w:szCs w:val="16"/>
          <w:color w:val="auto"/>
        </w:rPr>
        <w:t>Incorporated herein by reference to Exhibit 10.1 to Clearway Energy, Inc.'s Quarterly Report on Form 10-Q filed on May 5, 2016.</w:t>
      </w:r>
    </w:p>
    <w:p>
      <w:pPr>
        <w:spacing w:after="0" w:line="387" w:lineRule="exact"/>
        <w:rPr>
          <w:sz w:val="20"/>
          <w:szCs w:val="20"/>
          <w:color w:val="auto"/>
        </w:rPr>
      </w:pPr>
    </w:p>
    <w:p>
      <w:pPr>
        <w:jc w:val="both"/>
        <w:ind w:right="260"/>
        <w:spacing w:after="0" w:line="278" w:lineRule="auto"/>
        <w:rPr>
          <w:sz w:val="20"/>
          <w:szCs w:val="20"/>
          <w:color w:val="auto"/>
        </w:rPr>
      </w:pPr>
      <w:r>
        <w:rPr>
          <w:rFonts w:ascii="Arial" w:cs="Arial" w:eastAsia="Arial" w:hAnsi="Arial"/>
          <w:sz w:val="16"/>
          <w:szCs w:val="16"/>
          <w:color w:val="auto"/>
        </w:rPr>
        <w:t>Incorporated herein by reference to Exhibit 10.2 to Clearway Energy, Inc.'s Quarterly Report on Form 10-Q filed on May 5, 2016.</w:t>
      </w:r>
    </w:p>
    <w:p>
      <w:pPr>
        <w:spacing w:after="0" w:line="387" w:lineRule="exact"/>
        <w:rPr>
          <w:sz w:val="20"/>
          <w:szCs w:val="20"/>
          <w:color w:val="auto"/>
        </w:rPr>
      </w:pPr>
    </w:p>
    <w:p>
      <w:pPr>
        <w:jc w:val="both"/>
        <w:ind w:right="260"/>
        <w:spacing w:after="0" w:line="278" w:lineRule="auto"/>
        <w:rPr>
          <w:sz w:val="20"/>
          <w:szCs w:val="20"/>
          <w:color w:val="auto"/>
        </w:rPr>
      </w:pPr>
      <w:r>
        <w:rPr>
          <w:rFonts w:ascii="Arial" w:cs="Arial" w:eastAsia="Arial" w:hAnsi="Arial"/>
          <w:sz w:val="16"/>
          <w:szCs w:val="16"/>
          <w:color w:val="auto"/>
        </w:rPr>
        <w:t>Incorporated herein by reference to Exhibit 10.3 to Clearway Energy, Inc.'s Quarterly Report on Form 10-Q filed on May 5, 2016.</w:t>
      </w:r>
    </w:p>
    <w:p>
      <w:pPr>
        <w:spacing w:after="0" w:line="184"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Incorporated herein by reference to Exhibit 10.1 to Clearway Energy, Inc.'s Quarterly Report on Form 10-Q, filed on August 9, 2016.</w:t>
      </w:r>
    </w:p>
    <w:p>
      <w:pPr>
        <w:spacing w:after="0" w:line="387"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Incorporated herein by reference to Exhibit 10.1 to Clearway Energy, Inc.'s Current Report on Form 8-K/A, filed on August 9, 2016.</w:t>
      </w:r>
    </w:p>
    <w:p>
      <w:pPr>
        <w:spacing w:after="0" w:line="184" w:lineRule="exact"/>
        <w:rPr>
          <w:sz w:val="20"/>
          <w:szCs w:val="20"/>
          <w:color w:val="auto"/>
        </w:rPr>
      </w:pPr>
    </w:p>
    <w:p>
      <w:pPr>
        <w:jc w:val="both"/>
        <w:ind w:right="240"/>
        <w:spacing w:after="0" w:line="278" w:lineRule="auto"/>
        <w:rPr>
          <w:sz w:val="20"/>
          <w:szCs w:val="20"/>
          <w:color w:val="auto"/>
        </w:rPr>
      </w:pPr>
      <w:r>
        <w:rPr>
          <w:rFonts w:ascii="Arial" w:cs="Arial" w:eastAsia="Arial" w:hAnsi="Arial"/>
          <w:sz w:val="16"/>
          <w:szCs w:val="16"/>
          <w:color w:val="auto"/>
        </w:rPr>
        <w:t>Incorporated herein by reference to Exhibit 10.28 to Clearway Energy, Inc.'s Annual Report on Form 10-K, filed on March 1, 2018.</w:t>
      </w:r>
    </w:p>
    <w:p>
      <w:pPr>
        <w:spacing w:after="0" w:line="184"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10.15 to the Company's Annual Report on Form 10-K filed on February 28, 2019.</w:t>
      </w:r>
    </w:p>
    <w:p>
      <w:pPr>
        <w:spacing w:after="0" w:line="266"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21.1 to the Company's Annual Report on Form 10-K filed on February 28, 2019.</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7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Previously filed with the Company's Annual Report on Form 10-K filed on February 28, 2019</w:t>
      </w:r>
    </w:p>
    <w:p>
      <w:pPr>
        <w:spacing w:after="0" w:line="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Previously filed with the Company's Annual Report on Form 10-K filed on February 28, 2019</w:t>
      </w:r>
    </w:p>
    <w:p>
      <w:pPr>
        <w:spacing w:after="0" w:line="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Previously filed with the Company's Annual Report on Form 10-K filed on February 28, 2019</w:t>
      </w:r>
    </w:p>
    <w:p>
      <w:pPr>
        <w:spacing w:after="0" w:line="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Previously filed with the Company's Annual Report on Form 10-K filed on February 28, 2019</w:t>
      </w:r>
    </w:p>
    <w:p>
      <w:pPr>
        <w:spacing w:after="0" w:line="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Previously filed with the Company's Annual Report on Form 10-K filed on February 28, 2019</w:t>
      </w:r>
    </w:p>
    <w:p>
      <w:pPr>
        <w:sectPr>
          <w:pgSz w:w="11900" w:h="16838" w:orient="portrait"/>
          <w:cols w:equalWidth="0" w:num="2">
            <w:col w:w="6885" w:space="200"/>
            <w:col w:w="4280"/>
          </w:cols>
          <w:pgMar w:left="275" w:top="751" w:right="259" w:bottom="677" w:gutter="0" w:footer="0" w:header="0"/>
          <w:type w:val="continuous"/>
        </w:sectPr>
      </w:pPr>
    </w:p>
    <w:bookmarkStart w:id="8" w:name="page9"/>
    <w:bookmarkEnd w:id="8"/>
    <w:tbl>
      <w:tblPr>
        <w:tblLayout w:type="fixed"/>
        <w:tblInd w:w="5"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540" w:type="dxa"/>
            <w:vAlign w:val="bottom"/>
          </w:tcPr>
          <w:p>
            <w:pPr>
              <w:ind w:left="1340"/>
              <w:spacing w:after="0"/>
              <w:rPr>
                <w:sz w:val="20"/>
                <w:szCs w:val="20"/>
                <w:color w:val="auto"/>
              </w:rPr>
            </w:pPr>
            <w:r>
              <w:rPr>
                <w:rFonts w:ascii="Arial" w:cs="Arial" w:eastAsia="Arial" w:hAnsi="Arial"/>
                <w:sz w:val="16"/>
                <w:szCs w:val="16"/>
                <w:color w:val="auto"/>
                <w:w w:val="92"/>
              </w:rPr>
              <w:t>Previously filed with the Company's Annual Report on Form 10-</w:t>
            </w:r>
          </w:p>
        </w:tc>
      </w:tr>
      <w:tr>
        <w:trPr>
          <w:trHeight w:val="206"/>
        </w:trPr>
        <w:tc>
          <w:tcPr>
            <w:tcW w:w="800" w:type="dxa"/>
            <w:vAlign w:val="bottom"/>
          </w:tcPr>
          <w:p>
            <w:pPr>
              <w:spacing w:after="0"/>
              <w:rPr>
                <w:sz w:val="20"/>
                <w:szCs w:val="20"/>
                <w:color w:val="auto"/>
              </w:rPr>
            </w:pPr>
            <w:r>
              <w:rPr>
                <w:rFonts w:ascii="Arial" w:cs="Arial" w:eastAsia="Arial" w:hAnsi="Arial"/>
                <w:sz w:val="16"/>
                <w:szCs w:val="16"/>
                <w:color w:val="auto"/>
              </w:rPr>
              <w:t>101 PRE</w:t>
            </w:r>
          </w:p>
        </w:tc>
        <w:tc>
          <w:tcPr>
            <w:tcW w:w="4940" w:type="dxa"/>
            <w:vAlign w:val="bottom"/>
          </w:tcPr>
          <w:p>
            <w:pPr>
              <w:ind w:left="240"/>
              <w:spacing w:after="0"/>
              <w:rPr>
                <w:sz w:val="20"/>
                <w:szCs w:val="20"/>
                <w:color w:val="auto"/>
              </w:rPr>
            </w:pPr>
            <w:r>
              <w:rPr>
                <w:rFonts w:ascii="Arial" w:cs="Arial" w:eastAsia="Arial" w:hAnsi="Arial"/>
                <w:sz w:val="16"/>
                <w:szCs w:val="16"/>
                <w:color w:val="auto"/>
              </w:rPr>
              <w:t>XBRL Taxonomy Extension Presentation Linkbase.</w:t>
            </w:r>
          </w:p>
        </w:tc>
        <w:tc>
          <w:tcPr>
            <w:tcW w:w="5540" w:type="dxa"/>
            <w:vAlign w:val="bottom"/>
          </w:tcPr>
          <w:p>
            <w:pPr>
              <w:ind w:left="1340"/>
              <w:spacing w:after="0"/>
              <w:rPr>
                <w:sz w:val="20"/>
                <w:szCs w:val="20"/>
                <w:color w:val="auto"/>
              </w:rPr>
            </w:pPr>
            <w:r>
              <w:rPr>
                <w:rFonts w:ascii="Arial" w:cs="Arial" w:eastAsia="Arial" w:hAnsi="Arial"/>
                <w:sz w:val="16"/>
                <w:szCs w:val="16"/>
                <w:color w:val="auto"/>
              </w:rPr>
              <w:t>K filed on February 28, 2019</w:t>
            </w:r>
          </w:p>
        </w:tc>
      </w:tr>
    </w:tbl>
    <w:p>
      <w:pPr>
        <w:spacing w:after="0" w:line="200" w:lineRule="exact"/>
        <w:rPr>
          <w:sz w:val="20"/>
          <w:szCs w:val="20"/>
          <w:color w:val="auto"/>
        </w:rPr>
      </w:pPr>
    </w:p>
    <w:p>
      <w:pPr>
        <w:spacing w:after="0" w:line="201" w:lineRule="exact"/>
        <w:rPr>
          <w:sz w:val="20"/>
          <w:szCs w:val="20"/>
          <w:color w:val="auto"/>
        </w:rPr>
      </w:pPr>
    </w:p>
    <w:p>
      <w:pPr>
        <w:ind w:left="565" w:hanging="565"/>
        <w:spacing w:after="0"/>
        <w:tabs>
          <w:tab w:leader="none" w:pos="56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Indicates exhibits that constitute compensatory plans or arrangements.</w:t>
      </w:r>
    </w:p>
    <w:p>
      <w:pPr>
        <w:spacing w:after="0" w:line="86" w:lineRule="exact"/>
        <w:rPr>
          <w:sz w:val="20"/>
          <w:szCs w:val="20"/>
          <w:color w:val="auto"/>
        </w:rPr>
      </w:pPr>
    </w:p>
    <w:p>
      <w:pPr>
        <w:ind w:left="565" w:right="2120" w:hanging="565"/>
        <w:spacing w:after="0" w:line="293" w:lineRule="auto"/>
        <w:tabs>
          <w:tab w:leader="none" w:pos="56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filing excludes schedules pursuant to Item 601(b)(2) of Regulation S-K, which the registrant agrees to furnish supplementary to the Securities and Exchange Commission upon request by the Commission.</w:t>
      </w:r>
    </w:p>
    <w:p>
      <w:pPr>
        <w:spacing w:after="0" w:line="10" w:lineRule="exact"/>
        <w:rPr>
          <w:sz w:val="20"/>
          <w:szCs w:val="20"/>
          <w:color w:val="auto"/>
        </w:rPr>
      </w:pPr>
    </w:p>
    <w:p>
      <w:pPr>
        <w:ind w:left="565" w:right="2120" w:hanging="565"/>
        <w:spacing w:after="0" w:line="329" w:lineRule="auto"/>
        <w:tabs>
          <w:tab w:leader="none" w:pos="565" w:val="left"/>
        </w:tabs>
        <w:numPr>
          <w:ilvl w:val="0"/>
          <w:numId w:val="7"/>
        </w:numPr>
        <w:rPr>
          <w:rFonts w:ascii="Arial" w:cs="Arial" w:eastAsia="Arial" w:hAnsi="Arial"/>
          <w:sz w:val="15"/>
          <w:szCs w:val="15"/>
          <w:color w:val="auto"/>
        </w:rPr>
      </w:pPr>
      <w:r>
        <w:rPr>
          <w:rFonts w:ascii="Arial" w:cs="Arial" w:eastAsia="Arial" w:hAnsi="Arial"/>
          <w:sz w:val="15"/>
          <w:szCs w:val="15"/>
          <w:color w:val="auto"/>
        </w:rPr>
        <w:t>Portions of this exhibit have been redacted and are subject to a confidential treatment request filed with the Secretary of the Securities and Exchange Commission pursuant to Rule 24b-2 under the Securities Exchange Act of 1934, as amended.</w:t>
      </w:r>
    </w:p>
    <w:p>
      <w:pPr>
        <w:sectPr>
          <w:pgSz w:w="11900" w:h="16838" w:orient="portrait"/>
          <w:cols w:equalWidth="0" w:num="1">
            <w:col w:w="11285"/>
          </w:cols>
          <w:pgMar w:left="275" w:top="75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CLEARWAY ENERGY LLC</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(Registrant)</w:t>
      </w:r>
    </w:p>
    <w:p>
      <w:pPr>
        <w:spacing w:after="0" w:line="34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101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(Principal Executive Officer)</w:t>
      </w: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29, 2019</w:t>
      </w:r>
    </w:p>
    <w:p>
      <w:pPr>
        <w:sectPr>
          <w:pgSz w:w="11900" w:h="16838" w:orient="portrait"/>
          <w:cols w:equalWidth="0" w:num="1">
            <w:col w:w="11420"/>
          </w:cols>
          <w:pgMar w:left="240" w:top="580" w:right="239" w:bottom="1440" w:gutter="0" w:footer="0" w:header="0"/>
        </w:sectPr>
      </w:pPr>
    </w:p>
    <w:bookmarkStart w:id="10" w:name="page11"/>
    <w:bookmarkEnd w:id="10"/>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Clearway Energy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31750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ectPr>
          <w:pgSz w:w="11900" w:h="16838" w:orient="portrait"/>
          <w:cols w:equalWidth="0" w:num="1">
            <w:col w:w="11420"/>
          </w:cols>
          <w:pgMar w:left="240" w:top="661" w:right="239" w:bottom="1440" w:gutter="0" w:footer="0" w:header="0"/>
        </w:sectPr>
      </w:pPr>
    </w:p>
    <w:bookmarkStart w:id="11" w:name="page12"/>
    <w:bookmarkEnd w:id="11"/>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Clearway Energy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ectPr>
          <w:pgSz w:w="11900" w:h="16838" w:orient="portrait"/>
          <w:cols w:equalWidth="0" w:num="1">
            <w:col w:w="11420"/>
          </w:cols>
          <w:pgMar w:left="240" w:top="661" w:right="239" w:bottom="1440" w:gutter="0" w:footer="0" w:header="0"/>
        </w:sectPr>
      </w:pPr>
    </w:p>
    <w:bookmarkStart w:id="12" w:name="page13"/>
    <w:bookmarkEnd w:id="12"/>
    <w:p>
      <w:pPr>
        <w:ind w:left="10280"/>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Mary-Lee Stillwell, certify that:</w:t>
      </w:r>
    </w:p>
    <w:p>
      <w:pPr>
        <w:spacing w:after="0" w:line="30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Clearway Energy LLC;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2">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Mary-Lee Stillwell</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ectPr>
          <w:pgSz w:w="11900" w:h="16838" w:orient="portrait"/>
          <w:cols w:equalWidth="0" w:num="1">
            <w:col w:w="11420"/>
          </w:cols>
          <w:pgMar w:left="240" w:top="58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connection with the Annual Report of Clearway Energy LLC on Form 10-K/A for the year ended December 31, 2018, as filed with the Securities and Exchange Commission on the date hereof (the “Form 10-K/A”),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Form 10-K/A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Form 10-K/A fairly presents, in all material respects, the financial condition and results of operations of the Company as of the dates and for the periods expressed in the Form 10-K/A.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2019</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Chad Plotkin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Mary-Lee Stillwell</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10-K/A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b w:val="1"/>
          <w:bCs w:val="1"/>
          <w:color w:val="auto"/>
        </w:rPr>
        <w:t>DGPV HOLDCO 3 LLC AND SUBSIDIARIES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60" w:type="dxa"/>
        <w:tblCellMar>
          <w:top w:w="0" w:type="dxa"/>
          <w:left w:w="0" w:type="dxa"/>
          <w:bottom w:w="0" w:type="dxa"/>
          <w:right w:w="0" w:type="dxa"/>
        </w:tblCellMar>
      </w:tblPr>
      <w:tr>
        <w:trPr>
          <w:trHeight w:val="256"/>
        </w:trPr>
        <w:tc>
          <w:tcPr>
            <w:tcW w:w="7980" w:type="dxa"/>
            <w:vAlign w:val="bottom"/>
          </w:tcPr>
          <w:p>
            <w:pPr>
              <w:spacing w:after="0"/>
              <w:rPr>
                <w:sz w:val="22"/>
                <w:szCs w:val="22"/>
                <w:color w:val="auto"/>
              </w:rPr>
            </w:pPr>
          </w:p>
        </w:tc>
        <w:tc>
          <w:tcPr>
            <w:tcW w:w="620" w:type="dxa"/>
            <w:vAlign w:val="bottom"/>
          </w:tcPr>
          <w:p>
            <w:pPr>
              <w:jc w:val="center"/>
              <w:ind w:left="121"/>
              <w:spacing w:after="0"/>
              <w:rPr>
                <w:sz w:val="20"/>
                <w:szCs w:val="20"/>
                <w:color w:val="auto"/>
              </w:rPr>
            </w:pPr>
            <w:r>
              <w:rPr>
                <w:rFonts w:ascii="Arial" w:cs="Arial" w:eastAsia="Arial" w:hAnsi="Arial"/>
                <w:sz w:val="20"/>
                <w:szCs w:val="20"/>
                <w:b w:val="1"/>
                <w:bCs w:val="1"/>
                <w:color w:val="auto"/>
                <w:w w:val="83"/>
              </w:rPr>
              <w:t>Page</w:t>
            </w:r>
          </w:p>
        </w:tc>
        <w:tc>
          <w:tcPr>
            <w:tcW w:w="0" w:type="dxa"/>
            <w:vAlign w:val="bottom"/>
          </w:tcPr>
          <w:p>
            <w:pPr>
              <w:spacing w:after="0"/>
              <w:rPr>
                <w:sz w:val="1"/>
                <w:szCs w:val="1"/>
                <w:color w:val="auto"/>
              </w:rPr>
            </w:pPr>
          </w:p>
        </w:tc>
      </w:tr>
      <w:tr>
        <w:trPr>
          <w:trHeight w:val="284"/>
        </w:trPr>
        <w:tc>
          <w:tcPr>
            <w:tcW w:w="7980" w:type="dxa"/>
            <w:vAlign w:val="bottom"/>
          </w:tcPr>
          <w:p>
            <w:pPr>
              <w:spacing w:after="0"/>
              <w:rPr>
                <w:sz w:val="20"/>
                <w:szCs w:val="20"/>
                <w:color w:val="auto"/>
              </w:rPr>
            </w:pPr>
            <w:r>
              <w:rPr>
                <w:rFonts w:ascii="Arial" w:cs="Arial" w:eastAsia="Arial" w:hAnsi="Arial"/>
                <w:sz w:val="20"/>
                <w:szCs w:val="20"/>
                <w:color w:val="auto"/>
              </w:rPr>
              <w:t>Independent Auditors' Report</w:t>
            </w:r>
          </w:p>
        </w:tc>
        <w:tc>
          <w:tcPr>
            <w:tcW w:w="620" w:type="dxa"/>
            <w:vAlign w:val="bottom"/>
          </w:tcPr>
          <w:p>
            <w:pPr>
              <w:jc w:val="center"/>
              <w:ind w:left="141"/>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284"/>
        </w:trPr>
        <w:tc>
          <w:tcPr>
            <w:tcW w:w="7980" w:type="dxa"/>
            <w:vAlign w:val="bottom"/>
          </w:tcPr>
          <w:p>
            <w:pPr>
              <w:spacing w:after="0"/>
              <w:rPr>
                <w:sz w:val="20"/>
                <w:szCs w:val="20"/>
                <w:color w:val="auto"/>
              </w:rPr>
            </w:pPr>
            <w:r>
              <w:rPr>
                <w:rFonts w:ascii="Arial" w:cs="Arial" w:eastAsia="Arial" w:hAnsi="Arial"/>
                <w:sz w:val="20"/>
                <w:szCs w:val="20"/>
                <w:color w:val="auto"/>
              </w:rPr>
              <w:t>Consolidated Balance Sheets — December 31, 2018 and 2017</w:t>
            </w:r>
          </w:p>
        </w:tc>
        <w:tc>
          <w:tcPr>
            <w:tcW w:w="620" w:type="dxa"/>
            <w:vAlign w:val="bottom"/>
            <w:vMerge w:val="restart"/>
          </w:tcPr>
          <w:p>
            <w:pPr>
              <w:jc w:val="center"/>
              <w:ind w:left="141"/>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r>
        <w:trPr>
          <w:trHeight w:val="176"/>
        </w:trPr>
        <w:tc>
          <w:tcPr>
            <w:tcW w:w="79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0"/>
                <w:szCs w:val="20"/>
                <w:color w:val="auto"/>
              </w:rPr>
            </w:pPr>
            <w:r>
              <w:rPr>
                <w:rFonts w:ascii="Arial" w:cs="Arial" w:eastAsia="Arial" w:hAnsi="Arial"/>
                <w:sz w:val="20"/>
                <w:szCs w:val="20"/>
                <w:color w:val="auto"/>
                <w:w w:val="94"/>
              </w:rPr>
              <w:t>Consolidated Statements of Operations — Year ended December 31, 2018 and the period from</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0"/>
                <w:szCs w:val="20"/>
                <w:color w:val="auto"/>
              </w:rPr>
            </w:pPr>
            <w:r>
              <w:rPr>
                <w:rFonts w:ascii="Arial" w:cs="Arial" w:eastAsia="Arial" w:hAnsi="Arial"/>
                <w:sz w:val="20"/>
                <w:szCs w:val="20"/>
                <w:color w:val="auto"/>
              </w:rPr>
              <w:t>September 26, 2017 through December 31, 2017</w:t>
            </w:r>
          </w:p>
        </w:tc>
        <w:tc>
          <w:tcPr>
            <w:tcW w:w="620" w:type="dxa"/>
            <w:vAlign w:val="bottom"/>
          </w:tcPr>
          <w:p>
            <w:pPr>
              <w:jc w:val="center"/>
              <w:ind w:left="141"/>
              <w:spacing w:after="0"/>
              <w:rPr>
                <w:sz w:val="20"/>
                <w:szCs w:val="20"/>
                <w:color w:val="auto"/>
              </w:rPr>
            </w:pPr>
            <w:r>
              <w:rPr>
                <w:rFonts w:ascii="Arial" w:cs="Arial" w:eastAsia="Arial" w:hAnsi="Arial"/>
                <w:sz w:val="20"/>
                <w:szCs w:val="20"/>
                <w:color w:val="auto"/>
                <w:w w:val="89"/>
              </w:rPr>
              <w:t>3</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0"/>
                <w:szCs w:val="20"/>
                <w:color w:val="auto"/>
              </w:rPr>
            </w:pPr>
            <w:r>
              <w:rPr>
                <w:rFonts w:ascii="Arial" w:cs="Arial" w:eastAsia="Arial" w:hAnsi="Arial"/>
                <w:sz w:val="20"/>
                <w:szCs w:val="20"/>
                <w:color w:val="auto"/>
                <w:w w:val="92"/>
              </w:rPr>
              <w:t>Consolidated Statements of Member's Equity (Deficit) — Year ended December 31, 2018 and the</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0"/>
                <w:szCs w:val="20"/>
                <w:color w:val="auto"/>
              </w:rPr>
            </w:pPr>
            <w:r>
              <w:rPr>
                <w:rFonts w:ascii="Arial" w:cs="Arial" w:eastAsia="Arial" w:hAnsi="Arial"/>
                <w:sz w:val="20"/>
                <w:szCs w:val="20"/>
                <w:color w:val="auto"/>
              </w:rPr>
              <w:t>period from September 26, 2017 through December 31, 2017</w:t>
            </w:r>
          </w:p>
        </w:tc>
        <w:tc>
          <w:tcPr>
            <w:tcW w:w="620" w:type="dxa"/>
            <w:vAlign w:val="bottom"/>
          </w:tcPr>
          <w:p>
            <w:pPr>
              <w:jc w:val="center"/>
              <w:ind w:left="141"/>
              <w:spacing w:after="0"/>
              <w:rPr>
                <w:sz w:val="20"/>
                <w:szCs w:val="20"/>
                <w:color w:val="auto"/>
              </w:rPr>
            </w:pPr>
            <w:r>
              <w:rPr>
                <w:rFonts w:ascii="Arial" w:cs="Arial" w:eastAsia="Arial" w:hAnsi="Arial"/>
                <w:sz w:val="20"/>
                <w:szCs w:val="20"/>
                <w:color w:val="auto"/>
                <w:w w:val="89"/>
              </w:rPr>
              <w:t>4</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0"/>
                <w:szCs w:val="20"/>
                <w:color w:val="auto"/>
              </w:rPr>
            </w:pPr>
            <w:r>
              <w:rPr>
                <w:rFonts w:ascii="Arial" w:cs="Arial" w:eastAsia="Arial" w:hAnsi="Arial"/>
                <w:sz w:val="20"/>
                <w:szCs w:val="20"/>
                <w:color w:val="auto"/>
                <w:w w:val="93"/>
              </w:rPr>
              <w:t>Consolidated Statements of Cash Flows — Year ended December 31, 2018 and the period from</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0"/>
                <w:szCs w:val="20"/>
                <w:color w:val="auto"/>
              </w:rPr>
            </w:pPr>
            <w:r>
              <w:rPr>
                <w:rFonts w:ascii="Arial" w:cs="Arial" w:eastAsia="Arial" w:hAnsi="Arial"/>
                <w:sz w:val="20"/>
                <w:szCs w:val="20"/>
                <w:color w:val="auto"/>
              </w:rPr>
              <w:t>September 26, 2017 through December 31, 2017</w:t>
            </w:r>
          </w:p>
        </w:tc>
        <w:tc>
          <w:tcPr>
            <w:tcW w:w="620" w:type="dxa"/>
            <w:vAlign w:val="bottom"/>
          </w:tcPr>
          <w:p>
            <w:pPr>
              <w:jc w:val="center"/>
              <w:ind w:left="141"/>
              <w:spacing w:after="0"/>
              <w:rPr>
                <w:sz w:val="20"/>
                <w:szCs w:val="20"/>
                <w:color w:val="auto"/>
              </w:rPr>
            </w:pPr>
            <w:r>
              <w:rPr>
                <w:rFonts w:ascii="Arial" w:cs="Arial" w:eastAsia="Arial" w:hAnsi="Arial"/>
                <w:sz w:val="20"/>
                <w:szCs w:val="20"/>
                <w:color w:val="auto"/>
                <w:w w:val="89"/>
              </w:rPr>
              <w:t>5</w:t>
            </w:r>
          </w:p>
        </w:tc>
        <w:tc>
          <w:tcPr>
            <w:tcW w:w="0" w:type="dxa"/>
            <w:vAlign w:val="bottom"/>
          </w:tcPr>
          <w:p>
            <w:pPr>
              <w:spacing w:after="0"/>
              <w:rPr>
                <w:sz w:val="1"/>
                <w:szCs w:val="1"/>
                <w:color w:val="auto"/>
              </w:rPr>
            </w:pPr>
          </w:p>
        </w:tc>
      </w:tr>
    </w:tbl>
    <w:p>
      <w:pPr>
        <w:ind w:left="160"/>
        <w:spacing w:after="0" w:line="234" w:lineRule="auto"/>
        <w:rPr>
          <w:sz w:val="20"/>
          <w:szCs w:val="20"/>
          <w:color w:val="auto"/>
        </w:rPr>
      </w:pPr>
      <w:r>
        <w:rPr>
          <w:rFonts w:ascii="Arial" w:cs="Arial" w:eastAsia="Arial" w:hAnsi="Arial"/>
          <w:sz w:val="20"/>
          <w:szCs w:val="20"/>
          <w:color w:val="auto"/>
        </w:rPr>
        <w:t>Notes to Consolidated Financial Statements</w:t>
      </w:r>
    </w:p>
    <w:p>
      <w:pPr>
        <w:spacing w:after="0" w:line="1" w:lineRule="exact"/>
        <w:rPr>
          <w:sz w:val="20"/>
          <w:szCs w:val="20"/>
          <w:color w:val="auto"/>
        </w:rPr>
      </w:pPr>
    </w:p>
    <w:p>
      <w:pPr>
        <w:ind w:left="85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9019"/>
          </w:cols>
          <w:pgMar w:left="1440" w:top="576" w:right="1440"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Independent Auditor's Report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Members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DGPV HoldCo 3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Financial Statements</w:t>
      </w:r>
    </w:p>
    <w:p>
      <w:pPr>
        <w:spacing w:after="0" w:line="9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have audited the accompanying consolidated financial statements of DGPV HoldCo 3 LLC and its subsidiaries, which comprise the consolidated balance sheet as of December 31, 2018, and the related consolidated statements of operations, members’ equity (deficit), and cash flows for the year then ended, and the related notes to the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Responsibility for the Financial Statements</w:t>
      </w:r>
    </w:p>
    <w:p>
      <w:pPr>
        <w:spacing w:after="0" w:line="9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consolidated financial statements in accordance with U.S. generally accepted accounting principles; this includes the design, implementation, and maintenance of internal control relevant to the preparation and fair presentation of consolidated financial statements that are free from material misstatement, whether due to fraud or error.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Auditors’ Responsibility</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w:t>
      </w:r>
    </w:p>
    <w:p>
      <w:pPr>
        <w:spacing w:after="0" w:line="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our opinion, the 2018 consolidated financial statements referred to above present fairly, in all material respects, the financial position of DGPV HoldCo 3 LLC and its subsidiaries as of December 31, 2018, and the results of their operations and their cash flows for the year then ended in accordance with U.S. generally accepted accounting principles.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w:t>
      </w:r>
    </w:p>
    <w:p>
      <w:pPr>
        <w:spacing w:after="0" w:line="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accompanying consolidated balance sheet of DGPV HoldCo 3 as of December 31, 2017, and the related statements of operations, members’ equity (deficit), and cash flows for the period from September 26, 2017 to December 31, 2017 were not audited, reviewed, or compiled by us and, accordingly, we do not express an opinion or any other form of assurance on them.</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(signed) KPMG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March 28, 2019</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6"/>
        </w:trPr>
        <w:tc>
          <w:tcPr>
            <w:tcW w:w="7140" w:type="dxa"/>
            <w:vAlign w:val="bottom"/>
            <w:gridSpan w:val="3"/>
          </w:tcPr>
          <w:p>
            <w:pPr>
              <w:jc w:val="center"/>
              <w:ind w:left="2549"/>
              <w:spacing w:after="0"/>
              <w:rPr>
                <w:sz w:val="20"/>
                <w:szCs w:val="20"/>
                <w:color w:val="auto"/>
              </w:rPr>
            </w:pPr>
            <w:r>
              <w:rPr>
                <w:rFonts w:ascii="Arial" w:cs="Arial" w:eastAsia="Arial" w:hAnsi="Arial"/>
                <w:sz w:val="20"/>
                <w:szCs w:val="20"/>
                <w:b w:val="1"/>
                <w:bCs w:val="1"/>
                <w:color w:val="auto"/>
                <w:w w:val="98"/>
              </w:rPr>
              <w:t>DGPV HOLDCO 3 LLC AND SUBSIDIARIES</w:t>
            </w: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420" w:type="dxa"/>
            <w:vAlign w:val="bottom"/>
          </w:tcPr>
          <w:p>
            <w:pPr>
              <w:jc w:val="center"/>
              <w:ind w:left="3269"/>
              <w:spacing w:after="0"/>
              <w:rPr>
                <w:sz w:val="20"/>
                <w:szCs w:val="20"/>
                <w:color w:val="auto"/>
              </w:rPr>
            </w:pPr>
            <w:r>
              <w:rPr>
                <w:rFonts w:ascii="Arial" w:cs="Arial" w:eastAsia="Arial" w:hAnsi="Arial"/>
                <w:sz w:val="20"/>
                <w:szCs w:val="20"/>
                <w:color w:val="auto"/>
                <w:w w:val="87"/>
              </w:rPr>
              <w:t>Consolidated Balance Sheets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20" w:type="dxa"/>
            <w:vAlign w:val="bottom"/>
          </w:tcPr>
          <w:p>
            <w:pPr>
              <w:jc w:val="center"/>
              <w:ind w:left="3269"/>
              <w:spacing w:after="0"/>
              <w:rPr>
                <w:sz w:val="20"/>
                <w:szCs w:val="20"/>
                <w:color w:val="auto"/>
              </w:rPr>
            </w:pPr>
            <w:r>
              <w:rPr>
                <w:rFonts w:ascii="Arial" w:cs="Arial" w:eastAsia="Arial" w:hAnsi="Arial"/>
                <w:sz w:val="20"/>
                <w:szCs w:val="20"/>
                <w:color w:val="auto"/>
                <w:w w:val="88"/>
              </w:rPr>
              <w:t>December 31, 2018 and 2017</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20" w:type="dxa"/>
            <w:vAlign w:val="bottom"/>
          </w:tcPr>
          <w:p>
            <w:pPr>
              <w:jc w:val="center"/>
              <w:ind w:left="3269"/>
              <w:spacing w:after="0"/>
              <w:rPr>
                <w:sz w:val="20"/>
                <w:szCs w:val="20"/>
                <w:color w:val="auto"/>
              </w:rPr>
            </w:pPr>
            <w:r>
              <w:rPr>
                <w:rFonts w:ascii="Arial" w:cs="Arial" w:eastAsia="Arial" w:hAnsi="Arial"/>
                <w:sz w:val="20"/>
                <w:szCs w:val="20"/>
                <w:color w:val="auto"/>
                <w:w w:val="89"/>
              </w:rPr>
              <w:t>(In thousands)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420" w:type="dxa"/>
            <w:vAlign w:val="bottom"/>
          </w:tcPr>
          <w:p>
            <w:pPr>
              <w:ind w:left="3100"/>
              <w:spacing w:after="0"/>
              <w:rPr>
                <w:sz w:val="20"/>
                <w:szCs w:val="20"/>
                <w:color w:val="auto"/>
              </w:rPr>
            </w:pPr>
            <w:r>
              <w:rPr>
                <w:rFonts w:ascii="Arial" w:cs="Arial" w:eastAsia="Arial" w:hAnsi="Arial"/>
                <w:sz w:val="20"/>
                <w:szCs w:val="20"/>
                <w:b w:val="1"/>
                <w:bCs w:val="1"/>
                <w:color w:val="auto"/>
              </w:rPr>
              <w:t>Assets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410"/>
              <w:spacing w:after="0"/>
              <w:rPr>
                <w:sz w:val="20"/>
                <w:szCs w:val="20"/>
                <w:color w:val="auto"/>
              </w:rPr>
            </w:pPr>
            <w:r>
              <w:rPr>
                <w:rFonts w:ascii="Arial" w:cs="Arial" w:eastAsia="Arial" w:hAnsi="Arial"/>
                <w:sz w:val="20"/>
                <w:szCs w:val="20"/>
                <w:b w:val="1"/>
                <w:bCs w:val="1"/>
                <w:color w:val="auto"/>
              </w:rPr>
              <w:t>2018</w:t>
            </w:r>
          </w:p>
        </w:tc>
        <w:tc>
          <w:tcPr>
            <w:tcW w:w="180" w:type="dxa"/>
            <w:vAlign w:val="bottom"/>
          </w:tcPr>
          <w:p>
            <w:pPr>
              <w:spacing w:after="0"/>
              <w:rPr>
                <w:sz w:val="24"/>
                <w:szCs w:val="24"/>
                <w:color w:val="auto"/>
              </w:rPr>
            </w:pPr>
          </w:p>
        </w:tc>
        <w:tc>
          <w:tcPr>
            <w:tcW w:w="1360" w:type="dxa"/>
            <w:vAlign w:val="bottom"/>
          </w:tcPr>
          <w:p>
            <w:pPr>
              <w:jc w:val="right"/>
              <w:ind w:right="350"/>
              <w:spacing w:after="0"/>
              <w:rPr>
                <w:sz w:val="20"/>
                <w:szCs w:val="20"/>
                <w:color w:val="auto"/>
              </w:rPr>
            </w:pPr>
            <w:r>
              <w:rPr>
                <w:rFonts w:ascii="Arial" w:cs="Arial" w:eastAsia="Arial" w:hAnsi="Arial"/>
                <w:sz w:val="20"/>
                <w:szCs w:val="20"/>
                <w:b w:val="1"/>
                <w:bCs w:val="1"/>
                <w:color w:val="auto"/>
              </w:rPr>
              <w:t>2017*</w:t>
            </w:r>
          </w:p>
        </w:tc>
        <w:tc>
          <w:tcPr>
            <w:tcW w:w="0" w:type="dxa"/>
            <w:vAlign w:val="bottom"/>
          </w:tcPr>
          <w:p>
            <w:pPr>
              <w:spacing w:after="0"/>
              <w:rPr>
                <w:sz w:val="1"/>
                <w:szCs w:val="1"/>
                <w:color w:val="auto"/>
              </w:rPr>
            </w:pPr>
          </w:p>
        </w:tc>
      </w:tr>
      <w:tr>
        <w:trPr>
          <w:trHeight w:val="23"/>
        </w:trPr>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Cash</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5,035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Restricted cash</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16,022</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Accounts receivable – trade, net</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7,942</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receivable – affiliate</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Derivative instruments</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Prepayments and other current assets</w:t>
            </w:r>
          </w:p>
        </w:tc>
        <w:tc>
          <w:tcPr>
            <w:tcW w:w="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7"/>
        </w:trPr>
        <w:tc>
          <w:tcPr>
            <w:tcW w:w="6420" w:type="dxa"/>
            <w:vAlign w:val="bottom"/>
          </w:tcPr>
          <w:p>
            <w:pPr>
              <w:ind w:left="2480"/>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29,941</w:t>
            </w:r>
          </w:p>
        </w:tc>
        <w:tc>
          <w:tcPr>
            <w:tcW w:w="180" w:type="dxa"/>
            <w:vAlign w:val="bottom"/>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6,981</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247,759</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132,240</w:t>
            </w:r>
          </w:p>
        </w:tc>
        <w:tc>
          <w:tcPr>
            <w:tcW w:w="0" w:type="dxa"/>
            <w:vAlign w:val="bottom"/>
          </w:tcPr>
          <w:p>
            <w:pPr>
              <w:spacing w:after="0"/>
              <w:rPr>
                <w:sz w:val="1"/>
                <w:szCs w:val="1"/>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Intangible asset for power purchase agreement, net</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1,427</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1,489</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20" w:type="dxa"/>
            <w:vAlign w:val="bottom"/>
            <w:tcBorders>
              <w:bottom w:val="single" w:sz="8" w:color="CCEEFF"/>
            </w:tcBorders>
            <w:shd w:val="clear" w:color="auto" w:fill="CCEEFF"/>
          </w:tcPr>
          <w:p>
            <w:pPr>
              <w:ind w:left="248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280,926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141,175</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2120"/>
              <w:spacing w:after="0"/>
              <w:rPr>
                <w:sz w:val="20"/>
                <w:szCs w:val="20"/>
                <w:color w:val="auto"/>
              </w:rPr>
            </w:pPr>
            <w:r>
              <w:rPr>
                <w:rFonts w:ascii="Arial" w:cs="Arial" w:eastAsia="Arial" w:hAnsi="Arial"/>
                <w:sz w:val="18"/>
                <w:szCs w:val="18"/>
                <w:b w:val="1"/>
                <w:bCs w:val="1"/>
                <w:color w:val="auto"/>
              </w:rPr>
              <w:t>Liabilities and Member's Equity</w:t>
            </w: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Short-term debt – affiliate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1,604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27,050</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Accounts payable – trade</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13,342</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payable – affiliate</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6,929</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96,259</w:t>
            </w:r>
          </w:p>
        </w:tc>
        <w:tc>
          <w:tcPr>
            <w:tcW w:w="0" w:type="dxa"/>
            <w:vAlign w:val="bottom"/>
          </w:tcPr>
          <w:p>
            <w:pPr>
              <w:spacing w:after="0"/>
              <w:rPr>
                <w:sz w:val="1"/>
                <w:szCs w:val="1"/>
                <w:color w:val="auto"/>
              </w:rPr>
            </w:pP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Accrued interest expense</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1,141</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Derivative instruments</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20" w:type="dxa"/>
            <w:vAlign w:val="bottom"/>
            <w:tcBorders>
              <w:bottom w:val="single" w:sz="8" w:color="CCEEFF"/>
            </w:tcBorders>
            <w:shd w:val="clear" w:color="auto" w:fill="CCEEFF"/>
          </w:tcPr>
          <w:p>
            <w:pPr>
              <w:ind w:left="2480"/>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50,145</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101,225</w:t>
            </w:r>
          </w:p>
        </w:tc>
        <w:tc>
          <w:tcPr>
            <w:tcW w:w="0" w:type="dxa"/>
            <w:vAlign w:val="bottom"/>
          </w:tcPr>
          <w:p>
            <w:pPr>
              <w:spacing w:after="0"/>
              <w:rPr>
                <w:sz w:val="1"/>
                <w:szCs w:val="1"/>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133,277</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33,215</w:t>
            </w:r>
          </w:p>
        </w:tc>
        <w:tc>
          <w:tcPr>
            <w:tcW w:w="0" w:type="dxa"/>
            <w:vAlign w:val="bottom"/>
          </w:tcPr>
          <w:p>
            <w:pPr>
              <w:spacing w:after="0"/>
              <w:rPr>
                <w:sz w:val="1"/>
                <w:szCs w:val="1"/>
                <w:color w:val="auto"/>
              </w:rPr>
            </w:pP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Derivative instruments</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Deferred rent</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Asset retirement obligations</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1,953</w:t>
            </w: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20" w:type="dxa"/>
            <w:vAlign w:val="bottom"/>
            <w:tcBorders>
              <w:bottom w:val="single" w:sz="8" w:color="CCEEFF"/>
            </w:tcBorders>
            <w:shd w:val="clear" w:color="auto" w:fill="CCEEFF"/>
          </w:tcPr>
          <w:p>
            <w:pPr>
              <w:ind w:left="2480"/>
              <w:spacing w:after="0"/>
              <w:rPr>
                <w:sz w:val="20"/>
                <w:szCs w:val="20"/>
                <w:color w:val="auto"/>
              </w:rPr>
            </w:pPr>
            <w:r>
              <w:rPr>
                <w:rFonts w:ascii="Arial" w:cs="Arial" w:eastAsia="Arial" w:hAnsi="Arial"/>
                <w:sz w:val="18"/>
                <w:szCs w:val="18"/>
                <w:color w:val="auto"/>
              </w:rPr>
              <w:t>Total non-current 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136,633</w:t>
            </w: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34,285</w:t>
            </w:r>
          </w:p>
        </w:tc>
        <w:tc>
          <w:tcPr>
            <w:tcW w:w="0" w:type="dxa"/>
            <w:vAlign w:val="bottom"/>
          </w:tcPr>
          <w:p>
            <w:pPr>
              <w:spacing w:after="0"/>
              <w:rPr>
                <w:sz w:val="1"/>
                <w:szCs w:val="1"/>
                <w:color w:val="auto"/>
              </w:rPr>
            </w:pPr>
          </w:p>
        </w:tc>
      </w:tr>
      <w:tr>
        <w:trPr>
          <w:trHeight w:val="237"/>
        </w:trPr>
        <w:tc>
          <w:tcPr>
            <w:tcW w:w="6420" w:type="dxa"/>
            <w:vAlign w:val="bottom"/>
          </w:tcPr>
          <w:p>
            <w:pPr>
              <w:ind w:left="2480"/>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186,778</w:t>
            </w:r>
          </w:p>
        </w:tc>
        <w:tc>
          <w:tcPr>
            <w:tcW w:w="180" w:type="dxa"/>
            <w:vAlign w:val="bottom"/>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135,510</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6,517</w:t>
            </w:r>
          </w:p>
        </w:tc>
        <w:tc>
          <w:tcPr>
            <w:tcW w:w="0" w:type="dxa"/>
            <w:vAlign w:val="bottom"/>
          </w:tcPr>
          <w:p>
            <w:pPr>
              <w:spacing w:after="0"/>
              <w:rPr>
                <w:sz w:val="1"/>
                <w:szCs w:val="1"/>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Member's equity (deficit)</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96,094</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20" w:type="dxa"/>
            <w:vAlign w:val="bottom"/>
          </w:tcPr>
          <w:p>
            <w:pPr>
              <w:ind w:left="2480"/>
              <w:spacing w:after="0"/>
              <w:rPr>
                <w:sz w:val="20"/>
                <w:szCs w:val="20"/>
                <w:color w:val="auto"/>
              </w:rPr>
            </w:pPr>
            <w:r>
              <w:rPr>
                <w:rFonts w:ascii="Arial" w:cs="Arial" w:eastAsia="Arial" w:hAnsi="Arial"/>
                <w:sz w:val="18"/>
                <w:szCs w:val="18"/>
                <w:color w:val="auto"/>
              </w:rPr>
              <w:t>Total equity</w:t>
            </w:r>
          </w:p>
        </w:tc>
        <w:tc>
          <w:tcPr>
            <w:tcW w:w="4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94,442</w:t>
            </w:r>
          </w:p>
        </w:tc>
        <w:tc>
          <w:tcPr>
            <w:tcW w:w="18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20" w:type="dxa"/>
            <w:vAlign w:val="bottom"/>
            <w:tcBorders>
              <w:bottom w:val="single" w:sz="8" w:color="CCEEFF"/>
            </w:tcBorders>
            <w:shd w:val="clear" w:color="auto" w:fill="CCEEFF"/>
          </w:tcPr>
          <w:p>
            <w:pPr>
              <w:ind w:left="2480"/>
              <w:spacing w:after="0"/>
              <w:rPr>
                <w:sz w:val="20"/>
                <w:szCs w:val="20"/>
                <w:color w:val="auto"/>
              </w:rPr>
            </w:pPr>
            <w:r>
              <w:rPr>
                <w:rFonts w:ascii="Arial" w:cs="Arial" w:eastAsia="Arial" w:hAnsi="Arial"/>
                <w:sz w:val="18"/>
                <w:szCs w:val="18"/>
                <w:color w:val="auto"/>
              </w:rPr>
              <w:t>Total liabilities and member's equity</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280,926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141,175</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20"/>
              <w:spacing w:after="0"/>
              <w:rPr>
                <w:sz w:val="20"/>
                <w:szCs w:val="20"/>
                <w:color w:val="auto"/>
              </w:rPr>
            </w:pPr>
            <w:r>
              <w:rPr>
                <w:rFonts w:ascii="Arial" w:cs="Arial" w:eastAsia="Arial" w:hAnsi="Arial"/>
                <w:sz w:val="18"/>
                <w:szCs w:val="18"/>
                <w:color w:val="auto"/>
              </w:rPr>
              <w:t>See accompanying notes to consolidated financial statements.</w:t>
            </w: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20" w:type="dxa"/>
            <w:vAlign w:val="bottom"/>
          </w:tcPr>
          <w:p>
            <w:pPr>
              <w:ind w:left="20"/>
              <w:spacing w:after="0"/>
              <w:rPr>
                <w:sz w:val="20"/>
                <w:szCs w:val="20"/>
                <w:color w:val="auto"/>
              </w:rPr>
            </w:pPr>
            <w:r>
              <w:rPr>
                <w:rFonts w:ascii="Arial" w:cs="Arial" w:eastAsia="Arial" w:hAnsi="Arial"/>
                <w:sz w:val="18"/>
                <w:szCs w:val="18"/>
                <w:color w:val="auto"/>
              </w:rPr>
              <w:t>* Not covered by the report included herein.</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00"/>
          </w:cols>
          <w:pgMar w:left="1060" w:top="738" w:right="1039" w:bottom="1440" w:gutter="0" w:footer="0" w:header="0"/>
        </w:sect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800"/>
          </w:cols>
          <w:pgMar w:left="1060" w:top="738" w:right="10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56"/>
        </w:trPr>
        <w:tc>
          <w:tcPr>
            <w:tcW w:w="7920" w:type="dxa"/>
            <w:vAlign w:val="bottom"/>
            <w:gridSpan w:val="3"/>
          </w:tcPr>
          <w:p>
            <w:pPr>
              <w:jc w:val="center"/>
              <w:ind w:left="1608"/>
              <w:spacing w:after="0"/>
              <w:rPr>
                <w:sz w:val="20"/>
                <w:szCs w:val="20"/>
                <w:color w:val="auto"/>
              </w:rPr>
            </w:pPr>
            <w:r>
              <w:rPr>
                <w:rFonts w:ascii="Arial" w:cs="Arial" w:eastAsia="Arial" w:hAnsi="Arial"/>
                <w:sz w:val="20"/>
                <w:szCs w:val="20"/>
                <w:b w:val="1"/>
                <w:bCs w:val="1"/>
                <w:color w:val="auto"/>
                <w:w w:val="98"/>
              </w:rPr>
              <w:t>DGPV HOLDCO 3 LLC AND SUBSIDIARIES</w:t>
            </w:r>
          </w:p>
        </w:tc>
        <w:tc>
          <w:tcPr>
            <w:tcW w:w="3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500" w:type="dxa"/>
            <w:vAlign w:val="bottom"/>
            <w:gridSpan w:val="2"/>
          </w:tcPr>
          <w:p>
            <w:pPr>
              <w:jc w:val="center"/>
              <w:ind w:left="3028"/>
              <w:spacing w:after="0"/>
              <w:rPr>
                <w:sz w:val="20"/>
                <w:szCs w:val="20"/>
                <w:color w:val="auto"/>
              </w:rPr>
            </w:pPr>
            <w:r>
              <w:rPr>
                <w:rFonts w:ascii="Arial" w:cs="Arial" w:eastAsia="Arial" w:hAnsi="Arial"/>
                <w:sz w:val="20"/>
                <w:szCs w:val="20"/>
                <w:color w:val="auto"/>
                <w:w w:val="88"/>
              </w:rPr>
              <w:t>Consolidated Statements of Operations</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40" w:type="dxa"/>
            <w:vAlign w:val="bottom"/>
          </w:tcPr>
          <w:p>
            <w:pPr>
              <w:jc w:val="center"/>
              <w:ind w:left="3688"/>
              <w:spacing w:after="0"/>
              <w:rPr>
                <w:sz w:val="20"/>
                <w:szCs w:val="20"/>
                <w:color w:val="auto"/>
              </w:rPr>
            </w:pPr>
            <w:r>
              <w:rPr>
                <w:rFonts w:ascii="Arial" w:cs="Arial" w:eastAsia="Arial" w:hAnsi="Arial"/>
                <w:sz w:val="20"/>
                <w:szCs w:val="20"/>
                <w:color w:val="auto"/>
                <w:w w:val="89"/>
              </w:rPr>
              <w:t>(In thousands)</w:t>
            </w: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87"/>
              </w:rPr>
              <w:t>September 26,</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88"/>
              </w:rPr>
              <w:t>Year ended</w:t>
            </w:r>
          </w:p>
        </w:tc>
        <w:tc>
          <w:tcPr>
            <w:tcW w:w="3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89"/>
              </w:rPr>
              <w:t>through</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89"/>
              </w:rPr>
              <w:t>December 31,</w:t>
            </w:r>
          </w:p>
        </w:tc>
        <w:tc>
          <w:tcPr>
            <w:tcW w:w="3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89"/>
              </w:rPr>
              <w:t>December 31,</w:t>
            </w:r>
          </w:p>
        </w:tc>
        <w:tc>
          <w:tcPr>
            <w:tcW w:w="0" w:type="dxa"/>
            <w:vAlign w:val="bottom"/>
          </w:tcPr>
          <w:p>
            <w:pPr>
              <w:spacing w:after="0"/>
              <w:rPr>
                <w:sz w:val="1"/>
                <w:szCs w:val="1"/>
                <w:color w:val="auto"/>
              </w:rPr>
            </w:pPr>
          </w:p>
        </w:tc>
      </w:tr>
      <w:tr>
        <w:trPr>
          <w:trHeight w:val="256"/>
        </w:trPr>
        <w:tc>
          <w:tcPr>
            <w:tcW w:w="5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89"/>
              </w:rPr>
              <w:t>2018</w:t>
            </w:r>
          </w:p>
        </w:tc>
        <w:tc>
          <w:tcPr>
            <w:tcW w:w="3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20"/>
                <w:szCs w:val="20"/>
                <w:b w:val="1"/>
                <w:bCs w:val="1"/>
                <w:color w:val="auto"/>
                <w:w w:val="91"/>
              </w:rPr>
              <w:t>2017*</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5"/>
              </w:rPr>
              <w:t>(Unaudited)</w:t>
            </w: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Electric revenue</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7,417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Renewable energy certificates</w:t>
            </w: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2,895</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Renewable energy certificates – affiliate</w:t>
            </w:r>
          </w:p>
        </w:tc>
        <w:tc>
          <w:tcPr>
            <w:tcW w:w="660" w:type="dxa"/>
            <w:vAlign w:val="bottom"/>
          </w:tcPr>
          <w:p>
            <w:pPr>
              <w:spacing w:after="0"/>
              <w:rPr>
                <w:sz w:val="21"/>
                <w:szCs w:val="21"/>
                <w:color w:val="auto"/>
              </w:rPr>
            </w:pP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6,804</w:t>
            </w:r>
          </w:p>
        </w:tc>
        <w:tc>
          <w:tcPr>
            <w:tcW w:w="300" w:type="dxa"/>
            <w:vAlign w:val="bottom"/>
          </w:tcPr>
          <w:p>
            <w:pPr>
              <w:spacing w:after="0"/>
              <w:rPr>
                <w:sz w:val="21"/>
                <w:szCs w:val="21"/>
                <w:color w:val="auto"/>
              </w:rPr>
            </w:pP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Government incentives</w:t>
            </w:r>
          </w:p>
        </w:tc>
        <w:tc>
          <w:tcPr>
            <w:tcW w:w="6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83</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40" w:type="dxa"/>
            <w:vAlign w:val="bottom"/>
          </w:tcPr>
          <w:p>
            <w:pPr>
              <w:ind w:left="1240"/>
              <w:spacing w:after="0"/>
              <w:rPr>
                <w:sz w:val="20"/>
                <w:szCs w:val="20"/>
                <w:color w:val="auto"/>
              </w:rPr>
            </w:pPr>
            <w:r>
              <w:rPr>
                <w:rFonts w:ascii="Arial" w:cs="Arial" w:eastAsia="Arial" w:hAnsi="Arial"/>
                <w:sz w:val="18"/>
                <w:szCs w:val="18"/>
                <w:color w:val="auto"/>
              </w:rPr>
              <w:t>Total operating revenues</w:t>
            </w:r>
          </w:p>
        </w:tc>
        <w:tc>
          <w:tcPr>
            <w:tcW w:w="660" w:type="dxa"/>
            <w:vAlign w:val="bottom"/>
          </w:tcPr>
          <w:p>
            <w:pPr>
              <w:spacing w:after="0"/>
              <w:rPr>
                <w:sz w:val="20"/>
                <w:szCs w:val="20"/>
                <w:color w:val="auto"/>
              </w:rPr>
            </w:pPr>
          </w:p>
        </w:tc>
        <w:tc>
          <w:tcPr>
            <w:tcW w:w="1420" w:type="dxa"/>
            <w:vAlign w:val="bottom"/>
            <w:tcBorders>
              <w:top w:val="single" w:sz="8" w:color="auto"/>
            </w:tcBorders>
          </w:tcPr>
          <w:p>
            <w:pPr>
              <w:jc w:val="right"/>
              <w:ind w:right="9"/>
              <w:spacing w:after="0"/>
              <w:rPr>
                <w:sz w:val="20"/>
                <w:szCs w:val="20"/>
                <w:color w:val="auto"/>
              </w:rPr>
            </w:pPr>
            <w:r>
              <w:rPr>
                <w:rFonts w:ascii="Arial" w:cs="Arial" w:eastAsia="Arial" w:hAnsi="Arial"/>
                <w:sz w:val="18"/>
                <w:szCs w:val="18"/>
                <w:color w:val="auto"/>
              </w:rPr>
              <w:t>17,199</w:t>
            </w:r>
          </w:p>
        </w:tc>
        <w:tc>
          <w:tcPr>
            <w:tcW w:w="300" w:type="dxa"/>
            <w:vAlign w:val="bottom"/>
          </w:tcPr>
          <w:p>
            <w:pPr>
              <w:spacing w:after="0"/>
              <w:rPr>
                <w:sz w:val="20"/>
                <w:szCs w:val="20"/>
                <w:color w:val="auto"/>
              </w:rPr>
            </w:pPr>
          </w:p>
        </w:tc>
        <w:tc>
          <w:tcPr>
            <w:tcW w:w="1420" w:type="dxa"/>
            <w:vAlign w:val="bottom"/>
            <w:tcBorders>
              <w:top w:val="single" w:sz="8" w:color="auto"/>
            </w:tcBorders>
          </w:tcPr>
          <w:p>
            <w:pPr>
              <w:jc w:val="right"/>
              <w:ind w:right="9"/>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costs and expenses:</w:t>
            </w: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Cost of operations</w:t>
            </w:r>
          </w:p>
        </w:tc>
        <w:tc>
          <w:tcPr>
            <w:tcW w:w="660" w:type="dxa"/>
            <w:vAlign w:val="bottom"/>
          </w:tcPr>
          <w:p>
            <w:pPr>
              <w:spacing w:after="0"/>
              <w:rPr>
                <w:sz w:val="21"/>
                <w:szCs w:val="21"/>
                <w:color w:val="auto"/>
              </w:rPr>
            </w:pP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3,604</w:t>
            </w:r>
          </w:p>
        </w:tc>
        <w:tc>
          <w:tcPr>
            <w:tcW w:w="300" w:type="dxa"/>
            <w:vAlign w:val="bottom"/>
          </w:tcPr>
          <w:p>
            <w:pPr>
              <w:spacing w:after="0"/>
              <w:rPr>
                <w:sz w:val="21"/>
                <w:szCs w:val="21"/>
                <w:color w:val="auto"/>
              </w:rPr>
            </w:pP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operations – affiliate</w:t>
            </w: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1,199</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Depreciation and accretion</w:t>
            </w:r>
          </w:p>
        </w:tc>
        <w:tc>
          <w:tcPr>
            <w:tcW w:w="660" w:type="dxa"/>
            <w:vAlign w:val="bottom"/>
          </w:tcPr>
          <w:p>
            <w:pPr>
              <w:spacing w:after="0"/>
              <w:rPr>
                <w:sz w:val="21"/>
                <w:szCs w:val="21"/>
                <w:color w:val="auto"/>
              </w:rPr>
            </w:pP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5,234</w:t>
            </w:r>
          </w:p>
        </w:tc>
        <w:tc>
          <w:tcPr>
            <w:tcW w:w="300" w:type="dxa"/>
            <w:vAlign w:val="bottom"/>
          </w:tcPr>
          <w:p>
            <w:pPr>
              <w:spacing w:after="0"/>
              <w:rPr>
                <w:sz w:val="21"/>
                <w:szCs w:val="21"/>
                <w:color w:val="auto"/>
              </w:rPr>
            </w:pP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Total operating costs and expenses</w:t>
            </w:r>
          </w:p>
        </w:tc>
        <w:tc>
          <w:tcPr>
            <w:tcW w:w="6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10,037</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7"/>
        </w:trPr>
        <w:tc>
          <w:tcPr>
            <w:tcW w:w="5840" w:type="dxa"/>
            <w:vAlign w:val="bottom"/>
          </w:tcPr>
          <w:p>
            <w:pPr>
              <w:ind w:left="1240"/>
              <w:spacing w:after="0"/>
              <w:rPr>
                <w:sz w:val="20"/>
                <w:szCs w:val="20"/>
                <w:color w:val="auto"/>
              </w:rPr>
            </w:pPr>
            <w:r>
              <w:rPr>
                <w:rFonts w:ascii="Arial" w:cs="Arial" w:eastAsia="Arial" w:hAnsi="Arial"/>
                <w:sz w:val="18"/>
                <w:szCs w:val="18"/>
                <w:color w:val="auto"/>
              </w:rPr>
              <w:t>Operating income</w:t>
            </w:r>
          </w:p>
        </w:tc>
        <w:tc>
          <w:tcPr>
            <w:tcW w:w="660" w:type="dxa"/>
            <w:vAlign w:val="bottom"/>
          </w:tcPr>
          <w:p>
            <w:pPr>
              <w:spacing w:after="0"/>
              <w:rPr>
                <w:sz w:val="20"/>
                <w:szCs w:val="20"/>
                <w:color w:val="auto"/>
              </w:rPr>
            </w:pPr>
          </w:p>
        </w:tc>
        <w:tc>
          <w:tcPr>
            <w:tcW w:w="1420" w:type="dxa"/>
            <w:vAlign w:val="bottom"/>
            <w:tcBorders>
              <w:top w:val="single" w:sz="8" w:color="auto"/>
            </w:tcBorders>
          </w:tcPr>
          <w:p>
            <w:pPr>
              <w:jc w:val="right"/>
              <w:ind w:right="9"/>
              <w:spacing w:after="0"/>
              <w:rPr>
                <w:sz w:val="20"/>
                <w:szCs w:val="20"/>
                <w:color w:val="auto"/>
              </w:rPr>
            </w:pPr>
            <w:r>
              <w:rPr>
                <w:rFonts w:ascii="Arial" w:cs="Arial" w:eastAsia="Arial" w:hAnsi="Arial"/>
                <w:sz w:val="18"/>
                <w:szCs w:val="18"/>
                <w:color w:val="auto"/>
              </w:rPr>
              <w:t>7,162</w:t>
            </w:r>
          </w:p>
        </w:tc>
        <w:tc>
          <w:tcPr>
            <w:tcW w:w="300" w:type="dxa"/>
            <w:vAlign w:val="bottom"/>
          </w:tcPr>
          <w:p>
            <w:pPr>
              <w:spacing w:after="0"/>
              <w:rPr>
                <w:sz w:val="20"/>
                <w:szCs w:val="20"/>
                <w:color w:val="auto"/>
              </w:rPr>
            </w:pPr>
          </w:p>
        </w:tc>
        <w:tc>
          <w:tcPr>
            <w:tcW w:w="1420" w:type="dxa"/>
            <w:vAlign w:val="bottom"/>
            <w:tcBorders>
              <w:top w:val="single" w:sz="8" w:color="auto"/>
            </w:tcBorders>
          </w:tcPr>
          <w:p>
            <w:pPr>
              <w:jc w:val="right"/>
              <w:ind w:right="9"/>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660" w:type="dxa"/>
            <w:vAlign w:val="bottom"/>
          </w:tcPr>
          <w:p>
            <w:pPr>
              <w:spacing w:after="0"/>
              <w:rPr>
                <w:sz w:val="21"/>
                <w:szCs w:val="21"/>
                <w:color w:val="auto"/>
              </w:rPr>
            </w:pP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21"/>
                <w:szCs w:val="21"/>
                <w:color w:val="auto"/>
              </w:rPr>
            </w:pPr>
          </w:p>
        </w:tc>
        <w:tc>
          <w:tcPr>
            <w:tcW w:w="1420" w:type="dxa"/>
            <w:vAlign w:val="bottom"/>
          </w:tcPr>
          <w:p>
            <w:pPr>
              <w:jc w:val="right"/>
              <w:ind w:right="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6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7"/>
        </w:trPr>
        <w:tc>
          <w:tcPr>
            <w:tcW w:w="5840" w:type="dxa"/>
            <w:vAlign w:val="bottom"/>
          </w:tcPr>
          <w:p>
            <w:pPr>
              <w:ind w:left="1240"/>
              <w:spacing w:after="0"/>
              <w:rPr>
                <w:sz w:val="20"/>
                <w:szCs w:val="20"/>
                <w:color w:val="auto"/>
              </w:rPr>
            </w:pPr>
            <w:r>
              <w:rPr>
                <w:rFonts w:ascii="Arial" w:cs="Arial" w:eastAsia="Arial" w:hAnsi="Arial"/>
                <w:sz w:val="18"/>
                <w:szCs w:val="18"/>
                <w:color w:val="auto"/>
              </w:rPr>
              <w:t>Total other expense</w:t>
            </w:r>
          </w:p>
        </w:tc>
        <w:tc>
          <w:tcPr>
            <w:tcW w:w="66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(4,333)</w:t>
            </w:r>
          </w:p>
        </w:tc>
        <w:tc>
          <w:tcPr>
            <w:tcW w:w="3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Net income (loss) before noncontrolling interest</w:t>
            </w: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2,829</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5840" w:type="dxa"/>
            <w:vAlign w:val="bottom"/>
          </w:tcPr>
          <w:p>
            <w:pPr>
              <w:ind w:left="1240"/>
              <w:spacing w:after="0"/>
              <w:rPr>
                <w:sz w:val="20"/>
                <w:szCs w:val="20"/>
                <w:color w:val="auto"/>
              </w:rPr>
            </w:pPr>
            <w:r>
              <w:rPr>
                <w:rFonts w:ascii="Arial" w:cs="Arial" w:eastAsia="Arial" w:hAnsi="Arial"/>
                <w:sz w:val="18"/>
                <w:szCs w:val="18"/>
                <w:color w:val="auto"/>
              </w:rPr>
              <w:t>Less: noncontrolling interest</w:t>
            </w:r>
          </w:p>
        </w:tc>
        <w:tc>
          <w:tcPr>
            <w:tcW w:w="6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(54,498)</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(28,844)</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8"/>
                <w:szCs w:val="18"/>
                <w:color w:val="auto"/>
              </w:rPr>
              <w:t>Net income</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8"/>
                <w:szCs w:val="18"/>
                <w:color w:val="auto"/>
              </w:rPr>
              <w:t>57,327</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8"/>
                <w:szCs w:val="18"/>
                <w:color w:val="auto"/>
              </w:rPr>
              <w:t>28,579</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20"/>
              <w:spacing w:after="0"/>
              <w:rPr>
                <w:sz w:val="20"/>
                <w:szCs w:val="20"/>
                <w:color w:val="auto"/>
              </w:rPr>
            </w:pPr>
            <w:r>
              <w:rPr>
                <w:rFonts w:ascii="Arial" w:cs="Arial" w:eastAsia="Arial" w:hAnsi="Arial"/>
                <w:sz w:val="20"/>
                <w:szCs w:val="20"/>
                <w:color w:val="auto"/>
              </w:rPr>
              <w:t>See accompanying notes to consolidated financial statements.</w:t>
            </w:r>
          </w:p>
        </w:tc>
        <w:tc>
          <w:tcPr>
            <w:tcW w:w="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84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840" w:type="dxa"/>
            <w:vAlign w:val="bottom"/>
          </w:tcPr>
          <w:p>
            <w:pPr>
              <w:ind w:left="20"/>
              <w:spacing w:after="0"/>
              <w:rPr>
                <w:sz w:val="20"/>
                <w:szCs w:val="20"/>
                <w:color w:val="auto"/>
              </w:rPr>
            </w:pPr>
            <w:r>
              <w:rPr>
                <w:rFonts w:ascii="Arial" w:cs="Arial" w:eastAsia="Arial" w:hAnsi="Arial"/>
                <w:sz w:val="20"/>
                <w:szCs w:val="20"/>
                <w:color w:val="auto"/>
              </w:rPr>
              <w:t>*Not covered by the report included herein.</w:t>
            </w: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8"/>
        </w:trPr>
        <w:tc>
          <w:tcPr>
            <w:tcW w:w="5840" w:type="dxa"/>
            <w:vAlign w:val="bottom"/>
          </w:tcPr>
          <w:p>
            <w:pPr>
              <w:jc w:val="center"/>
              <w:ind w:left="3688"/>
              <w:spacing w:after="0"/>
              <w:rPr>
                <w:sz w:val="20"/>
                <w:szCs w:val="20"/>
                <w:color w:val="auto"/>
              </w:rPr>
            </w:pPr>
            <w:r>
              <w:rPr>
                <w:rFonts w:ascii="Arial" w:cs="Arial" w:eastAsia="Arial" w:hAnsi="Arial"/>
                <w:sz w:val="18"/>
                <w:szCs w:val="18"/>
                <w:color w:val="auto"/>
                <w:w w:val="99"/>
              </w:rPr>
              <w:t>3</w:t>
            </w: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640"/>
          </w:cols>
          <w:pgMar w:left="1140" w:top="738" w:right="111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20"/>
          <w:szCs w:val="20"/>
          <w:b w:val="1"/>
          <w:bCs w:val="1"/>
          <w:color w:val="auto"/>
        </w:rPr>
        <w:t>DGPV HOLDCO 3 LLC AND SUBSIDIARIES</w:t>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Consolidated Statements of Members' Equity (Deficit)</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20"/>
                <w:szCs w:val="20"/>
                <w:b w:val="1"/>
                <w:bCs w:val="1"/>
                <w:color w:val="auto"/>
                <w:w w:val="91"/>
              </w:rPr>
              <w:t>Total</w:t>
            </w:r>
          </w:p>
        </w:tc>
        <w:tc>
          <w:tcPr>
            <w:tcW w:w="0" w:type="dxa"/>
            <w:vAlign w:val="bottom"/>
          </w:tcPr>
          <w:p>
            <w:pPr>
              <w:spacing w:after="0"/>
              <w:rPr>
                <w:sz w:val="1"/>
                <w:szCs w:val="1"/>
                <w:color w:val="auto"/>
              </w:rPr>
            </w:pPr>
          </w:p>
        </w:tc>
      </w:tr>
      <w:tr>
        <w:trPr>
          <w:trHeight w:val="266"/>
        </w:trPr>
        <w:tc>
          <w:tcPr>
            <w:tcW w:w="4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Contributed</w:t>
            </w:r>
          </w:p>
        </w:tc>
        <w:tc>
          <w:tcPr>
            <w:tcW w:w="220" w:type="dxa"/>
            <w:vAlign w:val="bottom"/>
          </w:tcPr>
          <w:p>
            <w:pPr>
              <w:spacing w:after="0"/>
              <w:rPr>
                <w:sz w:val="23"/>
                <w:szCs w:val="23"/>
                <w:color w:val="auto"/>
              </w:rPr>
            </w:pPr>
          </w:p>
        </w:tc>
        <w:tc>
          <w:tcPr>
            <w:tcW w:w="1560" w:type="dxa"/>
            <w:vAlign w:val="bottom"/>
            <w:gridSpan w:val="2"/>
          </w:tcPr>
          <w:p>
            <w:pPr>
              <w:ind w:left="320"/>
              <w:spacing w:after="0"/>
              <w:rPr>
                <w:sz w:val="20"/>
                <w:szCs w:val="20"/>
                <w:color w:val="auto"/>
              </w:rPr>
            </w:pPr>
            <w:r>
              <w:rPr>
                <w:rFonts w:ascii="Arial" w:cs="Arial" w:eastAsia="Arial" w:hAnsi="Arial"/>
                <w:sz w:val="18"/>
                <w:szCs w:val="18"/>
                <w:b w:val="1"/>
                <w:bCs w:val="1"/>
                <w:color w:val="auto"/>
              </w:rPr>
              <w:t>Retained</w:t>
            </w: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rPr>
              <w:t>Noncontrolling</w:t>
            </w:r>
          </w:p>
        </w:tc>
        <w:tc>
          <w:tcPr>
            <w:tcW w:w="22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member's</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3"/>
                <w:szCs w:val="23"/>
                <w:color w:val="auto"/>
              </w:rPr>
            </w:pPr>
          </w:p>
        </w:tc>
        <w:tc>
          <w:tcPr>
            <w:tcW w:w="1560" w:type="dxa"/>
            <w:vAlign w:val="bottom"/>
            <w:gridSpan w:val="2"/>
          </w:tcPr>
          <w:p>
            <w:pPr>
              <w:ind w:left="340"/>
              <w:spacing w:after="0"/>
              <w:rPr>
                <w:sz w:val="20"/>
                <w:szCs w:val="20"/>
                <w:color w:val="auto"/>
              </w:rPr>
            </w:pPr>
            <w:r>
              <w:rPr>
                <w:rFonts w:ascii="Arial" w:cs="Arial" w:eastAsia="Arial" w:hAnsi="Arial"/>
                <w:sz w:val="18"/>
                <w:szCs w:val="18"/>
                <w:b w:val="1"/>
                <w:bCs w:val="1"/>
                <w:color w:val="auto"/>
              </w:rPr>
              <w:t>earnings</w:t>
            </w:r>
          </w:p>
        </w:tc>
        <w:tc>
          <w:tcPr>
            <w:tcW w:w="1560" w:type="dxa"/>
            <w:vAlign w:val="bottom"/>
          </w:tcPr>
          <w:p>
            <w:pPr>
              <w:jc w:val="right"/>
              <w:ind w:right="41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equity (deficit)</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Balance at September 26, 2017*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28,579</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28,579</w:t>
            </w:r>
          </w:p>
        </w:tc>
        <w:tc>
          <w:tcPr>
            <w:tcW w:w="0" w:type="dxa"/>
            <w:vAlign w:val="bottom"/>
          </w:tcPr>
          <w:p>
            <w:pPr>
              <w:spacing w:after="0"/>
              <w:rPr>
                <w:sz w:val="1"/>
                <w:szCs w:val="1"/>
                <w:color w:val="auto"/>
              </w:rPr>
            </w:pPr>
          </w:p>
        </w:tc>
      </w:tr>
      <w:tr>
        <w:trPr>
          <w:trHeight w:val="243"/>
        </w:trPr>
        <w:tc>
          <w:tcPr>
            <w:tcW w:w="4200" w:type="dxa"/>
            <w:vAlign w:val="bottom"/>
          </w:tcPr>
          <w:p>
            <w:pPr>
              <w:ind w:left="580"/>
              <w:spacing w:after="0"/>
              <w:rPr>
                <w:sz w:val="20"/>
                <w:szCs w:val="20"/>
                <w:color w:val="auto"/>
              </w:rPr>
            </w:pPr>
            <w:r>
              <w:rPr>
                <w:rFonts w:ascii="Arial" w:cs="Arial" w:eastAsia="Arial" w:hAnsi="Arial"/>
                <w:sz w:val="18"/>
                <w:szCs w:val="18"/>
                <w:color w:val="auto"/>
              </w:rPr>
              <w:t>Cash contributions</w:t>
            </w:r>
          </w:p>
        </w:tc>
        <w:tc>
          <w:tcPr>
            <w:tcW w:w="3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70,904</w:t>
            </w:r>
          </w:p>
        </w:tc>
        <w:tc>
          <w:tcPr>
            <w:tcW w:w="220" w:type="dxa"/>
            <w:vAlign w:val="bottom"/>
          </w:tcPr>
          <w:p>
            <w:pPr>
              <w:spacing w:after="0"/>
              <w:rPr>
                <w:sz w:val="21"/>
                <w:szCs w:val="21"/>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80" w:type="dxa"/>
            <w:vAlign w:val="bottom"/>
          </w:tcPr>
          <w:p>
            <w:pPr>
              <w:jc w:val="right"/>
              <w:ind w:right="9"/>
              <w:spacing w:after="0"/>
              <w:rPr>
                <w:sz w:val="20"/>
                <w:szCs w:val="20"/>
                <w:color w:val="auto"/>
              </w:rPr>
            </w:pPr>
            <w:r>
              <w:rPr>
                <w:rFonts w:ascii="Arial" w:cs="Arial" w:eastAsia="Arial" w:hAnsi="Arial"/>
                <w:sz w:val="18"/>
                <w:szCs w:val="18"/>
                <w:color w:val="auto"/>
              </w:rPr>
              <w:t>70,904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Cash distributions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(37,832)</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(37,832)</w:t>
            </w:r>
          </w:p>
        </w:tc>
        <w:tc>
          <w:tcPr>
            <w:tcW w:w="0" w:type="dxa"/>
            <w:vAlign w:val="bottom"/>
          </w:tcPr>
          <w:p>
            <w:pPr>
              <w:spacing w:after="0"/>
              <w:rPr>
                <w:sz w:val="1"/>
                <w:szCs w:val="1"/>
                <w:color w:val="auto"/>
              </w:rPr>
            </w:pPr>
          </w:p>
        </w:tc>
      </w:tr>
      <w:tr>
        <w:trPr>
          <w:trHeight w:val="243"/>
        </w:trPr>
        <w:tc>
          <w:tcPr>
            <w:tcW w:w="4200" w:type="dxa"/>
            <w:vAlign w:val="bottom"/>
          </w:tcPr>
          <w:p>
            <w:pPr>
              <w:ind w:left="580"/>
              <w:spacing w:after="0"/>
              <w:rPr>
                <w:sz w:val="20"/>
                <w:szCs w:val="20"/>
                <w:color w:val="auto"/>
              </w:rPr>
            </w:pPr>
            <w:r>
              <w:rPr>
                <w:rFonts w:ascii="Arial" w:cs="Arial" w:eastAsia="Arial" w:hAnsi="Arial"/>
                <w:sz w:val="18"/>
                <w:szCs w:val="18"/>
                <w:color w:val="auto"/>
              </w:rPr>
              <w:t>Distributions to Clearway Renew, non-cash</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(61,663)</w:t>
            </w:r>
          </w:p>
        </w:tc>
        <w:tc>
          <w:tcPr>
            <w:tcW w:w="220" w:type="dxa"/>
            <w:vAlign w:val="bottom"/>
          </w:tcPr>
          <w:p>
            <w:pPr>
              <w:spacing w:after="0"/>
              <w:rPr>
                <w:sz w:val="21"/>
                <w:szCs w:val="21"/>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(61,663)</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28,579</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200" w:type="dxa"/>
            <w:vAlign w:val="bottom"/>
          </w:tcPr>
          <w:p>
            <w:pPr>
              <w:ind w:left="580"/>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57,327</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(4,349)</w:t>
            </w:r>
          </w:p>
        </w:tc>
        <w:tc>
          <w:tcPr>
            <w:tcW w:w="220" w:type="dxa"/>
            <w:vAlign w:val="bottom"/>
          </w:tcPr>
          <w:p>
            <w:pPr>
              <w:spacing w:after="0"/>
              <w:rPr>
                <w:sz w:val="21"/>
                <w:szCs w:val="21"/>
                <w:color w:val="auto"/>
              </w:rPr>
            </w:pPr>
          </w:p>
        </w:tc>
        <w:tc>
          <w:tcPr>
            <w:tcW w:w="1680" w:type="dxa"/>
            <w:vAlign w:val="bottom"/>
          </w:tcPr>
          <w:p>
            <w:pPr>
              <w:jc w:val="right"/>
              <w:ind w:right="9"/>
              <w:spacing w:after="0"/>
              <w:rPr>
                <w:sz w:val="20"/>
                <w:szCs w:val="20"/>
                <w:color w:val="auto"/>
              </w:rPr>
            </w:pPr>
            <w:r>
              <w:rPr>
                <w:rFonts w:ascii="Arial" w:cs="Arial" w:eastAsia="Arial" w:hAnsi="Arial"/>
                <w:sz w:val="18"/>
                <w:szCs w:val="18"/>
                <w:color w:val="auto"/>
              </w:rPr>
              <w:t>52,978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Cash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120,782</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5,066</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125,848</w:t>
            </w:r>
          </w:p>
        </w:tc>
        <w:tc>
          <w:tcPr>
            <w:tcW w:w="0" w:type="dxa"/>
            <w:vAlign w:val="bottom"/>
          </w:tcPr>
          <w:p>
            <w:pPr>
              <w:spacing w:after="0"/>
              <w:rPr>
                <w:sz w:val="1"/>
                <w:szCs w:val="1"/>
                <w:color w:val="auto"/>
              </w:rPr>
            </w:pPr>
          </w:p>
        </w:tc>
      </w:tr>
      <w:tr>
        <w:trPr>
          <w:trHeight w:val="243"/>
        </w:trPr>
        <w:tc>
          <w:tcPr>
            <w:tcW w:w="4200" w:type="dxa"/>
            <w:vAlign w:val="bottom"/>
          </w:tcPr>
          <w:p>
            <w:pPr>
              <w:ind w:left="580"/>
              <w:spacing w:after="0"/>
              <w:rPr>
                <w:sz w:val="20"/>
                <w:szCs w:val="20"/>
                <w:color w:val="auto"/>
              </w:rPr>
            </w:pPr>
            <w:r>
              <w:rPr>
                <w:rFonts w:ascii="Arial" w:cs="Arial" w:eastAsia="Arial" w:hAnsi="Arial"/>
                <w:sz w:val="18"/>
                <w:szCs w:val="18"/>
                <w:color w:val="auto"/>
              </w:rPr>
              <w:t>Cash distributions</w:t>
            </w:r>
          </w:p>
        </w:tc>
        <w:tc>
          <w:tcPr>
            <w:tcW w:w="3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(79,970)</w:t>
            </w:r>
          </w:p>
        </w:tc>
        <w:tc>
          <w:tcPr>
            <w:tcW w:w="220" w:type="dxa"/>
            <w:vAlign w:val="bottom"/>
          </w:tcPr>
          <w:p>
            <w:pPr>
              <w:spacing w:after="0"/>
              <w:rPr>
                <w:sz w:val="21"/>
                <w:szCs w:val="21"/>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(2,369)</w:t>
            </w: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(82,339)</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4"/>
              </w:rPr>
              <w:t>Distributions to Clearway Renew, non-cash, net</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57"/>
        </w:trPr>
        <w:tc>
          <w:tcPr>
            <w:tcW w:w="420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85,906</w:t>
            </w:r>
          </w:p>
        </w:tc>
        <w:tc>
          <w:tcPr>
            <w:tcW w:w="22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8"/>
                <w:szCs w:val="18"/>
                <w:color w:val="auto"/>
              </w:rPr>
              <w:t>94,442</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See accompanying notes to consolidated financial statements.</w:t>
            </w: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60" w:type="dxa"/>
            <w:vAlign w:val="bottom"/>
            <w:gridSpan w:val="2"/>
            <w:vMerge w:val="continue"/>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color w:val="auto"/>
              </w:rPr>
              <w:t>*Not covered by the report included herein.</w:t>
            </w:r>
          </w:p>
        </w:tc>
        <w:tc>
          <w:tcPr>
            <w:tcW w:w="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02"/>
        </w:trPr>
        <w:tc>
          <w:tcPr>
            <w:tcW w:w="4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738" w:right="299" w:bottom="1440" w:gutter="0" w:footer="0" w:header="0"/>
        </w:sectPr>
      </w:pPr>
    </w:p>
    <w:bookmarkStart w:id="19" w:name="page20"/>
    <w:bookmarkEnd w:id="19"/>
    <w:p>
      <w:pPr>
        <w:jc w:val="center"/>
        <w:spacing w:after="0"/>
        <w:rPr>
          <w:sz w:val="20"/>
          <w:szCs w:val="20"/>
          <w:color w:val="auto"/>
        </w:rPr>
      </w:pPr>
      <w:r>
        <w:rPr>
          <w:rFonts w:ascii="Arial" w:cs="Arial" w:eastAsia="Arial" w:hAnsi="Arial"/>
          <w:sz w:val="20"/>
          <w:szCs w:val="20"/>
          <w:b w:val="1"/>
          <w:bCs w:val="1"/>
          <w:color w:val="auto"/>
        </w:rPr>
        <w:t>DGPV HOLDCO 3 LLC AND SUBSIDIARIES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Cash Flows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w:t>
      </w:r>
    </w:p>
    <w:p>
      <w:pPr>
        <w:spacing w:after="0" w:line="52"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26,</w:t>
            </w:r>
          </w:p>
        </w:tc>
      </w:tr>
      <w:tr>
        <w:trPr>
          <w:trHeight w:val="216"/>
        </w:trPr>
        <w:tc>
          <w:tcPr>
            <w:tcW w:w="5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through</w:t>
            </w:r>
          </w:p>
        </w:tc>
      </w:tr>
      <w:tr>
        <w:trPr>
          <w:trHeight w:val="216"/>
        </w:trPr>
        <w:tc>
          <w:tcPr>
            <w:tcW w:w="5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7"/>
              </w:rPr>
              <w:t>2017*</w:t>
            </w:r>
          </w:p>
        </w:tc>
      </w:tr>
      <w:tr>
        <w:trPr>
          <w:trHeight w:val="27"/>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504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1"/>
              </w:rPr>
              <w:t>(unaudited)</w:t>
            </w:r>
          </w:p>
        </w:tc>
      </w:tr>
      <w:tr>
        <w:trPr>
          <w:trHeight w:val="270"/>
        </w:trPr>
        <w:tc>
          <w:tcPr>
            <w:tcW w:w="50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2,829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(loss) to net cash provided by</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400"/>
              <w:spacing w:after="0"/>
              <w:rPr>
                <w:sz w:val="20"/>
                <w:szCs w:val="20"/>
                <w:color w:val="auto"/>
              </w:rPr>
            </w:pPr>
            <w:r>
              <w:rPr>
                <w:rFonts w:ascii="Arial" w:cs="Arial" w:eastAsia="Arial" w:hAnsi="Arial"/>
                <w:sz w:val="16"/>
                <w:szCs w:val="16"/>
                <w:color w:val="auto"/>
              </w:rPr>
              <w:t>operating activities:</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Depreciation and accretion</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37"/>
        </w:trPr>
        <w:tc>
          <w:tcPr>
            <w:tcW w:w="5040" w:type="dxa"/>
            <w:vAlign w:val="bottom"/>
          </w:tcPr>
          <w:p>
            <w:pPr>
              <w:ind w:left="620"/>
              <w:spacing w:after="0"/>
              <w:rPr>
                <w:sz w:val="20"/>
                <w:szCs w:val="20"/>
                <w:color w:val="auto"/>
              </w:rPr>
            </w:pPr>
            <w:r>
              <w:rPr>
                <w:rFonts w:ascii="Arial" w:cs="Arial" w:eastAsia="Arial" w:hAnsi="Arial"/>
                <w:sz w:val="16"/>
                <w:szCs w:val="16"/>
                <w:color w:val="auto"/>
              </w:rPr>
              <w:t>Amortization of intangible asset</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Amortization of debt issuance costs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37"/>
        </w:trPr>
        <w:tc>
          <w:tcPr>
            <w:tcW w:w="5040" w:type="dxa"/>
            <w:vAlign w:val="bottom"/>
          </w:tcPr>
          <w:p>
            <w:pPr>
              <w:ind w:left="620"/>
              <w:spacing w:after="0"/>
              <w:rPr>
                <w:sz w:val="20"/>
                <w:szCs w:val="20"/>
                <w:color w:val="auto"/>
              </w:rPr>
            </w:pPr>
            <w:r>
              <w:rPr>
                <w:rFonts w:ascii="Arial" w:cs="Arial" w:eastAsia="Arial" w:hAnsi="Arial"/>
                <w:sz w:val="16"/>
                <w:szCs w:val="16"/>
                <w:color w:val="auto"/>
              </w:rPr>
              <w:t>Changes in derivative instruments</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(468)</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provided (used) by changes in other working capital:</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620"/>
              <w:spacing w:after="0"/>
              <w:rPr>
                <w:sz w:val="20"/>
                <w:szCs w:val="20"/>
                <w:color w:val="auto"/>
              </w:rPr>
            </w:pPr>
            <w:r>
              <w:rPr>
                <w:rFonts w:ascii="Arial" w:cs="Arial" w:eastAsia="Arial" w:hAnsi="Arial"/>
                <w:sz w:val="16"/>
                <w:szCs w:val="16"/>
                <w:color w:val="auto"/>
              </w:rPr>
              <w:t>Accounts receivable – trade</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(6,368)</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(577)</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Accounts receivable – affiliate</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w:t>
            </w:r>
          </w:p>
        </w:tc>
      </w:tr>
      <w:tr>
        <w:trPr>
          <w:trHeight w:val="237"/>
        </w:trPr>
        <w:tc>
          <w:tcPr>
            <w:tcW w:w="5040" w:type="dxa"/>
            <w:vAlign w:val="bottom"/>
          </w:tcPr>
          <w:p>
            <w:pPr>
              <w:ind w:left="620"/>
              <w:spacing w:after="0"/>
              <w:rPr>
                <w:sz w:val="20"/>
                <w:szCs w:val="20"/>
                <w:color w:val="auto"/>
              </w:rPr>
            </w:pPr>
            <w:r>
              <w:rPr>
                <w:rFonts w:ascii="Arial" w:cs="Arial" w:eastAsia="Arial" w:hAnsi="Arial"/>
                <w:sz w:val="16"/>
                <w:szCs w:val="16"/>
                <w:color w:val="auto"/>
              </w:rPr>
              <w:t>Prepayments and other current assets</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(253)</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(505)</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Other non-current assets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37"/>
        </w:trPr>
        <w:tc>
          <w:tcPr>
            <w:tcW w:w="5040" w:type="dxa"/>
            <w:vAlign w:val="bottom"/>
          </w:tcPr>
          <w:p>
            <w:pPr>
              <w:ind w:left="620"/>
              <w:spacing w:after="0"/>
              <w:rPr>
                <w:sz w:val="20"/>
                <w:szCs w:val="20"/>
                <w:color w:val="auto"/>
              </w:rPr>
            </w:pPr>
            <w:r>
              <w:rPr>
                <w:rFonts w:ascii="Arial" w:cs="Arial" w:eastAsia="Arial" w:hAnsi="Arial"/>
                <w:sz w:val="16"/>
                <w:szCs w:val="16"/>
                <w:color w:val="auto"/>
              </w:rPr>
              <w:t>Accounts payable – trade</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1,687</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2,465</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Accounts payable – affiliate</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(9,204)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3,303</w:t>
            </w:r>
          </w:p>
        </w:tc>
      </w:tr>
      <w:tr>
        <w:trPr>
          <w:trHeight w:val="237"/>
        </w:trPr>
        <w:tc>
          <w:tcPr>
            <w:tcW w:w="5040" w:type="dxa"/>
            <w:vAlign w:val="bottom"/>
          </w:tcPr>
          <w:p>
            <w:pPr>
              <w:ind w:left="620"/>
              <w:spacing w:after="0"/>
              <w:rPr>
                <w:sz w:val="20"/>
                <w:szCs w:val="20"/>
                <w:color w:val="auto"/>
              </w:rPr>
            </w:pPr>
            <w:r>
              <w:rPr>
                <w:rFonts w:ascii="Arial" w:cs="Arial" w:eastAsia="Arial" w:hAnsi="Arial"/>
                <w:sz w:val="16"/>
                <w:szCs w:val="16"/>
                <w:color w:val="auto"/>
              </w:rPr>
              <w:t>Accrued interest expense</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902</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Accrued liabilities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37"/>
        </w:trPr>
        <w:tc>
          <w:tcPr>
            <w:tcW w:w="5040" w:type="dxa"/>
            <w:vAlign w:val="bottom"/>
          </w:tcPr>
          <w:p>
            <w:pPr>
              <w:ind w:left="620"/>
              <w:spacing w:after="0"/>
              <w:rPr>
                <w:sz w:val="20"/>
                <w:szCs w:val="20"/>
                <w:color w:val="auto"/>
              </w:rPr>
            </w:pPr>
            <w:r>
              <w:rPr>
                <w:rFonts w:ascii="Arial" w:cs="Arial" w:eastAsia="Arial" w:hAnsi="Arial"/>
                <w:sz w:val="16"/>
                <w:szCs w:val="16"/>
                <w:color w:val="auto"/>
              </w:rPr>
              <w:t>Deferred rent</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313</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33"/>
        </w:trPr>
        <w:tc>
          <w:tcPr>
            <w:tcW w:w="50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Net cash (used) provided by operating activities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4,429</w:t>
            </w:r>
          </w:p>
        </w:tc>
      </w:tr>
      <w:tr>
        <w:trPr>
          <w:trHeight w:val="231"/>
        </w:trPr>
        <w:tc>
          <w:tcPr>
            <w:tcW w:w="5040" w:type="dxa"/>
            <w:vAlign w:val="bottom"/>
          </w:tcPr>
          <w:p>
            <w:pPr>
              <w:ind w:left="20"/>
              <w:spacing w:after="0"/>
              <w:rPr>
                <w:sz w:val="20"/>
                <w:szCs w:val="20"/>
                <w:color w:val="auto"/>
              </w:rPr>
            </w:pPr>
            <w:r>
              <w:rPr>
                <w:rFonts w:ascii="Arial" w:cs="Arial" w:eastAsia="Arial" w:hAnsi="Arial"/>
                <w:sz w:val="16"/>
                <w:szCs w:val="16"/>
                <w:color w:val="auto"/>
              </w:rPr>
              <w:t>Cash flows from investing activity:</w:t>
            </w:r>
          </w:p>
        </w:tc>
        <w:tc>
          <w:tcPr>
            <w:tcW w:w="6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(52,039)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Acquisition of membership interests</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(147,014)</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(106,317)</w:t>
            </w:r>
          </w:p>
        </w:tc>
      </w:tr>
      <w:tr>
        <w:trPr>
          <w:trHeight w:val="33"/>
        </w:trPr>
        <w:tc>
          <w:tcPr>
            <w:tcW w:w="50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Net cash used by investing activity</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(199,053)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(106,317)</w:t>
            </w:r>
          </w:p>
        </w:tc>
      </w:tr>
      <w:tr>
        <w:trPr>
          <w:trHeight w:val="231"/>
        </w:trPr>
        <w:tc>
          <w:tcPr>
            <w:tcW w:w="50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6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short-term debt – affiliate</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845</w:t>
            </w: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Proceeds from issuance of long-term debt</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132,289</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37,832</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of debt issuance costs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Contributions from noncontrolling interests, net of distributions</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46,035</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35,361</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Contributions from member</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125,674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70,904</w:t>
            </w: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Distributions to member</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(79,970)</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(37,832)</w:t>
            </w:r>
          </w:p>
        </w:tc>
      </w:tr>
      <w:tr>
        <w:trPr>
          <w:trHeight w:val="33"/>
        </w:trPr>
        <w:tc>
          <w:tcPr>
            <w:tcW w:w="50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Net cash provided by financing activities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218,848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107,110</w:t>
            </w:r>
          </w:p>
        </w:tc>
      </w:tr>
      <w:tr>
        <w:trPr>
          <w:trHeight w:val="217"/>
        </w:trPr>
        <w:tc>
          <w:tcPr>
            <w:tcW w:w="5040" w:type="dxa"/>
            <w:vAlign w:val="bottom"/>
          </w:tcPr>
          <w:p>
            <w:pPr>
              <w:ind w:left="1060"/>
              <w:spacing w:after="0"/>
              <w:rPr>
                <w:sz w:val="20"/>
                <w:szCs w:val="20"/>
                <w:color w:val="auto"/>
              </w:rPr>
            </w:pPr>
            <w:r>
              <w:rPr>
                <w:rFonts w:ascii="Arial" w:cs="Arial" w:eastAsia="Arial" w:hAnsi="Arial"/>
                <w:sz w:val="16"/>
                <w:szCs w:val="16"/>
                <w:color w:val="auto"/>
              </w:rPr>
              <w:t>Net increase in cash and restricted cash</w:t>
            </w:r>
          </w:p>
        </w:tc>
        <w:tc>
          <w:tcPr>
            <w:tcW w:w="64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15,835</w:t>
            </w:r>
          </w:p>
        </w:tc>
        <w:tc>
          <w:tcPr>
            <w:tcW w:w="2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5,222</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restricted cash at beginning of period</w:t>
            </w:r>
          </w:p>
        </w:tc>
        <w:tc>
          <w:tcPr>
            <w:tcW w:w="6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84"/>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restricted cash at end of period</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21,057</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5,222</w:t>
            </w:r>
          </w:p>
        </w:tc>
      </w:tr>
      <w:tr>
        <w:trPr>
          <w:trHeight w:val="237"/>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w:t>
            </w:r>
          </w:p>
        </w:tc>
        <w:tc>
          <w:tcPr>
            <w:tcW w:w="6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2,703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paid by affiliate</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Non-cash investing and financing activities:</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Increase to fixed assets for capitalized asset retirement costs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w:t>
            </w:r>
          </w:p>
        </w:tc>
      </w:tr>
      <w:tr>
        <w:trPr>
          <w:trHeight w:val="237"/>
        </w:trPr>
        <w:tc>
          <w:tcPr>
            <w:tcW w:w="5040" w:type="dxa"/>
            <w:vAlign w:val="bottom"/>
          </w:tcPr>
          <w:p>
            <w:pPr>
              <w:ind w:left="400"/>
              <w:spacing w:after="0"/>
              <w:rPr>
                <w:sz w:val="20"/>
                <w:szCs w:val="20"/>
                <w:color w:val="auto"/>
              </w:rPr>
            </w:pPr>
            <w:r>
              <w:rPr>
                <w:rFonts w:ascii="Arial" w:cs="Arial" w:eastAsia="Arial" w:hAnsi="Arial"/>
                <w:sz w:val="16"/>
                <w:szCs w:val="16"/>
                <w:color w:val="auto"/>
              </w:rPr>
              <w:t>Reduction to fixed assets for accrued government incentives</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(997)</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Additions to fixed assets for accrued capital expenditures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8,820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040" w:type="dxa"/>
            <w:vAlign w:val="bottom"/>
          </w:tcPr>
          <w:p>
            <w:pPr>
              <w:ind w:left="400"/>
              <w:spacing w:after="0"/>
              <w:rPr>
                <w:sz w:val="20"/>
                <w:szCs w:val="20"/>
                <w:color w:val="auto"/>
              </w:rPr>
            </w:pPr>
            <w:r>
              <w:rPr>
                <w:rFonts w:ascii="Arial" w:cs="Arial" w:eastAsia="Arial" w:hAnsi="Arial"/>
                <w:sz w:val="16"/>
                <w:szCs w:val="16"/>
                <w:color w:val="auto"/>
              </w:rPr>
              <w:t>Debt issuance costs incurred not paid</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306</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4,925</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Non-cash contributions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6,645</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040" w:type="dxa"/>
            <w:vAlign w:val="bottom"/>
          </w:tcPr>
          <w:p>
            <w:pPr>
              <w:ind w:left="400"/>
              <w:spacing w:after="0"/>
              <w:rPr>
                <w:sz w:val="20"/>
                <w:szCs w:val="20"/>
                <w:color w:val="auto"/>
              </w:rPr>
            </w:pPr>
            <w:r>
              <w:rPr>
                <w:rFonts w:ascii="Arial" w:cs="Arial" w:eastAsia="Arial" w:hAnsi="Arial"/>
                <w:sz w:val="16"/>
                <w:szCs w:val="16"/>
                <w:color w:val="auto"/>
              </w:rPr>
              <w:t>Non-cash distribution – developer fee on fixed assets</w:t>
            </w: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(8,678)</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(61,663)</w:t>
            </w:r>
          </w:p>
        </w:tc>
      </w:tr>
      <w:tr>
        <w:trPr>
          <w:trHeight w:val="33"/>
        </w:trPr>
        <w:tc>
          <w:tcPr>
            <w:tcW w:w="5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Accounts payable – affiliate for capital expenditures</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(82,653)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88,427</w:t>
            </w:r>
          </w:p>
        </w:tc>
      </w:tr>
      <w:tr>
        <w:trPr>
          <w:trHeight w:val="237"/>
        </w:trPr>
        <w:tc>
          <w:tcPr>
            <w:tcW w:w="5040" w:type="dxa"/>
            <w:vAlign w:val="bottom"/>
          </w:tcPr>
          <w:p>
            <w:pPr>
              <w:ind w:left="20"/>
              <w:spacing w:after="0"/>
              <w:rPr>
                <w:sz w:val="20"/>
                <w:szCs w:val="20"/>
                <w:color w:val="auto"/>
              </w:rPr>
            </w:pPr>
            <w:r>
              <w:rPr>
                <w:rFonts w:ascii="Arial" w:cs="Arial" w:eastAsia="Arial" w:hAnsi="Arial"/>
                <w:sz w:val="16"/>
                <w:szCs w:val="16"/>
                <w:color w:val="auto"/>
              </w:rPr>
              <w:t>See accompanying notes to consolidated financial statements.</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5040" w:type="dxa"/>
            <w:vAlign w:val="bottom"/>
          </w:tcPr>
          <w:p>
            <w:pPr>
              <w:ind w:left="20"/>
              <w:spacing w:after="0"/>
              <w:rPr>
                <w:sz w:val="20"/>
                <w:szCs w:val="20"/>
                <w:color w:val="auto"/>
              </w:rPr>
            </w:pPr>
            <w:r>
              <w:rPr>
                <w:rFonts w:ascii="Arial" w:cs="Arial" w:eastAsia="Arial" w:hAnsi="Arial"/>
                <w:sz w:val="16"/>
                <w:szCs w:val="16"/>
                <w:color w:val="auto"/>
              </w:rPr>
              <w:t>*Not covered by the report included herein.</w:t>
            </w:r>
          </w:p>
        </w:tc>
        <w:tc>
          <w:tcPr>
            <w:tcW w:w="6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9019"/>
          </w:cols>
          <w:pgMar w:left="1440" w:top="738" w:right="1440" w:bottom="354" w:gutter="0" w:footer="0" w:header="0"/>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738" w:right="1440" w:bottom="354" w:gutter="0" w:footer="0" w:header="0"/>
          <w:type w:val="continuous"/>
        </w:sectPr>
      </w:pPr>
    </w:p>
    <w:bookmarkStart w:id="20" w:name="page21"/>
    <w:bookmarkEnd w:id="20"/>
    <w:p>
      <w:pPr>
        <w:jc w:val="center"/>
        <w:ind w:left="500"/>
        <w:spacing w:after="0"/>
        <w:rPr>
          <w:sz w:val="20"/>
          <w:szCs w:val="20"/>
          <w:color w:val="auto"/>
        </w:rPr>
      </w:pPr>
      <w:r>
        <w:rPr>
          <w:rFonts w:ascii="Arial" w:cs="Arial" w:eastAsia="Arial" w:hAnsi="Arial"/>
          <w:sz w:val="20"/>
          <w:szCs w:val="20"/>
          <w:b w:val="1"/>
          <w:bCs w:val="1"/>
          <w:color w:val="auto"/>
        </w:rPr>
        <w:t>DGPV HOLDCO 3 LLC AND SUBSIDIARIES</w:t>
      </w:r>
    </w:p>
    <w:p>
      <w:pPr>
        <w:spacing w:after="0" w:line="60" w:lineRule="exact"/>
        <w:rPr>
          <w:sz w:val="20"/>
          <w:szCs w:val="20"/>
          <w:color w:val="auto"/>
        </w:rPr>
      </w:pPr>
    </w:p>
    <w:p>
      <w:pPr>
        <w:jc w:val="center"/>
        <w:ind w:left="500"/>
        <w:spacing w:after="0"/>
        <w:rPr>
          <w:sz w:val="20"/>
          <w:szCs w:val="20"/>
          <w:color w:val="auto"/>
        </w:rPr>
      </w:pPr>
      <w:r>
        <w:rPr>
          <w:rFonts w:ascii="Arial" w:cs="Arial" w:eastAsia="Arial" w:hAnsi="Arial"/>
          <w:sz w:val="20"/>
          <w:szCs w:val="20"/>
          <w:color w:val="auto"/>
        </w:rPr>
        <w:t>Notes to Consolidated Financial Statements</w:t>
      </w:r>
    </w:p>
    <w:p>
      <w:pPr>
        <w:spacing w:after="0" w:line="54" w:lineRule="exact"/>
        <w:rPr>
          <w:sz w:val="20"/>
          <w:szCs w:val="20"/>
          <w:color w:val="auto"/>
        </w:rPr>
      </w:pPr>
    </w:p>
    <w:p>
      <w:pPr>
        <w:jc w:val="center"/>
        <w:ind w:left="500"/>
        <w:spacing w:after="0"/>
        <w:rPr>
          <w:sz w:val="20"/>
          <w:szCs w:val="20"/>
          <w:color w:val="auto"/>
        </w:rPr>
      </w:pPr>
      <w:r>
        <w:rPr>
          <w:rFonts w:ascii="Arial" w:cs="Arial" w:eastAsia="Arial" w:hAnsi="Arial"/>
          <w:sz w:val="20"/>
          <w:szCs w:val="20"/>
          <w:color w:val="auto"/>
        </w:rPr>
        <w:t>(Amounts as of and for the period ending December 31, 2017 are not covered by the report included herein)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DGPV Holdco 3, LLC, or the Company, a Delaware limited liability company, is a partnership between Clearway Renew DG Holdings, LLC, a subsidiary of Clearway Renew LLC, and DGPV Holding LLC, a subsidiary of Clearway Energy Operating LLC. Clearway Renew LLC is a wholly owned subsidiary of Clearway Energy Group LLC, or Clearway Energy Group, which is a wholly owned subsidiary of Global Infrastructure Partners III, or GIP. Clearway Energy Operating LLC is a wholly owned subsidiary of Clearway Energy LLC, which is a partnership between Clearway Energy, Inc. and Clearway Energy Group.</w:t>
      </w:r>
    </w:p>
    <w:p>
      <w:pPr>
        <w:spacing w:after="0" w:line="8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August 31, 2018, NRG Energy, Inc., or NRG, transferred its full ownership interest in Clearway Energy, Inc. to Clearway Energy Group, and subsequently sold 100% of its interest in Clearway Energy Group to GIP, including its interests in the Company, referred to as the GIP Transaction. The GIP Transaction did not impact the Company’s direct ownership structure.</w:t>
      </w:r>
    </w:p>
    <w:p>
      <w:pPr>
        <w:spacing w:after="0" w:line="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Company was formed on April 26, 2017 as a partnership to facilitate investment in an operating portfolio of distributed solar assets, primarily comprised of community solar projects and commercial distributed solar projects developed by Clearway Energy Group. The Company owns an interest in two portfolios of solar projects that participate in tax equity arrangements with tax equity investors, through its wholly owned subsidiaries, Chestnut Borrower, LLC, or Chestnut Borrower, and Renew Solar CS4 Borrower LLC, or CS4 Borrower. See Note 3, </w:t>
      </w:r>
      <w:r>
        <w:rPr>
          <w:rFonts w:ascii="Arial" w:cs="Arial" w:eastAsia="Arial" w:hAnsi="Arial"/>
          <w:sz w:val="17"/>
          <w:szCs w:val="17"/>
          <w:i w:val="1"/>
          <w:iCs w:val="1"/>
          <w:color w:val="auto"/>
        </w:rPr>
        <w:t>Tax Equity Arrangements,</w:t>
      </w:r>
      <w:r>
        <w:rPr>
          <w:rFonts w:ascii="Arial" w:cs="Arial" w:eastAsia="Arial" w:hAnsi="Arial"/>
          <w:sz w:val="17"/>
          <w:szCs w:val="17"/>
          <w:color w:val="auto"/>
        </w:rPr>
        <w:t xml:space="preserve"> for a more detailed description of each tax equity arrangement. Each of the portfolios owns, operates and maintains solar energy systems that sell power to customers through long-term power purchase agreements, or PPAs. The commercial distributed solar projects sell power to a single commercial offtaker and the community solar projects sell power to a group of offtakers in one location.</w:t>
      </w:r>
    </w:p>
    <w:p>
      <w:pPr>
        <w:spacing w:after="0" w:line="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is governed by an Amended and Restated Operating Agreement, or Operating Agreement. On September 26, 2017, the Operating Agreement was amended to add Clearway DGPV Holding LLC, or DGPV Holding, as the Class A Member. Under the Operating Agreement, Clearway Renew DG Holdings, LLC, or Renew DG Holdings, is the Class B Member and the Manager of the Company. As Manager, Renew DG Holdings conducts and directs all operating activities of the Company. Contributions are made to the Company pursuant to requests made by the Manager on behalf of a fund company and calculated using specific modeling guidelines outlined in the Operating Agreement.</w:t>
      </w:r>
    </w:p>
    <w:p>
      <w:pPr>
        <w:spacing w:after="0" w:line="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Contributions by DGPV Holding are calculated to equal an amount that enables DGPV Holding to achieve an annual yield based on available cash flow of 9.0% on average over the first ten years. Contributions by Renew DG Holdings are calculated based on the purchase price of a project less the relevant contribution from the Fund's tax equity partner and the contribution from DGPV Holding. Pursuant to the Operating Agreement, all tax basis income, gain, loss, deduction and credit, as well as all cash available for distribution, of the Company are allocated at 1% and 99% to the Class B Member and Class A Member,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Chestnut Fund</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Company's wholly owned subsidiary, Chestnut Borrower, was formed on April 26, 2017 for the purpose of acting as a borrower of term loans for the Chestnut Fund, as described in note 6, </w:t>
      </w:r>
      <w:r>
        <w:rPr>
          <w:rFonts w:ascii="Arial" w:cs="Arial" w:eastAsia="Arial" w:hAnsi="Arial"/>
          <w:sz w:val="18"/>
          <w:szCs w:val="18"/>
          <w:i w:val="1"/>
          <w:iCs w:val="1"/>
          <w:color w:val="auto"/>
        </w:rPr>
        <w:t>Long-Term Debt</w:t>
      </w:r>
      <w:r>
        <w:rPr>
          <w:rFonts w:ascii="Arial" w:cs="Arial" w:eastAsia="Arial" w:hAnsi="Arial"/>
          <w:sz w:val="18"/>
          <w:szCs w:val="18"/>
          <w:color w:val="auto"/>
        </w:rPr>
        <w:t>, and Chestnut Borrower owns a 100% of Chestnut Class B LLC, the Class B Member of the Clearway Chestnut Fund LLC, or Chestnut Fund, tax equity arrangement. Chestnut Class B LLC, or Chestnut Class B, is the Managing Member of Chestnut Fund and conducts and directs all operating activities of the fund. The Class A Member of Chestnut Fund, or Investor Member, is Firstar Development, LLC, or Firstar, an affiliate of U.S. Bancorp.</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0"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Chestnut Fund's 100% owned subsidiaries and related solar facilities are listed below:</w:t>
      </w:r>
    </w:p>
    <w:p>
      <w:pPr>
        <w:spacing w:after="0" w:line="27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9"/>
              </w:rPr>
              <w:t>Facility</w:t>
            </w:r>
          </w:p>
        </w:tc>
        <w:tc>
          <w:tcPr>
            <w:tcW w:w="12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Commercial</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PPA term</w:t>
            </w:r>
          </w:p>
        </w:tc>
        <w:tc>
          <w:tcPr>
            <w:tcW w:w="0" w:type="dxa"/>
            <w:vAlign w:val="bottom"/>
          </w:tcPr>
          <w:p>
            <w:pPr>
              <w:spacing w:after="0"/>
              <w:rPr>
                <w:sz w:val="1"/>
                <w:szCs w:val="1"/>
                <w:color w:val="auto"/>
              </w:rPr>
            </w:pPr>
          </w:p>
        </w:tc>
      </w:tr>
      <w:tr>
        <w:trPr>
          <w:trHeight w:val="149"/>
        </w:trPr>
        <w:tc>
          <w:tcPr>
            <w:tcW w:w="19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Project company</w:t>
            </w:r>
          </w:p>
        </w:tc>
        <w:tc>
          <w:tcPr>
            <w:tcW w:w="120" w:type="dxa"/>
            <w:vAlign w:val="bottom"/>
            <w:vMerge w:val="restart"/>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vMerge w:val="restart"/>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Type</w:t>
            </w:r>
          </w:p>
        </w:tc>
        <w:tc>
          <w:tcPr>
            <w:tcW w:w="120" w:type="dxa"/>
            <w:vAlign w:val="bottom"/>
            <w:vMerge w:val="restart"/>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100" w:type="dxa"/>
            <w:vAlign w:val="bottom"/>
            <w:vMerge w:val="restart"/>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capacity</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PPA offtaker</w:t>
            </w:r>
          </w:p>
        </w:tc>
        <w:tc>
          <w:tcPr>
            <w:tcW w:w="100" w:type="dxa"/>
            <w:vAlign w:val="bottom"/>
            <w:vMerge w:val="restart"/>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(kWdc)</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operations date</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years</w:t>
            </w:r>
          </w:p>
        </w:tc>
        <w:tc>
          <w:tcPr>
            <w:tcW w:w="0" w:type="dxa"/>
            <w:vAlign w:val="bottom"/>
          </w:tcPr>
          <w:p>
            <w:pPr>
              <w:spacing w:after="0"/>
              <w:rPr>
                <w:sz w:val="1"/>
                <w:szCs w:val="1"/>
                <w:color w:val="auto"/>
              </w:rPr>
            </w:pPr>
          </w:p>
        </w:tc>
      </w:tr>
      <w:tr>
        <w:trPr>
          <w:trHeight w:val="25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Black Cat Road Solar, LLC</w:t>
            </w: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77 Black Cat Rd</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1,321</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08/30/17</w:t>
            </w:r>
          </w:p>
        </w:tc>
        <w:tc>
          <w:tcPr>
            <w:tcW w:w="12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Ahold USA/Various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264"/>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Brook St Solar 1, LLC</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134 Brook St A, B &amp; C</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6,480</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09/06/17</w:t>
            </w:r>
          </w:p>
        </w:tc>
        <w:tc>
          <w:tcPr>
            <w:tcW w:w="120" w:type="dxa"/>
            <w:vAlign w:val="bottom"/>
          </w:tcPr>
          <w:p>
            <w:pPr>
              <w:spacing w:after="0"/>
              <w:rPr>
                <w:sz w:val="22"/>
                <w:szCs w:val="22"/>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 xml:space="preserve">Target Ahold USA/Various </w:t>
            </w:r>
            <w:r>
              <w:rPr>
                <w:rFonts w:ascii="Arial" w:cs="Arial" w:eastAsia="Arial" w:hAnsi="Arial"/>
                <w:sz w:val="12"/>
                <w:szCs w:val="12"/>
                <w:color w:val="auto"/>
              </w:rPr>
              <w:t>(a)</w:t>
            </w:r>
          </w:p>
        </w:tc>
        <w:tc>
          <w:tcPr>
            <w:tcW w:w="740" w:type="dxa"/>
            <w:vAlign w:val="bottom"/>
          </w:tcPr>
          <w:p>
            <w:pPr>
              <w:jc w:val="center"/>
              <w:spacing w:after="0"/>
              <w:rPr>
                <w:sz w:val="20"/>
                <w:szCs w:val="20"/>
                <w:color w:val="auto"/>
              </w:rPr>
            </w:pPr>
            <w:r>
              <w:rPr>
                <w:rFonts w:ascii="Arial" w:cs="Arial" w:eastAsia="Arial" w:hAnsi="Arial"/>
                <w:sz w:val="14"/>
                <w:szCs w:val="14"/>
                <w:color w:val="auto"/>
                <w:w w:val="96"/>
              </w:rPr>
              <w:t>15 20</w:t>
            </w:r>
          </w:p>
        </w:tc>
        <w:tc>
          <w:tcPr>
            <w:tcW w:w="0" w:type="dxa"/>
            <w:vAlign w:val="bottom"/>
          </w:tcPr>
          <w:p>
            <w:pPr>
              <w:spacing w:after="0"/>
              <w:rPr>
                <w:sz w:val="1"/>
                <w:szCs w:val="1"/>
                <w:color w:val="auto"/>
              </w:rPr>
            </w:pPr>
          </w:p>
        </w:tc>
      </w:tr>
      <w:tr>
        <w:trPr>
          <w:trHeight w:val="27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 Mule, LLC</w:t>
            </w: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Colby College</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Commercial</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ME</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1,811</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09/18/17</w:t>
            </w: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Colby College</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 xml:space="preserve">27 </w:t>
            </w:r>
            <w:r>
              <w:rPr>
                <w:rFonts w:ascii="Arial" w:cs="Arial" w:eastAsia="Arial" w:hAnsi="Arial"/>
                <w:sz w:val="12"/>
                <w:szCs w:val="12"/>
                <w:color w:val="auto"/>
                <w:w w:val="99"/>
              </w:rPr>
              <w:t>(b)</w:t>
            </w:r>
          </w:p>
        </w:tc>
        <w:tc>
          <w:tcPr>
            <w:tcW w:w="0" w:type="dxa"/>
            <w:vAlign w:val="bottom"/>
          </w:tcPr>
          <w:p>
            <w:pPr>
              <w:spacing w:after="0"/>
              <w:rPr>
                <w:sz w:val="1"/>
                <w:szCs w:val="1"/>
                <w:color w:val="auto"/>
              </w:rPr>
            </w:pPr>
          </w:p>
        </w:tc>
      </w:tr>
      <w:tr>
        <w:trPr>
          <w:trHeight w:val="264"/>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Big Lake Holdco LLC</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Big Lake</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MN</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6,912</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10/01/17</w:t>
            </w:r>
          </w:p>
        </w:tc>
        <w:tc>
          <w:tcPr>
            <w:tcW w:w="120" w:type="dxa"/>
            <w:vAlign w:val="bottom"/>
          </w:tcPr>
          <w:p>
            <w:pPr>
              <w:spacing w:after="0"/>
              <w:rPr>
                <w:sz w:val="22"/>
                <w:szCs w:val="22"/>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25</w:t>
            </w:r>
          </w:p>
        </w:tc>
        <w:tc>
          <w:tcPr>
            <w:tcW w:w="0" w:type="dxa"/>
            <w:vAlign w:val="bottom"/>
          </w:tcPr>
          <w:p>
            <w:pPr>
              <w:spacing w:after="0"/>
              <w:rPr>
                <w:sz w:val="1"/>
                <w:szCs w:val="1"/>
                <w:color w:val="auto"/>
              </w:rPr>
            </w:pPr>
          </w:p>
        </w:tc>
      </w:tr>
      <w:tr>
        <w:trPr>
          <w:trHeight w:val="167"/>
        </w:trPr>
        <w:tc>
          <w:tcPr>
            <w:tcW w:w="20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Solar West Shaft LLC</w:t>
            </w:r>
          </w:p>
        </w:tc>
        <w:tc>
          <w:tcPr>
            <w:tcW w:w="17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3"/>
              </w:rPr>
              <w:t>N Adams-West Shaft Rd</w:t>
            </w:r>
          </w:p>
        </w:tc>
        <w:tc>
          <w:tcPr>
            <w:tcW w:w="11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1,346</w:t>
            </w:r>
          </w:p>
        </w:tc>
        <w:tc>
          <w:tcPr>
            <w:tcW w:w="1280" w:type="dxa"/>
            <w:vAlign w:val="bottom"/>
            <w:gridSpan w:val="2"/>
            <w:vMerge w:val="restart"/>
            <w:shd w:val="clear" w:color="auto" w:fill="CCEEFF"/>
          </w:tcPr>
          <w:p>
            <w:pPr>
              <w:jc w:val="center"/>
              <w:ind w:left="28"/>
              <w:spacing w:after="0"/>
              <w:rPr>
                <w:sz w:val="20"/>
                <w:szCs w:val="20"/>
                <w:color w:val="auto"/>
              </w:rPr>
            </w:pPr>
            <w:r>
              <w:rPr>
                <w:rFonts w:ascii="Arial" w:cs="Arial" w:eastAsia="Arial" w:hAnsi="Arial"/>
                <w:sz w:val="14"/>
                <w:szCs w:val="14"/>
                <w:color w:val="auto"/>
                <w:w w:val="91"/>
              </w:rPr>
              <w:t>10/10/17</w:t>
            </w:r>
          </w:p>
        </w:tc>
        <w:tc>
          <w:tcPr>
            <w:tcW w:w="12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Ahold USA/Raytheon/Various</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190"/>
        </w:trPr>
        <w:tc>
          <w:tcPr>
            <w:tcW w:w="2060" w:type="dxa"/>
            <w:vAlign w:val="bottom"/>
            <w:gridSpan w:val="2"/>
            <w:vMerge w:val="continue"/>
            <w:shd w:val="clear" w:color="auto" w:fill="CCEEFF"/>
          </w:tcPr>
          <w:p>
            <w:pPr>
              <w:spacing w:after="0"/>
              <w:rPr>
                <w:sz w:val="16"/>
                <w:szCs w:val="16"/>
                <w:color w:val="auto"/>
              </w:rPr>
            </w:pPr>
          </w:p>
        </w:tc>
        <w:tc>
          <w:tcPr>
            <w:tcW w:w="1740" w:type="dxa"/>
            <w:vAlign w:val="bottom"/>
            <w:gridSpan w:val="2"/>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60" w:type="dxa"/>
            <w:vAlign w:val="bottom"/>
            <w:gridSpan w:val="2"/>
            <w:vMerge w:val="restart"/>
          </w:tcPr>
          <w:p>
            <w:pPr>
              <w:ind w:left="20"/>
              <w:spacing w:after="0"/>
              <w:rPr>
                <w:sz w:val="20"/>
                <w:szCs w:val="20"/>
                <w:color w:val="auto"/>
              </w:rPr>
            </w:pPr>
            <w:r>
              <w:rPr>
                <w:rFonts w:ascii="Arial" w:cs="Arial" w:eastAsia="Arial" w:hAnsi="Arial"/>
                <w:sz w:val="14"/>
                <w:szCs w:val="14"/>
                <w:color w:val="auto"/>
              </w:rPr>
              <w:t>DG Foxborough Elm LLC</w:t>
            </w:r>
          </w:p>
        </w:tc>
        <w:tc>
          <w:tcPr>
            <w:tcW w:w="174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1"/>
              </w:rPr>
              <w:t>Elm Street</w:t>
            </w: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2,614</w:t>
            </w:r>
          </w:p>
        </w:tc>
        <w:tc>
          <w:tcPr>
            <w:tcW w:w="1280" w:type="dxa"/>
            <w:vAlign w:val="bottom"/>
            <w:gridSpan w:val="2"/>
            <w:vMerge w:val="restart"/>
          </w:tcPr>
          <w:p>
            <w:pPr>
              <w:jc w:val="center"/>
              <w:ind w:left="28"/>
              <w:spacing w:after="0"/>
              <w:rPr>
                <w:sz w:val="20"/>
                <w:szCs w:val="20"/>
                <w:color w:val="auto"/>
              </w:rPr>
            </w:pPr>
            <w:r>
              <w:rPr>
                <w:rFonts w:ascii="Arial" w:cs="Arial" w:eastAsia="Arial" w:hAnsi="Arial"/>
                <w:sz w:val="14"/>
                <w:szCs w:val="14"/>
                <w:color w:val="auto"/>
                <w:w w:val="91"/>
              </w:rPr>
              <w:t>10/12/17</w:t>
            </w:r>
          </w:p>
        </w:tc>
        <w:tc>
          <w:tcPr>
            <w:tcW w:w="120" w:type="dxa"/>
            <w:vAlign w:val="bottom"/>
          </w:tcPr>
          <w:p>
            <w:pPr>
              <w:spacing w:after="0"/>
              <w:rPr>
                <w:sz w:val="14"/>
                <w:szCs w:val="14"/>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Town of Foxborough/Various</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184"/>
        </w:trPr>
        <w:tc>
          <w:tcPr>
            <w:tcW w:w="2060" w:type="dxa"/>
            <w:vAlign w:val="bottom"/>
            <w:gridSpan w:val="2"/>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tcPr>
          <w:p>
            <w:pPr>
              <w:ind w:left="20"/>
              <w:spacing w:after="0"/>
              <w:rPr>
                <w:sz w:val="20"/>
                <w:szCs w:val="20"/>
                <w:color w:val="auto"/>
              </w:rPr>
            </w:pPr>
            <w:r>
              <w:rPr>
                <w:rFonts w:ascii="Arial" w:cs="Arial" w:eastAsia="Arial" w:hAnsi="Arial"/>
                <w:sz w:val="13"/>
                <w:szCs w:val="13"/>
                <w:color w:val="auto"/>
              </w:rPr>
              <w:t>(a)</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Redbrook Solar 1 LLC</w:t>
            </w: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7"/>
              </w:rPr>
              <w:t>Redbrook B, C &amp; D</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5,568</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11/09/17</w:t>
            </w: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Ahold USA/Various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264"/>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Northfield Holdco LLC</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color w:val="auto"/>
              </w:rPr>
              <w:t>Northfield</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MN</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6,962</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12/01/17</w:t>
            </w:r>
          </w:p>
        </w:tc>
        <w:tc>
          <w:tcPr>
            <w:tcW w:w="120" w:type="dxa"/>
            <w:vAlign w:val="bottom"/>
          </w:tcPr>
          <w:p>
            <w:pPr>
              <w:spacing w:after="0"/>
              <w:rPr>
                <w:sz w:val="22"/>
                <w:szCs w:val="22"/>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25</w:t>
            </w:r>
          </w:p>
        </w:tc>
        <w:tc>
          <w:tcPr>
            <w:tcW w:w="0" w:type="dxa"/>
            <w:vAlign w:val="bottom"/>
          </w:tcPr>
          <w:p>
            <w:pPr>
              <w:spacing w:after="0"/>
              <w:rPr>
                <w:sz w:val="1"/>
                <w:szCs w:val="1"/>
                <w:color w:val="auto"/>
              </w:rPr>
            </w:pPr>
          </w:p>
        </w:tc>
      </w:tr>
      <w:tr>
        <w:trPr>
          <w:trHeight w:val="27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Waterford Holdco LLC</w:t>
            </w: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Waterford</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MN</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3,767</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12/01/17</w:t>
            </w: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5"/>
              </w:rPr>
              <w:t>12/21/2017 &amp;</w:t>
            </w: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Center St Solar 1 LLC</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1077 Center St A, B &amp; C</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3,870</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01/03/2018</w:t>
            </w:r>
          </w:p>
        </w:tc>
        <w:tc>
          <w:tcPr>
            <w:tcW w:w="12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 xml:space="preserve">Target Raytheon/Various </w:t>
            </w:r>
            <w:r>
              <w:rPr>
                <w:rFonts w:ascii="Arial" w:cs="Arial" w:eastAsia="Arial" w:hAnsi="Arial"/>
                <w:sz w:val="12"/>
                <w:szCs w:val="12"/>
                <w:color w:val="auto"/>
              </w:rPr>
              <w:t>(a)</w:t>
            </w:r>
          </w:p>
        </w:tc>
        <w:tc>
          <w:tcPr>
            <w:tcW w:w="740" w:type="dxa"/>
            <w:vAlign w:val="bottom"/>
          </w:tcPr>
          <w:p>
            <w:pPr>
              <w:jc w:val="center"/>
              <w:spacing w:after="0"/>
              <w:rPr>
                <w:sz w:val="20"/>
                <w:szCs w:val="20"/>
                <w:color w:val="auto"/>
              </w:rPr>
            </w:pPr>
            <w:r>
              <w:rPr>
                <w:rFonts w:ascii="Arial" w:cs="Arial" w:eastAsia="Arial" w:hAnsi="Arial"/>
                <w:sz w:val="14"/>
                <w:szCs w:val="14"/>
                <w:color w:val="auto"/>
                <w:w w:val="96"/>
              </w:rPr>
              <w:t>15 20</w:t>
            </w:r>
          </w:p>
        </w:tc>
        <w:tc>
          <w:tcPr>
            <w:tcW w:w="0" w:type="dxa"/>
            <w:vAlign w:val="bottom"/>
          </w:tcPr>
          <w:p>
            <w:pPr>
              <w:spacing w:after="0"/>
              <w:rPr>
                <w:sz w:val="1"/>
                <w:szCs w:val="1"/>
                <w:color w:val="auto"/>
              </w:rPr>
            </w:pPr>
          </w:p>
        </w:tc>
      </w:tr>
      <w:tr>
        <w:trPr>
          <w:trHeight w:val="27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TOS Solar 1, LLC</w:t>
            </w: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725 Guelphwood</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646</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12/30/17</w:t>
            </w: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Target/Various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15/20</w:t>
            </w:r>
          </w:p>
        </w:tc>
        <w:tc>
          <w:tcPr>
            <w:tcW w:w="0" w:type="dxa"/>
            <w:vAlign w:val="bottom"/>
          </w:tcPr>
          <w:p>
            <w:pPr>
              <w:spacing w:after="0"/>
              <w:rPr>
                <w:sz w:val="1"/>
                <w:szCs w:val="1"/>
                <w:color w:val="auto"/>
              </w:rPr>
            </w:pPr>
          </w:p>
        </w:tc>
      </w:tr>
      <w:tr>
        <w:trPr>
          <w:trHeight w:val="264"/>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TOS Solar 2, LLC</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726 Guelphwood</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1,341</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12/30/17</w:t>
            </w:r>
          </w:p>
        </w:tc>
        <w:tc>
          <w:tcPr>
            <w:tcW w:w="120" w:type="dxa"/>
            <w:vAlign w:val="bottom"/>
          </w:tcPr>
          <w:p>
            <w:pPr>
              <w:spacing w:after="0"/>
              <w:rPr>
                <w:sz w:val="22"/>
                <w:szCs w:val="22"/>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 xml:space="preserve">Target/Various </w:t>
            </w:r>
            <w:r>
              <w:rPr>
                <w:rFonts w:ascii="Arial" w:cs="Arial" w:eastAsia="Arial" w:hAnsi="Arial"/>
                <w:sz w:val="12"/>
                <w:szCs w:val="12"/>
                <w:color w:val="auto"/>
              </w:rPr>
              <w:t>(a)</w:t>
            </w:r>
          </w:p>
        </w:tc>
        <w:tc>
          <w:tcPr>
            <w:tcW w:w="740" w:type="dxa"/>
            <w:vAlign w:val="bottom"/>
          </w:tcPr>
          <w:p>
            <w:pPr>
              <w:jc w:val="center"/>
              <w:spacing w:after="0"/>
              <w:rPr>
                <w:sz w:val="20"/>
                <w:szCs w:val="20"/>
                <w:color w:val="auto"/>
              </w:rPr>
            </w:pPr>
            <w:r>
              <w:rPr>
                <w:rFonts w:ascii="Arial" w:cs="Arial" w:eastAsia="Arial" w:hAnsi="Arial"/>
                <w:sz w:val="14"/>
                <w:szCs w:val="14"/>
                <w:color w:val="auto"/>
                <w:w w:val="96"/>
              </w:rPr>
              <w:t>15/20</w:t>
            </w:r>
          </w:p>
        </w:tc>
        <w:tc>
          <w:tcPr>
            <w:tcW w:w="0" w:type="dxa"/>
            <w:vAlign w:val="bottom"/>
          </w:tcPr>
          <w:p>
            <w:pPr>
              <w:spacing w:after="0"/>
              <w:rPr>
                <w:sz w:val="1"/>
                <w:szCs w:val="1"/>
                <w:color w:val="auto"/>
              </w:rPr>
            </w:pPr>
          </w:p>
        </w:tc>
      </w:tr>
      <w:tr>
        <w:trPr>
          <w:trHeight w:val="27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Stafford St Solar 1, LLC</w:t>
            </w: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466 Stafford St Site A</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2,776</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12/31/17</w:t>
            </w: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Target/Various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15/20</w:t>
            </w:r>
          </w:p>
        </w:tc>
        <w:tc>
          <w:tcPr>
            <w:tcW w:w="0" w:type="dxa"/>
            <w:vAlign w:val="bottom"/>
          </w:tcPr>
          <w:p>
            <w:pPr>
              <w:spacing w:after="0"/>
              <w:rPr>
                <w:sz w:val="1"/>
                <w:szCs w:val="1"/>
                <w:color w:val="auto"/>
              </w:rPr>
            </w:pPr>
          </w:p>
        </w:tc>
      </w:tr>
      <w:tr>
        <w:trPr>
          <w:trHeight w:val="264"/>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Stafford St Solar 3, LLC</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466 Stafford St Site C</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1,388</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12/31/17</w:t>
            </w:r>
          </w:p>
        </w:tc>
        <w:tc>
          <w:tcPr>
            <w:tcW w:w="120" w:type="dxa"/>
            <w:vAlign w:val="bottom"/>
          </w:tcPr>
          <w:p>
            <w:pPr>
              <w:spacing w:after="0"/>
              <w:rPr>
                <w:sz w:val="22"/>
                <w:szCs w:val="22"/>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 xml:space="preserve">Raytheon/Various </w:t>
            </w:r>
            <w:r>
              <w:rPr>
                <w:rFonts w:ascii="Arial" w:cs="Arial" w:eastAsia="Arial" w:hAnsi="Arial"/>
                <w:sz w:val="12"/>
                <w:szCs w:val="12"/>
                <w:color w:val="auto"/>
              </w:rPr>
              <w:t>(a)</w:t>
            </w: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167"/>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ETCAP NES CS MN 02 LLC</w:t>
            </w:r>
          </w:p>
        </w:tc>
        <w:tc>
          <w:tcPr>
            <w:tcW w:w="174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93"/>
              </w:rPr>
              <w:t>Nystuen</w:t>
            </w:r>
          </w:p>
        </w:tc>
        <w:tc>
          <w:tcPr>
            <w:tcW w:w="11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MN</w:t>
            </w: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1,055</w:t>
            </w:r>
          </w:p>
        </w:tc>
        <w:tc>
          <w:tcPr>
            <w:tcW w:w="1280" w:type="dxa"/>
            <w:vAlign w:val="bottom"/>
            <w:gridSpan w:val="2"/>
            <w:vMerge w:val="restart"/>
            <w:shd w:val="clear" w:color="auto" w:fill="CCEEFF"/>
          </w:tcPr>
          <w:p>
            <w:pPr>
              <w:jc w:val="center"/>
              <w:ind w:left="28"/>
              <w:spacing w:after="0"/>
              <w:rPr>
                <w:sz w:val="20"/>
                <w:szCs w:val="20"/>
                <w:color w:val="auto"/>
              </w:rPr>
            </w:pPr>
            <w:r>
              <w:rPr>
                <w:rFonts w:ascii="Arial" w:cs="Arial" w:eastAsia="Arial" w:hAnsi="Arial"/>
                <w:sz w:val="14"/>
                <w:szCs w:val="14"/>
                <w:color w:val="auto"/>
                <w:w w:val="91"/>
              </w:rPr>
              <w:t>05/01/18</w:t>
            </w:r>
          </w:p>
        </w:tc>
        <w:tc>
          <w:tcPr>
            <w:tcW w:w="12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100% residential</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0" w:type="dxa"/>
            <w:vAlign w:val="bottom"/>
          </w:tcPr>
          <w:p>
            <w:pPr>
              <w:spacing w:after="0"/>
              <w:rPr>
                <w:sz w:val="1"/>
                <w:szCs w:val="1"/>
                <w:color w:val="auto"/>
              </w:rPr>
            </w:pPr>
          </w:p>
        </w:tc>
      </w:tr>
      <w:tr>
        <w:trPr>
          <w:trHeight w:val="190"/>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w:t>
            </w:r>
          </w:p>
        </w:tc>
        <w:tc>
          <w:tcPr>
            <w:tcW w:w="1740" w:type="dxa"/>
            <w:vAlign w:val="bottom"/>
            <w:gridSpan w:val="2"/>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2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ETCAP NES CS MN 06 LLC</w:t>
            </w: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5"/>
              </w:rPr>
              <w:t>Armstrong</w:t>
            </w: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MN</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3,714</w:t>
            </w:r>
          </w:p>
        </w:tc>
        <w:tc>
          <w:tcPr>
            <w:tcW w:w="1280" w:type="dxa"/>
            <w:vAlign w:val="bottom"/>
            <w:gridSpan w:val="2"/>
            <w:vMerge w:val="restart"/>
          </w:tcPr>
          <w:p>
            <w:pPr>
              <w:jc w:val="center"/>
              <w:ind w:left="28"/>
              <w:spacing w:after="0"/>
              <w:rPr>
                <w:sz w:val="20"/>
                <w:szCs w:val="20"/>
                <w:color w:val="auto"/>
              </w:rPr>
            </w:pPr>
            <w:r>
              <w:rPr>
                <w:rFonts w:ascii="Arial" w:cs="Arial" w:eastAsia="Arial" w:hAnsi="Arial"/>
                <w:sz w:val="14"/>
                <w:szCs w:val="14"/>
                <w:color w:val="auto"/>
                <w:w w:val="91"/>
              </w:rPr>
              <w:t>05/01/18</w:t>
            </w:r>
          </w:p>
        </w:tc>
        <w:tc>
          <w:tcPr>
            <w:tcW w:w="120" w:type="dxa"/>
            <w:vAlign w:val="bottom"/>
          </w:tcPr>
          <w:p>
            <w:pPr>
              <w:spacing w:after="0"/>
              <w:rPr>
                <w:sz w:val="14"/>
                <w:szCs w:val="14"/>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Various</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89"/>
              </w:rPr>
              <w:t>25</w:t>
            </w:r>
          </w:p>
        </w:tc>
        <w:tc>
          <w:tcPr>
            <w:tcW w:w="0" w:type="dxa"/>
            <w:vAlign w:val="bottom"/>
          </w:tcPr>
          <w:p>
            <w:pPr>
              <w:spacing w:after="0"/>
              <w:rPr>
                <w:sz w:val="1"/>
                <w:szCs w:val="1"/>
                <w:color w:val="auto"/>
              </w:rPr>
            </w:pPr>
          </w:p>
        </w:tc>
      </w:tr>
      <w:tr>
        <w:trPr>
          <w:trHeight w:val="184"/>
        </w:trPr>
        <w:tc>
          <w:tcPr>
            <w:tcW w:w="2060" w:type="dxa"/>
            <w:vAlign w:val="bottom"/>
            <w:gridSpan w:val="2"/>
          </w:tcPr>
          <w:p>
            <w:pPr>
              <w:ind w:left="20"/>
              <w:spacing w:after="0"/>
              <w:rPr>
                <w:sz w:val="20"/>
                <w:szCs w:val="20"/>
                <w:color w:val="auto"/>
              </w:rPr>
            </w:pPr>
            <w:r>
              <w:rPr>
                <w:rFonts w:ascii="Arial" w:cs="Arial" w:eastAsia="Arial" w:hAnsi="Arial"/>
                <w:sz w:val="13"/>
                <w:szCs w:val="13"/>
                <w:color w:val="auto"/>
              </w:rPr>
              <w:t>(c)</w:t>
            </w:r>
          </w:p>
        </w:tc>
        <w:tc>
          <w:tcPr>
            <w:tcW w:w="17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Stafford St Solar 2, LLC</w:t>
            </w: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466 Stafford St Site B</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2,776</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05/09/18</w:t>
            </w: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Target/Various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15/20</w:t>
            </w:r>
          </w:p>
        </w:tc>
        <w:tc>
          <w:tcPr>
            <w:tcW w:w="0" w:type="dxa"/>
            <w:vAlign w:val="bottom"/>
          </w:tcPr>
          <w:p>
            <w:pPr>
              <w:spacing w:after="0"/>
              <w:rPr>
                <w:sz w:val="1"/>
                <w:szCs w:val="1"/>
                <w:color w:val="auto"/>
              </w:rPr>
            </w:pPr>
          </w:p>
        </w:tc>
      </w:tr>
      <w:tr>
        <w:trPr>
          <w:trHeight w:val="264"/>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Bullock Road Solar 1, LLC</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247 &amp; 249 Bullock</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5,754</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07/25/18</w:t>
            </w:r>
          </w:p>
        </w:tc>
        <w:tc>
          <w:tcPr>
            <w:tcW w:w="120" w:type="dxa"/>
            <w:vAlign w:val="bottom"/>
          </w:tcPr>
          <w:p>
            <w:pPr>
              <w:spacing w:after="0"/>
              <w:rPr>
                <w:sz w:val="22"/>
                <w:szCs w:val="22"/>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27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Mapleton Solar LLC</w:t>
            </w: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7"/>
              </w:rPr>
              <w:t>Mapleton</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MN</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5,080</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09/01/18</w:t>
            </w: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0" w:type="dxa"/>
            <w:vAlign w:val="bottom"/>
          </w:tcPr>
          <w:p>
            <w:pPr>
              <w:spacing w:after="0"/>
              <w:rPr>
                <w:sz w:val="1"/>
                <w:szCs w:val="1"/>
                <w:color w:val="auto"/>
              </w:rPr>
            </w:pPr>
          </w:p>
        </w:tc>
      </w:tr>
      <w:tr>
        <w:trPr>
          <w:trHeight w:val="264"/>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Osakis Solar LLC</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Osakis</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MN</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7,213</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09/01/18</w:t>
            </w:r>
          </w:p>
        </w:tc>
        <w:tc>
          <w:tcPr>
            <w:tcW w:w="120" w:type="dxa"/>
            <w:vAlign w:val="bottom"/>
          </w:tcPr>
          <w:p>
            <w:pPr>
              <w:spacing w:after="0"/>
              <w:rPr>
                <w:sz w:val="22"/>
                <w:szCs w:val="22"/>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25</w:t>
            </w:r>
          </w:p>
        </w:tc>
        <w:tc>
          <w:tcPr>
            <w:tcW w:w="0" w:type="dxa"/>
            <w:vAlign w:val="bottom"/>
          </w:tcPr>
          <w:p>
            <w:pPr>
              <w:spacing w:after="0"/>
              <w:rPr>
                <w:sz w:val="1"/>
                <w:szCs w:val="1"/>
                <w:color w:val="auto"/>
              </w:rPr>
            </w:pPr>
          </w:p>
        </w:tc>
      </w:tr>
      <w:tr>
        <w:trPr>
          <w:trHeight w:val="27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 Wauwinet LLC</w:t>
            </w: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85 Wauwinet Rd-Barre</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1,294</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09/17/18</w:t>
            </w: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Target/Various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15/20</w:t>
            </w:r>
          </w:p>
        </w:tc>
        <w:tc>
          <w:tcPr>
            <w:tcW w:w="0" w:type="dxa"/>
            <w:vAlign w:val="bottom"/>
          </w:tcPr>
          <w:p>
            <w:pPr>
              <w:spacing w:after="0"/>
              <w:rPr>
                <w:sz w:val="1"/>
                <w:szCs w:val="1"/>
                <w:color w:val="auto"/>
              </w:rPr>
            </w:pPr>
          </w:p>
        </w:tc>
      </w:tr>
      <w:tr>
        <w:trPr>
          <w:trHeight w:val="264"/>
        </w:trPr>
        <w:tc>
          <w:tcPr>
            <w:tcW w:w="2060" w:type="dxa"/>
            <w:vAlign w:val="bottom"/>
            <w:gridSpan w:val="2"/>
          </w:tcPr>
          <w:p>
            <w:pPr>
              <w:ind w:left="20"/>
              <w:spacing w:after="0"/>
              <w:rPr>
                <w:sz w:val="20"/>
                <w:szCs w:val="20"/>
                <w:color w:val="auto"/>
              </w:rPr>
            </w:pPr>
            <w:r>
              <w:rPr>
                <w:rFonts w:ascii="Arial" w:cs="Arial" w:eastAsia="Arial" w:hAnsi="Arial"/>
                <w:sz w:val="14"/>
                <w:szCs w:val="14"/>
                <w:color w:val="auto"/>
              </w:rPr>
              <w:t>Minisink Solar 1 LLC</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Minisink North</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NY</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2,495</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10/26/18</w:t>
            </w:r>
          </w:p>
        </w:tc>
        <w:tc>
          <w:tcPr>
            <w:tcW w:w="120" w:type="dxa"/>
            <w:vAlign w:val="bottom"/>
          </w:tcPr>
          <w:p>
            <w:pPr>
              <w:spacing w:after="0"/>
              <w:rPr>
                <w:sz w:val="22"/>
                <w:szCs w:val="22"/>
                <w:color w:val="auto"/>
              </w:rPr>
            </w:pPr>
          </w:p>
        </w:tc>
        <w:tc>
          <w:tcPr>
            <w:tcW w:w="1920" w:type="dxa"/>
            <w:vAlign w:val="bottom"/>
            <w:gridSpan w:val="2"/>
          </w:tcPr>
          <w:p>
            <w:pPr>
              <w:ind w:left="20"/>
              <w:spacing w:after="0"/>
              <w:rPr>
                <w:sz w:val="20"/>
                <w:szCs w:val="20"/>
                <w:color w:val="auto"/>
              </w:rPr>
            </w:pPr>
            <w:r>
              <w:rPr>
                <w:rFonts w:ascii="Arial" w:cs="Arial" w:eastAsia="Arial" w:hAnsi="Arial"/>
                <w:sz w:val="14"/>
                <w:szCs w:val="14"/>
                <w:color w:val="auto"/>
              </w:rPr>
              <w:t>100% residential</w:t>
            </w: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276"/>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Minisink Solar 2 LLC</w:t>
            </w: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Minisink South</w:t>
            </w:r>
          </w:p>
        </w:tc>
        <w:tc>
          <w:tcPr>
            <w:tcW w:w="11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NY</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2,795</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11/01/18</w:t>
            </w:r>
          </w:p>
        </w:tc>
        <w:tc>
          <w:tcPr>
            <w:tcW w:w="12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residential</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264"/>
        </w:trPr>
        <w:tc>
          <w:tcPr>
            <w:tcW w:w="20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DG Marathon LLC</w:t>
            </w:r>
          </w:p>
        </w:tc>
        <w:tc>
          <w:tcPr>
            <w:tcW w:w="174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4"/>
                <w:szCs w:val="14"/>
                <w:color w:val="auto"/>
                <w:w w:val="87"/>
              </w:rPr>
              <w:t>Sage Stone</w:t>
            </w:r>
          </w:p>
        </w:tc>
        <w:tc>
          <w:tcPr>
            <w:tcW w:w="110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4"/>
                <w:szCs w:val="14"/>
                <w:color w:val="auto"/>
                <w:w w:val="95"/>
              </w:rPr>
              <w:t>Community</w:t>
            </w:r>
          </w:p>
        </w:tc>
        <w:tc>
          <w:tcPr>
            <w:tcW w:w="9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rPr>
              <w:t>MA</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2,614</w:t>
            </w:r>
          </w:p>
        </w:tc>
        <w:tc>
          <w:tcPr>
            <w:tcW w:w="1280" w:type="dxa"/>
            <w:vAlign w:val="bottom"/>
            <w:tcBorders>
              <w:bottom w:val="single" w:sz="8" w:color="CCEEFF"/>
            </w:tcBorders>
            <w:gridSpan w:val="2"/>
          </w:tcPr>
          <w:p>
            <w:pPr>
              <w:jc w:val="center"/>
              <w:ind w:left="28"/>
              <w:spacing w:after="0"/>
              <w:rPr>
                <w:sz w:val="20"/>
                <w:szCs w:val="20"/>
                <w:color w:val="auto"/>
              </w:rPr>
            </w:pPr>
            <w:r>
              <w:rPr>
                <w:rFonts w:ascii="Arial" w:cs="Arial" w:eastAsia="Arial" w:hAnsi="Arial"/>
                <w:sz w:val="14"/>
                <w:szCs w:val="14"/>
                <w:color w:val="auto"/>
                <w:w w:val="91"/>
              </w:rPr>
              <w:t>01/04/19</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Ahold USA/Various </w:t>
            </w:r>
            <w:r>
              <w:rPr>
                <w:rFonts w:ascii="Arial" w:cs="Arial" w:eastAsia="Arial" w:hAnsi="Arial"/>
                <w:sz w:val="12"/>
                <w:szCs w:val="12"/>
                <w:color w:val="auto"/>
              </w:rPr>
              <w:t>(a)</w:t>
            </w: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237"/>
        </w:trPr>
        <w:tc>
          <w:tcPr>
            <w:tcW w:w="1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81,592</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197485</wp:posOffset>
            </wp:positionV>
            <wp:extent cx="11404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6">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339" w:lineRule="exact"/>
        <w:rPr>
          <w:sz w:val="20"/>
          <w:szCs w:val="20"/>
          <w:color w:val="auto"/>
        </w:rPr>
      </w:pPr>
    </w:p>
    <w:p>
      <w:pPr>
        <w:ind w:left="440" w:hanging="189"/>
        <w:spacing w:after="0"/>
        <w:tabs>
          <w:tab w:leader="none" w:pos="440" w:val="left"/>
        </w:tabs>
        <w:numPr>
          <w:ilvl w:val="1"/>
          <w:numId w:val="12"/>
        </w:numPr>
        <w:rPr>
          <w:rFonts w:ascii="Arial" w:cs="Arial" w:eastAsia="Arial" w:hAnsi="Arial"/>
          <w:sz w:val="14"/>
          <w:szCs w:val="14"/>
          <w:color w:val="auto"/>
        </w:rPr>
      </w:pPr>
      <w:r>
        <w:rPr>
          <w:rFonts w:ascii="Arial" w:cs="Arial" w:eastAsia="Arial" w:hAnsi="Arial"/>
          <w:sz w:val="14"/>
          <w:szCs w:val="14"/>
          <w:color w:val="auto"/>
        </w:rPr>
        <w:t>50% sold through community solar services agreements and 50% sold to named customer through net metering purchase agreements.</w:t>
      </w:r>
    </w:p>
    <w:p>
      <w:pPr>
        <w:spacing w:after="0" w:line="55" w:lineRule="exact"/>
        <w:rPr>
          <w:rFonts w:ascii="Arial" w:cs="Arial" w:eastAsia="Arial" w:hAnsi="Arial"/>
          <w:sz w:val="14"/>
          <w:szCs w:val="14"/>
          <w:color w:val="auto"/>
        </w:rPr>
      </w:pPr>
    </w:p>
    <w:p>
      <w:pPr>
        <w:ind w:left="460" w:hanging="209"/>
        <w:spacing w:after="0"/>
        <w:tabs>
          <w:tab w:leader="none" w:pos="460" w:val="left"/>
        </w:tabs>
        <w:numPr>
          <w:ilvl w:val="1"/>
          <w:numId w:val="12"/>
        </w:numPr>
        <w:rPr>
          <w:rFonts w:ascii="Arial" w:cs="Arial" w:eastAsia="Arial" w:hAnsi="Arial"/>
          <w:sz w:val="14"/>
          <w:szCs w:val="14"/>
          <w:color w:val="auto"/>
        </w:rPr>
      </w:pPr>
      <w:r>
        <w:rPr>
          <w:rFonts w:ascii="Arial" w:cs="Arial" w:eastAsia="Arial" w:hAnsi="Arial"/>
          <w:sz w:val="14"/>
          <w:szCs w:val="14"/>
          <w:color w:val="auto"/>
        </w:rPr>
        <w:t>The initial term of 27 years shall automatically extend for 3 years, then for 1 year in perpetuity unless terminated by either party.</w:t>
      </w:r>
    </w:p>
    <w:p>
      <w:pPr>
        <w:spacing w:after="0" w:line="55" w:lineRule="exact"/>
        <w:rPr>
          <w:rFonts w:ascii="Arial" w:cs="Arial" w:eastAsia="Arial" w:hAnsi="Arial"/>
          <w:sz w:val="14"/>
          <w:szCs w:val="14"/>
          <w:color w:val="auto"/>
        </w:rPr>
      </w:pPr>
    </w:p>
    <w:p>
      <w:pPr>
        <w:ind w:left="440" w:hanging="189"/>
        <w:spacing w:after="0"/>
        <w:tabs>
          <w:tab w:leader="none" w:pos="440" w:val="left"/>
        </w:tabs>
        <w:numPr>
          <w:ilvl w:val="1"/>
          <w:numId w:val="12"/>
        </w:numPr>
        <w:rPr>
          <w:rFonts w:ascii="Arial" w:cs="Arial" w:eastAsia="Arial" w:hAnsi="Arial"/>
          <w:sz w:val="14"/>
          <w:szCs w:val="14"/>
          <w:color w:val="auto"/>
        </w:rPr>
      </w:pPr>
      <w:r>
        <w:rPr>
          <w:rFonts w:ascii="Arial" w:cs="Arial" w:eastAsia="Arial" w:hAnsi="Arial"/>
          <w:sz w:val="14"/>
          <w:szCs w:val="14"/>
          <w:color w:val="auto"/>
        </w:rPr>
        <w:t>Mechanics liens have been filed on the project by certain engineering, procurement and construction contractors due to disputes between the contractor and subcontractor.</w:t>
      </w:r>
    </w:p>
    <w:p>
      <w:pPr>
        <w:spacing w:after="0" w:line="109" w:lineRule="exact"/>
        <w:rPr>
          <w:rFonts w:ascii="Arial" w:cs="Arial" w:eastAsia="Arial" w:hAnsi="Arial"/>
          <w:sz w:val="14"/>
          <w:szCs w:val="14"/>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CS4 Fund</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Company's wholly owned subsidiary, CS4 Borrower, was formed on July 9, 2018 for the purpose of acting as the borrower under a credit agreement for the CS4 Fund, as described in note 6,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and CS4 Borrower owns 100% of Renew Solar CS4 Class B LLC, the Class B Member of the Renew Solar CS4 Fund LLC, or CS4 Fund, tax equity arrangement. Renew Solar CS4 Class B LLC, or CS4 Class B, is the Managing Member of CS4 Fund and conducts and directs all operating activities of the fund. The Class A Member of CS4 Fund, or Investor Member, is PNC Commercial, LLC, or PNC, an indirect wholly owned subsidiary of PNC Financial Services Group, Inc. CS4 Borrower's wholly owned subsidiary Renew Solar CS4 Seller LLC, or CS4 Seller, acquires the project entities from a subsidiary of Clearway Renew, funds the construction of the projects, and in turn, sells these projects to CS4 Fund.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CS4 Fund's 100% owned subsidiaries and related solar facilities are listed below:</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Facility</w:t>
            </w: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Commercial</w:t>
            </w:r>
          </w:p>
        </w:tc>
        <w:tc>
          <w:tcPr>
            <w:tcW w:w="2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0"/>
        </w:trPr>
        <w:tc>
          <w:tcPr>
            <w:tcW w:w="2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7"/>
              </w:rPr>
              <w:t>capacity</w:t>
            </w:r>
          </w:p>
        </w:tc>
        <w:tc>
          <w:tcPr>
            <w:tcW w:w="200" w:type="dxa"/>
            <w:vAlign w:val="bottom"/>
          </w:tcPr>
          <w:p>
            <w:pPr>
              <w:spacing w:after="0"/>
              <w:rPr>
                <w:sz w:val="23"/>
                <w:szCs w:val="23"/>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operations</w:t>
            </w:r>
          </w:p>
        </w:tc>
        <w:tc>
          <w:tcPr>
            <w:tcW w:w="2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PPA</w:t>
            </w:r>
          </w:p>
        </w:tc>
      </w:tr>
      <w:tr>
        <w:trPr>
          <w:trHeight w:val="270"/>
        </w:trPr>
        <w:tc>
          <w:tcPr>
            <w:tcW w:w="2740" w:type="dxa"/>
            <w:vAlign w:val="bottom"/>
            <w:gridSpan w:val="2"/>
          </w:tcPr>
          <w:p>
            <w:pPr>
              <w:ind w:left="680"/>
              <w:spacing w:after="0"/>
              <w:rPr>
                <w:sz w:val="20"/>
                <w:szCs w:val="20"/>
                <w:color w:val="auto"/>
              </w:rPr>
            </w:pPr>
            <w:r>
              <w:rPr>
                <w:rFonts w:ascii="Arial" w:cs="Arial" w:eastAsia="Arial" w:hAnsi="Arial"/>
                <w:sz w:val="16"/>
                <w:szCs w:val="16"/>
                <w:b w:val="1"/>
                <w:bCs w:val="1"/>
                <w:color w:val="auto"/>
              </w:rPr>
              <w:t>Project company</w:t>
            </w: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Location</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7"/>
              </w:rPr>
              <w:t>(kWdc)</w:t>
            </w:r>
          </w:p>
        </w:tc>
        <w:tc>
          <w:tcPr>
            <w:tcW w:w="200" w:type="dxa"/>
            <w:vAlign w:val="bottom"/>
          </w:tcPr>
          <w:p>
            <w:pPr>
              <w:spacing w:after="0"/>
              <w:rPr>
                <w:sz w:val="23"/>
                <w:szCs w:val="23"/>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date</w:t>
            </w:r>
          </w:p>
        </w:tc>
        <w:tc>
          <w:tcPr>
            <w:tcW w:w="2480" w:type="dxa"/>
            <w:vAlign w:val="bottom"/>
            <w:gridSpan w:val="2"/>
          </w:tcPr>
          <w:p>
            <w:pPr>
              <w:ind w:left="680"/>
              <w:spacing w:after="0"/>
              <w:rPr>
                <w:sz w:val="20"/>
                <w:szCs w:val="20"/>
                <w:color w:val="auto"/>
              </w:rPr>
            </w:pPr>
            <w:r>
              <w:rPr>
                <w:rFonts w:ascii="Arial" w:cs="Arial" w:eastAsia="Arial" w:hAnsi="Arial"/>
                <w:sz w:val="16"/>
                <w:szCs w:val="16"/>
                <w:b w:val="1"/>
                <w:bCs w:val="1"/>
                <w:color w:val="auto"/>
              </w:rPr>
              <w:t>PPA offtaker</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1"/>
              </w:rPr>
              <w:t>terms</w:t>
            </w:r>
          </w:p>
        </w:tc>
      </w:tr>
      <w:tr>
        <w:trPr>
          <w:trHeight w:val="33"/>
        </w:trPr>
        <w:tc>
          <w:tcPr>
            <w:tcW w:w="2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Montevideo Solar LLC</w:t>
            </w:r>
          </w:p>
        </w:tc>
        <w:tc>
          <w:tcPr>
            <w:tcW w:w="14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Minnesota</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7,497</w:t>
            </w:r>
          </w:p>
        </w:tc>
        <w:tc>
          <w:tcPr>
            <w:tcW w:w="1460" w:type="dxa"/>
            <w:vAlign w:val="bottom"/>
            <w:tcBorders>
              <w:bottom w:val="single" w:sz="8" w:color="CCEEFF"/>
            </w:tcBorders>
            <w:gridSpan w:val="2"/>
            <w:shd w:val="clear" w:color="auto" w:fill="CCEEFF"/>
          </w:tcPr>
          <w:p>
            <w:pPr>
              <w:jc w:val="center"/>
              <w:ind w:left="119"/>
              <w:spacing w:after="0"/>
              <w:rPr>
                <w:sz w:val="20"/>
                <w:szCs w:val="20"/>
                <w:color w:val="auto"/>
              </w:rPr>
            </w:pPr>
            <w:r>
              <w:rPr>
                <w:rFonts w:ascii="Arial" w:cs="Arial" w:eastAsia="Arial" w:hAnsi="Arial"/>
                <w:sz w:val="16"/>
                <w:szCs w:val="16"/>
                <w:color w:val="auto"/>
                <w:w w:val="93"/>
              </w:rPr>
              <w:t>1/1/2019</w:t>
            </w:r>
          </w:p>
        </w:tc>
        <w:tc>
          <w:tcPr>
            <w:tcW w:w="20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Various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25 years</w:t>
            </w:r>
          </w:p>
        </w:tc>
      </w:tr>
      <w:tr>
        <w:trPr>
          <w:trHeight w:val="270"/>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Chisago Holdco LLC</w:t>
            </w: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Minnesota</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3,937</w:t>
            </w:r>
          </w:p>
        </w:tc>
        <w:tc>
          <w:tcPr>
            <w:tcW w:w="200" w:type="dxa"/>
            <w:vAlign w:val="bottom"/>
          </w:tcPr>
          <w:p>
            <w:pPr>
              <w:spacing w:after="0"/>
              <w:rPr>
                <w:sz w:val="23"/>
                <w:szCs w:val="23"/>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 xml:space="preserve">N/A </w:t>
            </w:r>
            <w:r>
              <w:rPr>
                <w:rFonts w:ascii="Arial" w:cs="Arial" w:eastAsia="Arial" w:hAnsi="Arial"/>
                <w:sz w:val="21"/>
                <w:szCs w:val="21"/>
                <w:color w:val="auto"/>
                <w:w w:val="91"/>
                <w:vertAlign w:val="superscript"/>
              </w:rPr>
              <w:t>(a)</w:t>
            </w: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Various</w:t>
            </w:r>
          </w:p>
        </w:tc>
        <w:tc>
          <w:tcPr>
            <w:tcW w:w="1140" w:type="dxa"/>
            <w:vAlign w:val="bottom"/>
          </w:tcPr>
          <w:p>
            <w:pPr>
              <w:jc w:val="center"/>
              <w:spacing w:after="0"/>
              <w:rPr>
                <w:sz w:val="20"/>
                <w:szCs w:val="20"/>
                <w:color w:val="auto"/>
              </w:rPr>
            </w:pPr>
            <w:r>
              <w:rPr>
                <w:rFonts w:ascii="Arial" w:cs="Arial" w:eastAsia="Arial" w:hAnsi="Arial"/>
                <w:sz w:val="16"/>
                <w:szCs w:val="16"/>
                <w:color w:val="auto"/>
                <w:w w:val="87"/>
              </w:rPr>
              <w:t>25 years</w:t>
            </w:r>
          </w:p>
        </w:tc>
      </w:tr>
      <w:tr>
        <w:trPr>
          <w:trHeight w:val="270"/>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CMR Solar LLC</w:t>
            </w: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5"/>
              </w:rPr>
              <w:t>New York</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2,808</w:t>
            </w:r>
          </w:p>
        </w:tc>
        <w:tc>
          <w:tcPr>
            <w:tcW w:w="20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1"/>
              </w:rPr>
              <w:t xml:space="preserve">N/A </w:t>
            </w:r>
            <w:r>
              <w:rPr>
                <w:rFonts w:ascii="Arial" w:cs="Arial" w:eastAsia="Arial" w:hAnsi="Arial"/>
                <w:sz w:val="21"/>
                <w:szCs w:val="21"/>
                <w:color w:val="auto"/>
                <w:w w:val="91"/>
                <w:vertAlign w:val="superscript"/>
              </w:rPr>
              <w:t>(a)</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NYSERDA/Various </w:t>
            </w:r>
            <w:r>
              <w:rPr>
                <w:rFonts w:ascii="Arial" w:cs="Arial" w:eastAsia="Arial" w:hAnsi="Arial"/>
                <w:sz w:val="21"/>
                <w:szCs w:val="21"/>
                <w:color w:val="auto"/>
                <w:vertAlign w:val="superscript"/>
              </w:rPr>
              <w:t>(b)</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10/20 years</w:t>
            </w:r>
          </w:p>
        </w:tc>
      </w:tr>
      <w:tr>
        <w:trPr>
          <w:trHeight w:val="270"/>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Frontenac Holdco LLC</w:t>
            </w: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Minnesota</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7,208</w:t>
            </w:r>
          </w:p>
        </w:tc>
        <w:tc>
          <w:tcPr>
            <w:tcW w:w="200" w:type="dxa"/>
            <w:vAlign w:val="bottom"/>
          </w:tcPr>
          <w:p>
            <w:pPr>
              <w:spacing w:after="0"/>
              <w:rPr>
                <w:sz w:val="23"/>
                <w:szCs w:val="23"/>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 xml:space="preserve">N/A </w:t>
            </w:r>
            <w:r>
              <w:rPr>
                <w:rFonts w:ascii="Arial" w:cs="Arial" w:eastAsia="Arial" w:hAnsi="Arial"/>
                <w:sz w:val="21"/>
                <w:szCs w:val="21"/>
                <w:color w:val="auto"/>
                <w:w w:val="91"/>
                <w:vertAlign w:val="superscript"/>
              </w:rPr>
              <w:t>(a)</w:t>
            </w: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Various</w:t>
            </w:r>
          </w:p>
        </w:tc>
        <w:tc>
          <w:tcPr>
            <w:tcW w:w="1140" w:type="dxa"/>
            <w:vAlign w:val="bottom"/>
          </w:tcPr>
          <w:p>
            <w:pPr>
              <w:jc w:val="center"/>
              <w:spacing w:after="0"/>
              <w:rPr>
                <w:sz w:val="20"/>
                <w:szCs w:val="20"/>
                <w:color w:val="auto"/>
              </w:rPr>
            </w:pPr>
            <w:r>
              <w:rPr>
                <w:rFonts w:ascii="Arial" w:cs="Arial" w:eastAsia="Arial" w:hAnsi="Arial"/>
                <w:sz w:val="16"/>
                <w:szCs w:val="16"/>
                <w:color w:val="auto"/>
                <w:w w:val="87"/>
              </w:rPr>
              <w:t>25 years</w:t>
            </w:r>
          </w:p>
        </w:tc>
      </w:tr>
      <w:tr>
        <w:trPr>
          <w:trHeight w:val="270"/>
        </w:trPr>
        <w:tc>
          <w:tcPr>
            <w:tcW w:w="2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Bluestone Solar LLC</w:t>
            </w: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5"/>
              </w:rPr>
              <w:t>New York</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3,013</w:t>
            </w:r>
          </w:p>
        </w:tc>
        <w:tc>
          <w:tcPr>
            <w:tcW w:w="20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1"/>
              </w:rPr>
              <w:t xml:space="preserve">N/A </w:t>
            </w:r>
            <w:r>
              <w:rPr>
                <w:rFonts w:ascii="Arial" w:cs="Arial" w:eastAsia="Arial" w:hAnsi="Arial"/>
                <w:sz w:val="21"/>
                <w:szCs w:val="21"/>
                <w:color w:val="auto"/>
                <w:w w:val="91"/>
                <w:vertAlign w:val="superscript"/>
              </w:rPr>
              <w:t>(a)</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20 years</w:t>
            </w:r>
          </w:p>
        </w:tc>
      </w:tr>
      <w:tr>
        <w:trPr>
          <w:trHeight w:val="270"/>
        </w:trPr>
        <w:tc>
          <w:tcPr>
            <w:tcW w:w="2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Underhill Solar LLC</w:t>
            </w:r>
          </w:p>
        </w:tc>
        <w:tc>
          <w:tcPr>
            <w:tcW w:w="1460" w:type="dxa"/>
            <w:vAlign w:val="bottom"/>
            <w:tcBorders>
              <w:bottom w:val="single" w:sz="8" w:color="CCEEFF"/>
            </w:tcBorders>
            <w:gridSpan w:val="2"/>
          </w:tcPr>
          <w:p>
            <w:pPr>
              <w:jc w:val="center"/>
              <w:ind w:right="200"/>
              <w:spacing w:after="0"/>
              <w:rPr>
                <w:sz w:val="20"/>
                <w:szCs w:val="20"/>
                <w:color w:val="auto"/>
              </w:rPr>
            </w:pPr>
            <w:r>
              <w:rPr>
                <w:rFonts w:ascii="Arial" w:cs="Arial" w:eastAsia="Arial" w:hAnsi="Arial"/>
                <w:sz w:val="16"/>
                <w:szCs w:val="16"/>
                <w:color w:val="auto"/>
                <w:w w:val="95"/>
              </w:rPr>
              <w:t>New York</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3,011</w:t>
            </w:r>
          </w:p>
        </w:tc>
        <w:tc>
          <w:tcPr>
            <w:tcW w:w="200" w:type="dxa"/>
            <w:vAlign w:val="bottom"/>
            <w:tcBorders>
              <w:bottom w:val="single" w:sz="8" w:color="CCEEFF"/>
            </w:tcBorders>
          </w:tcPr>
          <w:p>
            <w:pPr>
              <w:spacing w:after="0"/>
              <w:rPr>
                <w:sz w:val="23"/>
                <w:szCs w:val="23"/>
                <w:color w:val="auto"/>
              </w:rPr>
            </w:pPr>
          </w:p>
        </w:tc>
        <w:tc>
          <w:tcPr>
            <w:tcW w:w="146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6"/>
                <w:szCs w:val="16"/>
                <w:color w:val="auto"/>
                <w:w w:val="91"/>
              </w:rPr>
              <w:t xml:space="preserve">N/A </w:t>
            </w:r>
            <w:r>
              <w:rPr>
                <w:rFonts w:ascii="Arial" w:cs="Arial" w:eastAsia="Arial" w:hAnsi="Arial"/>
                <w:sz w:val="21"/>
                <w:szCs w:val="21"/>
                <w:color w:val="auto"/>
                <w:w w:val="91"/>
                <w:vertAlign w:val="superscript"/>
              </w:rPr>
              <w:t>(a)</w:t>
            </w:r>
          </w:p>
        </w:tc>
        <w:tc>
          <w:tcPr>
            <w:tcW w:w="2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 xml:space="preserve">NYSERDA/Various </w:t>
            </w:r>
            <w:r>
              <w:rPr>
                <w:rFonts w:ascii="Arial" w:cs="Arial" w:eastAsia="Arial" w:hAnsi="Arial"/>
                <w:sz w:val="21"/>
                <w:szCs w:val="21"/>
                <w:color w:val="auto"/>
                <w:vertAlign w:val="superscript"/>
              </w:rPr>
              <w:t>(b)</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8"/>
              </w:rPr>
              <w:t>10/20 years</w:t>
            </w:r>
          </w:p>
        </w:tc>
      </w:tr>
      <w:tr>
        <w:trPr>
          <w:trHeight w:val="255"/>
        </w:trPr>
        <w:tc>
          <w:tcPr>
            <w:tcW w:w="2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27,474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1404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7">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339"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Projects have not yet begun commercial operations.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1,000 kWdc sold to New York State Energy Research and Development Authority, or NYSERDA, through the 10-year PPA and the remainder through community solar customer agreements.</w:t>
      </w:r>
    </w:p>
    <w:p>
      <w:pPr>
        <w:spacing w:after="0" w:line="206" w:lineRule="exact"/>
        <w:rPr>
          <w:sz w:val="20"/>
          <w:szCs w:val="20"/>
          <w:color w:val="auto"/>
        </w:rPr>
      </w:pPr>
    </w:p>
    <w:p>
      <w:pPr>
        <w:ind w:firstLine="648"/>
        <w:spacing w:after="0" w:line="293" w:lineRule="auto"/>
        <w:rPr>
          <w:sz w:val="20"/>
          <w:szCs w:val="20"/>
          <w:color w:val="auto"/>
        </w:rPr>
      </w:pPr>
      <w:r>
        <w:rPr>
          <w:rFonts w:ascii="Arial" w:cs="Arial" w:eastAsia="Arial" w:hAnsi="Arial"/>
          <w:sz w:val="18"/>
          <w:szCs w:val="18"/>
          <w:color w:val="auto"/>
        </w:rPr>
        <w:t>CS4 Borrower also owns two additional project companies, Rollingstone Holdco LLC and Sartell Solar LLC, held by CS4 Seller, which have not yet been sold into CS4 Fund.</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diagram provides further information related to the Company’s ownership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5866130" cy="4399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8">
                      <a:extLst>
                        <a:ext uri="{28A0092B-C50C-407E-A947-70E740481C1C}"/>
                      </a:extLst>
                    </a:blip>
                    <a:srcRect/>
                    <a:stretch>
                      <a:fillRect/>
                    </a:stretch>
                  </pic:blipFill>
                  <pic:spPr bwMode="auto">
                    <a:xfrm>
                      <a:off x="0" y="0"/>
                      <a:ext cx="5866130" cy="439928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584" w:right="2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13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or U.S. GAAP. The Accounting Standards Codification, or ASC, established by the Financial Accounting Standards Board, or FASB, is the source of authoritative U.S. GAAP to be applied by nongovernmental entities.</w:t>
      </w:r>
    </w:p>
    <w:p>
      <w:pPr>
        <w:spacing w:after="0" w:line="1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consolidated financial statements include the Company's accounts and operations of those of its subsidiaries. All significant intercompany transactions and balances have been eliminated in the consolidated financial statements.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ASC 810, </w:t>
      </w:r>
      <w:r>
        <w:rPr>
          <w:rFonts w:ascii="Arial" w:cs="Arial" w:eastAsia="Arial" w:hAnsi="Arial"/>
          <w:sz w:val="18"/>
          <w:szCs w:val="18"/>
          <w:i w:val="1"/>
          <w:iCs w:val="1"/>
          <w:color w:val="auto"/>
        </w:rPr>
        <w:t>Consolidations</w:t>
      </w:r>
      <w:r>
        <w:rPr>
          <w:rFonts w:ascii="Arial" w:cs="Arial" w:eastAsia="Arial" w:hAnsi="Arial"/>
          <w:sz w:val="18"/>
          <w:szCs w:val="18"/>
          <w:color w:val="auto"/>
        </w:rPr>
        <w:t>, to determine when an entity that is not controlled through its voting interests should be consolidated.</w:t>
      </w:r>
    </w:p>
    <w:p>
      <w:pPr>
        <w:spacing w:after="0" w:line="16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The Company has elected not to push down the effects of the GIP Transaction to its consolidated financial statements and accordingly, there was no change in basis of presentation related to the GIP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Cash</w:t>
      </w:r>
    </w:p>
    <w:p>
      <w:pPr>
        <w:spacing w:after="0" w:line="13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cash and restricted cash reported within the consolidated balance sheets that sum to the total of the same such amounts shown in the consolidated statements of cash flows as of December 31, 2018 and 2017 (in thousands):</w:t>
      </w:r>
    </w:p>
    <w:p>
      <w:pPr>
        <w:spacing w:after="0" w:line="252" w:lineRule="exact"/>
        <w:rPr>
          <w:sz w:val="20"/>
          <w:szCs w:val="20"/>
          <w:color w:val="auto"/>
        </w:rPr>
      </w:pPr>
    </w:p>
    <w:tbl>
      <w:tblPr>
        <w:tblLayout w:type="fixed"/>
        <w:tblInd w:w="258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0" w:type="dxa"/>
            <w:vAlign w:val="bottom"/>
          </w:tcPr>
          <w:p>
            <w:pPr>
              <w:spacing w:after="0"/>
              <w:rPr>
                <w:sz w:val="1"/>
                <w:szCs w:val="1"/>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16,022</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4,095</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90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2"/>
              </w:rPr>
              <w:t>Cash and restricted cash shown in the consolidated</w:t>
            </w:r>
          </w:p>
        </w:tc>
        <w:tc>
          <w:tcPr>
            <w:tcW w:w="2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21,057</w:t>
            </w:r>
          </w:p>
        </w:tc>
        <w:tc>
          <w:tcPr>
            <w:tcW w:w="1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statements of cash flows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2018, restricted cash consists of $5 million held at Renew Solar CS4 Borrower LLC for debt service and $10 million held at Chestnut Class B Borrower LLC for distributions and to satisfy reserves for performance obligations. As of December 31, 2017, restricted cash consisted of cash collateral related to the Chestnut Class B Borrower LLC debt agreement.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Accounts Receivable – Trade</w:t>
      </w:r>
    </w:p>
    <w:p>
      <w:pPr>
        <w:spacing w:after="0" w:line="14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Accounts receivable represent trade receivables from sales of electricity to residential, commercial and municipal customers. Also included in accounts receivable – trade as of December 31, 2018 are receivables for the sale of renewable energy credits to a former affiliate, NRG Power Marketing LLC and receivables related to government incentives. The Company reviews its accounts receivable by aging category to identify significant customer balances with known collections issues. In evaluating the allowance, the Company makes judgments about the creditworthiness of its customers based on ongoing credit evaluations. The Company also considers current economic trends that might impact the level of future credit losses. As of December 31, 2018 and 2017, the allowance for doubtful accounts was $11 thousand and $0,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 Debt Issuance Costs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Debt issuance costs consist of legal fees and closing costs incurred by the Company in obtaining its financings. These costs are capitalized and amortized as interest expense on a basis which approximates the effective interest method over the term of the financing obligation and are presented as a direct deduction from the carrying amount of the related debt.</w:t>
      </w:r>
    </w:p>
    <w:p>
      <w:pPr>
        <w:spacing w:after="0" w:line="1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Amortization expense, included in interest expense in the consolidated statements of income, was $810 thousand for the year ended December 31, 2018 and $308 thousand for the period from September 26, 2017 through December 31, 2017.</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96" w:right="23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i w:val="1"/>
          <w:iCs w:val="1"/>
          <w:color w:val="auto"/>
        </w:rPr>
        <w:t>(e) Property, Plant, and Equipment</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purchased certain of its solar installations from Clearway Renew and its subsidiaries through its acquisitions of wholly owned project subsidiaries listed in note 1, </w:t>
      </w:r>
      <w:r>
        <w:rPr>
          <w:rFonts w:ascii="Arial" w:cs="Arial" w:eastAsia="Arial" w:hAnsi="Arial"/>
          <w:sz w:val="18"/>
          <w:szCs w:val="18"/>
          <w:i w:val="1"/>
          <w:iCs w:val="1"/>
          <w:color w:val="auto"/>
        </w:rPr>
        <w:t>Nature of Business</w:t>
      </w:r>
      <w:r>
        <w:rPr>
          <w:rFonts w:ascii="Arial" w:cs="Arial" w:eastAsia="Arial" w:hAnsi="Arial"/>
          <w:sz w:val="18"/>
          <w:szCs w:val="18"/>
          <w:color w:val="auto"/>
        </w:rPr>
        <w:t>. The acquisitions were recorded as a transfer of assets under common control and accordingly, the assets are recorded at Clearway Renew’s historical cost. The excess of the purchase price over the historical cost was recorded as a developer fee as a non-cash reduction to member's equity.</w:t>
      </w:r>
    </w:p>
    <w:p>
      <w:pPr>
        <w:spacing w:after="0" w:line="14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of the assets. Certain assets and their related accumulated depreciation amounts are adjusted for asset retirements and disposals with the resulting gain or loss included in cost of operations in the consolidated statements of income. See note 4,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for additional information.</w:t>
      </w:r>
    </w:p>
    <w:p>
      <w:pPr>
        <w:spacing w:after="0" w:line="1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incurred on funds borrowed to finance capital projects is capitalized until the project under construction is ready for its intended use. The amount of interest capitalized for the period from September 7, 2018 through December 31, 2018 was $506 thousand.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Intangible Asset</w:t>
      </w:r>
    </w:p>
    <w:p>
      <w:pPr>
        <w:spacing w:after="0" w:line="1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Intangible asset for power purchase agreement represents the fair value of the out-of-market component of the PPA acquired at the DG Foxborough Elm LLC facility determined at acquisition date, when Clearway Renew acquired the project from a third-party. The Company recognizes specifically identifiable intangible assets when specific rights and contracts are acquired. This definite-lived intangible asset is amortized as a reduction to operating revenues on a straight line basis over the term of the PPA (through October 2042), which is 25 years from the date the facility achieved commercial operations.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and 2017, the intangible asset subject to amortization consists of the following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24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33"/>
        </w:trPr>
        <w:tc>
          <w:tcPr>
            <w:tcW w:w="55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 for power purchase agreement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Less accumulated amortization</w:t>
            </w:r>
          </w:p>
        </w:tc>
        <w:tc>
          <w:tcPr>
            <w:tcW w:w="1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(73)</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55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Net intangible asset for power purchase agreement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1,487</w:t>
            </w:r>
          </w:p>
        </w:tc>
      </w:tr>
      <w:tr>
        <w:trPr>
          <w:trHeight w:val="20"/>
        </w:trPr>
        <w:tc>
          <w:tcPr>
            <w:tcW w:w="5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Aggregate amortization expense was $60 thousand and $13 thousand for the year ended December 31, 2018 and for the period from September 26, 2017 through December 31, 2017, respectively, which was recorded as a reduction to operating revenues in the consolidated statements of income. Estimated amortization expense for each of the next five years is $60 thousand.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Asset Impairments</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Long-lived assets that are held and used are reviewed for impairment whenever events or changes in circumstances indicate carrying values may not be recoverable. Such reviews are performed in accordance with ASC 360</w:t>
      </w:r>
      <w:r>
        <w:rPr>
          <w:rFonts w:ascii="Arial" w:cs="Arial" w:eastAsia="Arial" w:hAnsi="Arial"/>
          <w:sz w:val="18"/>
          <w:szCs w:val="18"/>
          <w:i w:val="1"/>
          <w:iCs w:val="1"/>
          <w:color w:val="auto"/>
        </w:rPr>
        <w:t>, Property, Plant, and Equipment</w:t>
      </w:r>
      <w:r>
        <w:rPr>
          <w:rFonts w:ascii="Arial" w:cs="Arial" w:eastAsia="Arial" w:hAnsi="Arial"/>
          <w:sz w:val="18"/>
          <w:szCs w:val="18"/>
          <w:color w:val="auto"/>
        </w:rPr>
        <w:t>. An impairment loss is indicated if the total future estimated undiscounted cash flows expected from an asset are less than its carrying value. An impairment charge is measured by the difference between an asset’s carrying amount and fair value with the difference recorded in operating costs and expenses in the consolidated statements of income. Fair values are determined by a variety of valuation methods, including third-party appraisals, sales prices of similar assets, and present value techniques. There were no indicators of impairment loss as of December 31, 2018.</w:t>
      </w:r>
    </w:p>
    <w:p>
      <w:pPr>
        <w:spacing w:after="0" w:line="15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Prior to the Company's assets being transferred from entities under common control, an impairment review was conducted which determined that the cash flows for the DG Marathon LLC project were below its carrying value, due to negative cash flows forecasted to occur after the solar renewable energy credits expire, and the assets were considered impaired. The fair value of the project was determined using an income approach by applying a discounted cash flow methodology to the long-term budget for the project. The income approach considered project specific assumptions for future cash flows. A $2.4 million impairment loss was measured as the difference between the carrying amount and the fair value of the assets, and was recognized in 2017 at the DG Marathon LLC project prior to the transfer to the Company, which has been reflected in the historical cost of the purchase from Clearway Renew as of 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Deferred Rent</w:t>
      </w:r>
    </w:p>
    <w:p>
      <w:pPr>
        <w:spacing w:after="0" w:line="14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The Company records rent expense on a straight line basis over the life of the lease term. The cumulative difference between the payments made and the expense recognized is recorded in deferred rent on the consolidated balance sheets.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 Income Taxes</w:t>
      </w:r>
    </w:p>
    <w:p>
      <w:pPr>
        <w:spacing w:after="0" w:line="13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is classified as a partnership for federal and state income tax purposes. Therefore, federal and state income taxes are assessed at the partner level. Accordingly, no provision has been made for federal or state income taxes in the accompanying consolidated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Revenue Recognition</w:t>
      </w:r>
    </w:p>
    <w:p>
      <w:pPr>
        <w:spacing w:after="0" w:line="14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On January 1, 2018, the Company adopted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or ASC 606, using the modified retrospective method applied to contracts which were not completed as of the adoption date, with no adjustment required to the financial statements upon adoption. Following the adoption of ASC 606,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Electric Revenue</w:t>
      </w:r>
    </w:p>
    <w:p>
      <w:pPr>
        <w:spacing w:after="0" w:line="144"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7"/>
          <w:szCs w:val="17"/>
          <w:color w:val="auto"/>
        </w:rPr>
        <w:t xml:space="preserve">The Company's electric revenue is related to energy contract revenue from the PPAs listed in note 1, </w:t>
      </w:r>
      <w:r>
        <w:rPr>
          <w:rFonts w:ascii="Arial" w:cs="Arial" w:eastAsia="Arial" w:hAnsi="Arial"/>
          <w:sz w:val="17"/>
          <w:szCs w:val="17"/>
          <w:i w:val="1"/>
          <w:iCs w:val="1"/>
          <w:color w:val="auto"/>
        </w:rPr>
        <w:t>Nature of Business</w:t>
      </w:r>
      <w:r>
        <w:rPr>
          <w:rFonts w:ascii="Arial" w:cs="Arial" w:eastAsia="Arial" w:hAnsi="Arial"/>
          <w:sz w:val="17"/>
          <w:szCs w:val="17"/>
          <w:color w:val="auto"/>
        </w:rPr>
        <w:t>. The contractual rates could be fixed or increase annually during the terms of the PPAs, ranging from 15-27 years. Electric revenue is billed and paid on a monthly basis.</w:t>
      </w:r>
    </w:p>
    <w:p>
      <w:pPr>
        <w:spacing w:after="0" w:line="1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The PPA at Solar Mule, LLC is accounted for as an operating lease in accordance with ASC 840, </w:t>
      </w:r>
      <w:r>
        <w:rPr>
          <w:rFonts w:ascii="Arial" w:cs="Arial" w:eastAsia="Arial" w:hAnsi="Arial"/>
          <w:sz w:val="18"/>
          <w:szCs w:val="18"/>
          <w:i w:val="1"/>
          <w:iCs w:val="1"/>
          <w:color w:val="auto"/>
        </w:rPr>
        <w:t>Leases</w:t>
      </w:r>
      <w:r>
        <w:rPr>
          <w:rFonts w:ascii="Arial" w:cs="Arial" w:eastAsia="Arial" w:hAnsi="Arial"/>
          <w:sz w:val="18"/>
          <w:szCs w:val="18"/>
          <w:color w:val="auto"/>
        </w:rPr>
        <w:t>, or ASC 840. ASC 840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 The lease has no minimum lease payments and all of the rental income under this lease is recorded as contingent rent on an actual basis each period when electricity is produced by the solar facility and delivered to the offtaker at the rate billable per kWh under the terms of the PPA.</w:t>
      </w:r>
    </w:p>
    <w:p>
      <w:pPr>
        <w:spacing w:after="0" w:line="153"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8"/>
          <w:szCs w:val="18"/>
          <w:color w:val="auto"/>
        </w:rPr>
        <w:t>For PPAs accounted for as executory contracts under ASC 606, revenue is recognized on an accrual basis each period, as electricity is produced by the solar facility and delivered to the offtaker at the rate billable per kWh under the terms of the PPA.</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electric revenue is summarized as follows (in thousands):</w:t>
      </w:r>
    </w:p>
    <w:p>
      <w:pPr>
        <w:spacing w:after="0" w:line="226" w:lineRule="exact"/>
        <w:rPr>
          <w:sz w:val="20"/>
          <w:szCs w:val="20"/>
          <w:color w:val="auto"/>
        </w:rPr>
      </w:pPr>
    </w:p>
    <w:tbl>
      <w:tblPr>
        <w:tblLayout w:type="fixed"/>
        <w:tblInd w:w="780" w:type="dxa"/>
        <w:tblCellMar>
          <w:top w:w="0" w:type="dxa"/>
          <w:left w:w="0" w:type="dxa"/>
          <w:bottom w:w="0" w:type="dxa"/>
          <w:right w:w="0" w:type="dxa"/>
        </w:tblCellMar>
      </w:tblPr>
      <w:tr>
        <w:trPr>
          <w:trHeight w:val="203"/>
        </w:trPr>
        <w:tc>
          <w:tcPr>
            <w:tcW w:w="36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16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Year ended December 31,</w:t>
            </w:r>
          </w:p>
        </w:tc>
        <w:tc>
          <w:tcPr>
            <w:tcW w:w="280" w:type="dxa"/>
            <w:vAlign w:val="bottom"/>
          </w:tcPr>
          <w:p>
            <w:pPr>
              <w:spacing w:after="0"/>
              <w:rPr>
                <w:sz w:val="17"/>
                <w:szCs w:val="17"/>
                <w:color w:val="auto"/>
              </w:rPr>
            </w:pPr>
          </w:p>
        </w:tc>
        <w:tc>
          <w:tcPr>
            <w:tcW w:w="2160" w:type="dxa"/>
            <w:vAlign w:val="bottom"/>
          </w:tcPr>
          <w:p>
            <w:pPr>
              <w:jc w:val="right"/>
              <w:ind w:right="219"/>
              <w:spacing w:after="0"/>
              <w:rPr>
                <w:sz w:val="20"/>
                <w:szCs w:val="20"/>
                <w:color w:val="auto"/>
              </w:rPr>
            </w:pPr>
            <w:r>
              <w:rPr>
                <w:rFonts w:ascii="Arial" w:cs="Arial" w:eastAsia="Arial" w:hAnsi="Arial"/>
                <w:sz w:val="16"/>
                <w:szCs w:val="16"/>
                <w:b w:val="1"/>
                <w:bCs w:val="1"/>
                <w:color w:val="auto"/>
              </w:rPr>
              <w:t>September 26, through</w:t>
            </w:r>
          </w:p>
        </w:tc>
      </w:tr>
      <w:tr>
        <w:trPr>
          <w:trHeight w:val="210"/>
        </w:trPr>
        <w:tc>
          <w:tcPr>
            <w:tcW w:w="3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160" w:type="dxa"/>
            <w:vAlign w:val="bottom"/>
          </w:tcPr>
          <w:p>
            <w:pPr>
              <w:jc w:val="right"/>
              <w:ind w:right="8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2160" w:type="dxa"/>
            <w:vAlign w:val="bottom"/>
          </w:tcPr>
          <w:p>
            <w:pPr>
              <w:jc w:val="right"/>
              <w:ind w:right="339"/>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36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Energy revenue</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7,205</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w:t>
            </w:r>
          </w:p>
        </w:tc>
      </w:tr>
      <w:tr>
        <w:trPr>
          <w:trHeight w:val="237"/>
        </w:trPr>
        <w:tc>
          <w:tcPr>
            <w:tcW w:w="3600" w:type="dxa"/>
            <w:vAlign w:val="bottom"/>
          </w:tcPr>
          <w:p>
            <w:pPr>
              <w:ind w:left="20"/>
              <w:spacing w:after="0"/>
              <w:rPr>
                <w:sz w:val="20"/>
                <w:szCs w:val="20"/>
                <w:color w:val="auto"/>
              </w:rPr>
            </w:pPr>
            <w:r>
              <w:rPr>
                <w:rFonts w:ascii="Arial" w:cs="Arial" w:eastAsia="Arial" w:hAnsi="Arial"/>
                <w:sz w:val="16"/>
                <w:szCs w:val="16"/>
                <w:color w:val="auto"/>
              </w:rPr>
              <w:t>Lease revenue</w:t>
            </w:r>
          </w:p>
        </w:tc>
        <w:tc>
          <w:tcPr>
            <w:tcW w:w="1680" w:type="dxa"/>
            <w:vAlign w:val="bottom"/>
          </w:tcPr>
          <w:p>
            <w:pPr>
              <w:spacing w:after="0"/>
              <w:rPr>
                <w:sz w:val="20"/>
                <w:szCs w:val="20"/>
                <w:color w:val="auto"/>
              </w:rPr>
            </w:pP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272</w:t>
            </w:r>
          </w:p>
        </w:tc>
        <w:tc>
          <w:tcPr>
            <w:tcW w:w="280" w:type="dxa"/>
            <w:vAlign w:val="bottom"/>
          </w:tcPr>
          <w:p>
            <w:pPr>
              <w:spacing w:after="0"/>
              <w:rPr>
                <w:sz w:val="20"/>
                <w:szCs w:val="20"/>
                <w:color w:val="auto"/>
              </w:rPr>
            </w:pPr>
          </w:p>
        </w:tc>
        <w:tc>
          <w:tcPr>
            <w:tcW w:w="216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33"/>
        </w:trPr>
        <w:tc>
          <w:tcPr>
            <w:tcW w:w="3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amortization</w:t>
            </w:r>
          </w:p>
        </w:tc>
        <w:tc>
          <w:tcPr>
            <w:tcW w:w="168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8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44"/>
        </w:trPr>
        <w:tc>
          <w:tcPr>
            <w:tcW w:w="3600" w:type="dxa"/>
            <w:vAlign w:val="bottom"/>
          </w:tcPr>
          <w:p>
            <w:pPr>
              <w:ind w:left="700"/>
              <w:spacing w:after="0"/>
              <w:rPr>
                <w:sz w:val="20"/>
                <w:szCs w:val="20"/>
                <w:color w:val="auto"/>
              </w:rPr>
            </w:pPr>
            <w:r>
              <w:rPr>
                <w:rFonts w:ascii="Arial" w:cs="Arial" w:eastAsia="Arial" w:hAnsi="Arial"/>
                <w:sz w:val="16"/>
                <w:szCs w:val="16"/>
                <w:color w:val="auto"/>
              </w:rPr>
              <w:t>Total electric revenue</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7,417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597</w:t>
            </w:r>
          </w:p>
        </w:tc>
      </w:tr>
      <w:tr>
        <w:trPr>
          <w:trHeight w:val="20"/>
        </w:trPr>
        <w:tc>
          <w:tcPr>
            <w:tcW w:w="3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Renewable Energy Certificates, or RECs</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Company has entered into agreements with NRG Power Marketing LLC, or PML, a wholly owned subsidiary of NRG, to purchase and sell RECs generated from 2017 through 2028 by the Massachusetts projects in accordance with vintage years, quantities, and prices in the REC agreements with PML. Prices range between $123.16 and $270.00 per REC. PML sells the RECs to third parties. Revenue is recognized as the REC is generated based on actual production multiplied by the contract rates. REC revenue is billed and paid on a quarterly basis. REC revenue from PML is recorded as Renewable energy certificates – affiliate prior to the GIP Transaction, and as Renewable energy certificates after the GIP Transaction, in the consolidated statements of income.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Government Incentives</w:t>
      </w:r>
    </w:p>
    <w:p>
      <w:pPr>
        <w:spacing w:after="0" w:line="14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 xml:space="preserve">The Company is entitled to state performance based incentives, or PBIs, paid by The New York State Energy Research and Development Authority, or NYSERDA, for the </w:t>
      </w:r>
      <w:r>
        <w:rPr>
          <w:rFonts w:ascii="Arial" w:cs="Arial" w:eastAsia="Arial" w:hAnsi="Arial"/>
          <w:sz w:val="17"/>
          <w:szCs w:val="17"/>
          <w:color w:val="211D1E"/>
        </w:rPr>
        <w:t>Minisink Solar 1 LLC and Minisink Solar 2 LLC</w:t>
      </w:r>
      <w:r>
        <w:rPr>
          <w:rFonts w:ascii="Arial" w:cs="Arial" w:eastAsia="Arial" w:hAnsi="Arial"/>
          <w:sz w:val="17"/>
          <w:szCs w:val="17"/>
          <w:color w:val="auto"/>
        </w:rPr>
        <w:t xml:space="preserve"> projects, not to exceed </w:t>
      </w:r>
      <w:r>
        <w:rPr>
          <w:rFonts w:ascii="Arial" w:cs="Arial" w:eastAsia="Arial" w:hAnsi="Arial"/>
          <w:sz w:val="17"/>
          <w:szCs w:val="17"/>
          <w:color w:val="211D1E"/>
        </w:rPr>
        <w:t>$900,607 for Minisink Solar 1 LLC and $1,092,655 for</w:t>
      </w:r>
      <w:r>
        <w:rPr>
          <w:rFonts w:ascii="Arial" w:cs="Arial" w:eastAsia="Arial" w:hAnsi="Arial"/>
          <w:sz w:val="17"/>
          <w:szCs w:val="17"/>
          <w:color w:val="auto"/>
        </w:rPr>
        <w:t xml:space="preserve"> </w:t>
      </w:r>
      <w:r>
        <w:rPr>
          <w:rFonts w:ascii="Arial" w:cs="Arial" w:eastAsia="Arial" w:hAnsi="Arial"/>
          <w:sz w:val="17"/>
          <w:szCs w:val="17"/>
          <w:color w:val="211D1E"/>
        </w:rPr>
        <w:t>Minisink Solar 2 LLC</w:t>
      </w:r>
      <w:r>
        <w:rPr>
          <w:rFonts w:ascii="Arial" w:cs="Arial" w:eastAsia="Arial" w:hAnsi="Arial"/>
          <w:sz w:val="17"/>
          <w:szCs w:val="17"/>
          <w:color w:val="000000"/>
        </w:rPr>
        <w:t>.</w:t>
      </w:r>
      <w:r>
        <w:rPr>
          <w:rFonts w:ascii="Arial" w:cs="Arial" w:eastAsia="Arial" w:hAnsi="Arial"/>
          <w:sz w:val="17"/>
          <w:szCs w:val="17"/>
          <w:color w:val="211D1E"/>
        </w:rPr>
        <w:t xml:space="preserve"> The incentive payments for each project will consist of one payment at commercial operation date for 50% of the awarded amount, which was recorded to property, plant, and equipment, and two annual performance-based payments each of which is estimated to be 25% of the incentive. The two annual performance based payments are earned monthly based upon the actual electricity produced by the project multiplied by a $0.111/kWh rate. PBI revenue i</w:t>
      </w:r>
      <w:r>
        <w:rPr>
          <w:rFonts w:ascii="Arial" w:cs="Arial" w:eastAsia="Arial" w:hAnsi="Arial"/>
          <w:sz w:val="17"/>
          <w:szCs w:val="17"/>
          <w:color w:val="000000"/>
        </w:rPr>
        <w:t>s recorded as Government incentives in the consolidated statements of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reflects the contract assets in the Company's consolidated balance sheets as of December 31, 2018 and 2017 (in thousands):</w:t>
      </w:r>
    </w:p>
    <w:p>
      <w:pPr>
        <w:spacing w:after="0" w:line="384"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27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r>
      <w:tr>
        <w:trPr>
          <w:trHeight w:val="33"/>
        </w:trPr>
        <w:tc>
          <w:tcPr>
            <w:tcW w:w="466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 contracts with customers</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7,927</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Accounts receivable - leases</w:t>
            </w:r>
          </w:p>
        </w:tc>
        <w:tc>
          <w:tcPr>
            <w:tcW w:w="1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466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Total accounts receivable - trade</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7,942</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r>
      <w:tr>
        <w:trPr>
          <w:trHeight w:val="20"/>
        </w:trPr>
        <w:tc>
          <w:tcPr>
            <w:tcW w:w="4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Derivative Financial Instruments</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 accounts for derivative financial instruments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which requires the Company to recognize all derivative instruments on the balance sheet as either assets or liabilities and to measure them at fair value each reporting period unless they qualify for a normal purchase normal sale exception. The Company uses interest rate swaps to manage its interest rate exposure on long-term debt, which are not designated as cash flow hedges. Changes in the fair value of non-hedge derivatives are immediately recognized in earnings. See note 5,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for more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Concentrations of Credit Risk</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primarily of cash, restricted cash, accounts receivable – trade, accounts receivable – affiliate, and derivative instruments. The Company maintains its cash and restricted cash in bank deposit accounts and believes it is not exposed to any significant credit risk. Accounts receivable are concentrated with residential, commercial, and municipal customers. The energy industry may impact the Company’s overall exposure to credit risk, either positively or negatively, in that the customer may be similarly affected by changes in economic, industry, or other conditions. Municipal entities are generally subject to budget decisions made at superior governmental levels, which may impede or delay the Company’s collection of accounts receivable from these customers. However, the Company believes that the credit risk posed by such concentrations is offset by the diversification and creditworthiness of its customer base. The Company is exposed to credit losses in the event of noncompliance by counterparties on its derivative financial instruments.</w:t>
      </w:r>
    </w:p>
    <w:p>
      <w:pPr>
        <w:spacing w:after="0" w:line="1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7"/>
          <w:szCs w:val="17"/>
          <w:color w:val="auto"/>
        </w:rPr>
        <w:t>Due to the concentration of sales of RECs to PML, the Company is exposed to credit risk of potential nonperformance by them, which could impact liquidity if this customer were to experience financial difficulties. As of December 31, 2018 and 2017, accounts receivable – trade with PML totaled $5.5 million and accounts receivable – affiliate with PML totaled $677 thousand, respectively. The maximum amount of loss due to credit risk, should the customer fail to perform, is the amount of the outstanding receivable, and any losses associated with replacing this customer.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Fair Value of Financial Instruments</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The Company accounts for the fair value of financial instruments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or ASC 820. The Company does not hold or issue financial instruments for trading purposes. The carrying amounts of cash, restricted cash, accounts receivable – trade, accounts receivable – affiliate, accounts payable – trade, accounts payable – affiliate and accrued liabilities approximate fair value because of the short-term maturity of these instruments and are classified as Level 1 within the fair value hierarchy.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27" w:name="page28"/>
    <w:bookmarkEnd w:id="27"/>
    <w:p>
      <w:pPr>
        <w:jc w:val="both"/>
        <w:ind w:firstLine="648"/>
        <w:spacing w:after="0" w:line="293" w:lineRule="auto"/>
        <w:rPr>
          <w:sz w:val="20"/>
          <w:szCs w:val="20"/>
          <w:color w:val="auto"/>
        </w:rPr>
      </w:pPr>
      <w:r>
        <w:rPr>
          <w:rFonts w:ascii="Arial" w:cs="Arial" w:eastAsia="Arial" w:hAnsi="Arial"/>
          <w:sz w:val="16"/>
          <w:szCs w:val="16"/>
          <w:color w:val="auto"/>
        </w:rPr>
        <w:t xml:space="preserve">Derivative instruments consisting of interest rate swaps are recorded at fair value on the Company’s consolidated balance sheet on a recurring basis and are classified as Level 2 within the fair value hierarchy as the fair value can be determined based on observable values of underlying interest rates. The fair value of each contract is discounted using a risk free interest rate. In addition, the Company applies a credit reserve to reflect credit risk, which for interest rate swaps is calculated utilizing the bilateral method based on published default probabilities. The credit reserve is added to the discounted fair value to reflect the exit price that a market participant would be willing to receive to assume the Company's liabilities or that a market participant would be willing to pay for the Company's assets. For further discussion of interest rate swaps, see note 5, </w:t>
      </w:r>
      <w:r>
        <w:rPr>
          <w:rFonts w:ascii="Arial" w:cs="Arial" w:eastAsia="Arial" w:hAnsi="Arial"/>
          <w:sz w:val="16"/>
          <w:szCs w:val="16"/>
          <w:i w:val="1"/>
          <w:iCs w:val="1"/>
          <w:color w:val="auto"/>
        </w:rPr>
        <w:t>Accounting for Derivatives Instruments and Hedging Activities</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carrying value of long-term debt approximates fair value at December 31, 2018 and 2017 as the debt carries a variable interest rate. The fair value of long-term debt is based on current interest rates for similar instruments with equivalent credit quality and is classified as Level 3 inputs within the fair value hierarchy.</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235" w:lineRule="exact"/>
        <w:rPr>
          <w:sz w:val="20"/>
          <w:szCs w:val="20"/>
          <w:color w:val="auto"/>
        </w:rPr>
      </w:pPr>
    </w:p>
    <w:p>
      <w:pPr>
        <w:ind w:firstLine="8"/>
        <w:spacing w:after="0" w:line="324" w:lineRule="auto"/>
        <w:tabs>
          <w:tab w:leader="none" w:pos="7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Company has the ability to access as of the measurement date.</w:t>
      </w:r>
    </w:p>
    <w:p>
      <w:pPr>
        <w:spacing w:after="0" w:line="35" w:lineRule="exact"/>
        <w:rPr>
          <w:rFonts w:ascii="Arial" w:cs="Arial" w:eastAsia="Arial" w:hAnsi="Arial"/>
          <w:sz w:val="18"/>
          <w:szCs w:val="18"/>
          <w:color w:val="auto"/>
        </w:rPr>
      </w:pPr>
    </w:p>
    <w:p>
      <w:pPr>
        <w:ind w:firstLine="8"/>
        <w:spacing w:after="0" w:line="277" w:lineRule="auto"/>
        <w:tabs>
          <w:tab w:leader="none" w:pos="2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directly observable for the asset or liability or indirectly observable through corroboration with observable market data.</w:t>
      </w:r>
    </w:p>
    <w:p>
      <w:pPr>
        <w:spacing w:after="0" w:line="62" w:lineRule="exact"/>
        <w:rPr>
          <w:rFonts w:ascii="Arial" w:cs="Arial" w:eastAsia="Arial" w:hAnsi="Arial"/>
          <w:sz w:val="18"/>
          <w:szCs w:val="18"/>
          <w:color w:val="auto"/>
        </w:rPr>
      </w:pPr>
    </w:p>
    <w:p>
      <w:pPr>
        <w:ind w:firstLine="8"/>
        <w:spacing w:after="0" w:line="277" w:lineRule="auto"/>
        <w:tabs>
          <w:tab w:leader="none" w:pos="2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 only used when there is little, if any, market activity for the asset or liability at the measurement date.</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 in its entirety.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Asset Retirement Obligations</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 accounts for its asset retirement obligations, or AROs, in accordance with ASC 410-20, </w:t>
      </w:r>
      <w:r>
        <w:rPr>
          <w:rFonts w:ascii="Arial" w:cs="Arial" w:eastAsia="Arial" w:hAnsi="Arial"/>
          <w:sz w:val="18"/>
          <w:szCs w:val="18"/>
          <w:i w:val="1"/>
          <w:iCs w:val="1"/>
          <w:color w:val="auto"/>
        </w:rPr>
        <w:t>Asset Retirement Obligations</w:t>
      </w:r>
      <w:r>
        <w:rPr>
          <w:rFonts w:ascii="Arial" w:cs="Arial" w:eastAsia="Arial" w:hAnsi="Arial"/>
          <w:sz w:val="18"/>
          <w:szCs w:val="18"/>
          <w:color w:val="auto"/>
        </w:rPr>
        <w:t>,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the Company to recognize the fair value of a liability for an ARO in the period in which it is incurred and a reasonable estimate of fair value can be made.</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initial recognition of a liability for an ARO, the Company capitalizes the asset retirement cost by increasing the carrying amount of the related long-lived asset by the same amount. Over time, the liability is accreted to its future value, while the capitalized cost is depreciated over the useful life of the related asset. The Company’s AROs are the estimated cost to remove the above ground solar equipment and restore the site to conditions similar to the surrounding parcels.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represents the balance of the ARO obligation as of December 31, 2018 and 2017, along with the additions and accretion expense related to the Company's ARO for the year ended December 31, 2018 (in thousands):</w:t>
      </w:r>
    </w:p>
    <w:p>
      <w:pPr>
        <w:spacing w:after="0" w:line="297" w:lineRule="exact"/>
        <w:rPr>
          <w:sz w:val="20"/>
          <w:szCs w:val="20"/>
          <w:color w:val="auto"/>
        </w:rPr>
      </w:pPr>
    </w:p>
    <w:tbl>
      <w:tblPr>
        <w:tblLayout w:type="fixed"/>
        <w:tblInd w:w="2180" w:type="dxa"/>
        <w:tblCellMar>
          <w:top w:w="0" w:type="dxa"/>
          <w:left w:w="0" w:type="dxa"/>
          <w:bottom w:w="0" w:type="dxa"/>
          <w:right w:w="0" w:type="dxa"/>
        </w:tblCellMar>
      </w:tblPr>
      <w:tr>
        <w:trPr>
          <w:trHeight w:val="206"/>
        </w:trPr>
        <w:tc>
          <w:tcPr>
            <w:tcW w:w="3780" w:type="dxa"/>
            <w:vAlign w:val="bottom"/>
          </w:tcPr>
          <w:p>
            <w:pPr>
              <w:ind w:left="20"/>
              <w:spacing w:after="0"/>
              <w:rPr>
                <w:sz w:val="20"/>
                <w:szCs w:val="20"/>
                <w:color w:val="auto"/>
              </w:rPr>
            </w:pPr>
            <w:r>
              <w:rPr>
                <w:rFonts w:ascii="Arial" w:cs="Arial" w:eastAsia="Arial" w:hAnsi="Arial"/>
                <w:sz w:val="16"/>
                <w:szCs w:val="16"/>
                <w:color w:val="auto"/>
              </w:rPr>
              <w:t>Balance as of December 31, 2017</w:t>
            </w: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955</w:t>
            </w:r>
          </w:p>
        </w:tc>
      </w:tr>
      <w:tr>
        <w:trPr>
          <w:trHeight w:val="33"/>
        </w:trPr>
        <w:tc>
          <w:tcPr>
            <w:tcW w:w="37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w:t>
            </w:r>
          </w:p>
        </w:tc>
        <w:tc>
          <w:tcPr>
            <w:tcW w:w="17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887</w:t>
            </w:r>
          </w:p>
        </w:tc>
      </w:tr>
      <w:tr>
        <w:trPr>
          <w:trHeight w:val="237"/>
        </w:trPr>
        <w:tc>
          <w:tcPr>
            <w:tcW w:w="3780" w:type="dxa"/>
            <w:vAlign w:val="bottom"/>
          </w:tcPr>
          <w:p>
            <w:pPr>
              <w:ind w:left="20"/>
              <w:spacing w:after="0"/>
              <w:rPr>
                <w:sz w:val="20"/>
                <w:szCs w:val="20"/>
                <w:color w:val="auto"/>
              </w:rPr>
            </w:pPr>
            <w:r>
              <w:rPr>
                <w:rFonts w:ascii="Arial" w:cs="Arial" w:eastAsia="Arial" w:hAnsi="Arial"/>
                <w:sz w:val="16"/>
                <w:szCs w:val="16"/>
                <w:color w:val="auto"/>
              </w:rPr>
              <w:t>Accretion expense</w:t>
            </w:r>
          </w:p>
        </w:tc>
        <w:tc>
          <w:tcPr>
            <w:tcW w:w="17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33"/>
        </w:trPr>
        <w:tc>
          <w:tcPr>
            <w:tcW w:w="378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2018</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w:t>
            </w:r>
          </w:p>
        </w:tc>
      </w:tr>
      <w:tr>
        <w:trPr>
          <w:trHeight w:val="20"/>
        </w:trPr>
        <w:tc>
          <w:tcPr>
            <w:tcW w:w="3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Comprehensive Income</w:t>
      </w:r>
    </w:p>
    <w:p>
      <w:pPr>
        <w:spacing w:after="0" w:line="13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total comprehensive income is equal to its net income for the year ended December 31, 2018 and the the period from September 26, 2017 through December 31, 2017.</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(p) Redeemable Noncontrolling Interests</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tax equity investor in the Chestnut Fund, Firstar, has the right to redeem its interests for cash or other assets and accordingly, the Company has included the noncontrolling interest attributable to Firstar as a component of temporary equity in the mezzanine section of the consolidated balance sheets. The following table reflects the changes in the Company's redeemable noncontrolling interest balance for the year ended December 31, 2018 and the period from September 26, 2017 through December 31, 2017 (in thousands):</w:t>
      </w:r>
    </w:p>
    <w:p>
      <w:pPr>
        <w:spacing w:after="0" w:line="313" w:lineRule="exact"/>
        <w:rPr>
          <w:sz w:val="20"/>
          <w:szCs w:val="20"/>
          <w:color w:val="auto"/>
        </w:rPr>
      </w:pPr>
    </w:p>
    <w:tbl>
      <w:tblPr>
        <w:tblLayout w:type="fixed"/>
        <w:tblInd w:w="2440" w:type="dxa"/>
        <w:tblCellMar>
          <w:top w:w="0" w:type="dxa"/>
          <w:left w:w="0" w:type="dxa"/>
          <w:bottom w:w="0" w:type="dxa"/>
          <w:right w:w="0" w:type="dxa"/>
        </w:tblCellMar>
      </w:tblPr>
      <w:tr>
        <w:trPr>
          <w:trHeight w:val="206"/>
        </w:trPr>
        <w:tc>
          <w:tcPr>
            <w:tcW w:w="5040" w:type="dxa"/>
            <w:vAlign w:val="bottom"/>
          </w:tcPr>
          <w:p>
            <w:pPr>
              <w:ind w:left="20"/>
              <w:spacing w:after="0"/>
              <w:rPr>
                <w:sz w:val="20"/>
                <w:szCs w:val="20"/>
                <w:color w:val="auto"/>
              </w:rPr>
            </w:pPr>
            <w:r>
              <w:rPr>
                <w:rFonts w:ascii="Arial" w:cs="Arial" w:eastAsia="Arial" w:hAnsi="Arial"/>
                <w:sz w:val="16"/>
                <w:szCs w:val="16"/>
                <w:color w:val="auto"/>
              </w:rPr>
              <w:t>Balance as of September 26, 2017</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contributions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35,361</w:t>
            </w:r>
          </w:p>
        </w:tc>
      </w:tr>
      <w:tr>
        <w:trPr>
          <w:trHeight w:val="237"/>
        </w:trPr>
        <w:tc>
          <w:tcPr>
            <w:tcW w:w="5040" w:type="dxa"/>
            <w:vAlign w:val="bottom"/>
          </w:tcPr>
          <w:p>
            <w:pPr>
              <w:ind w:left="200"/>
              <w:spacing w:after="0"/>
              <w:rPr>
                <w:sz w:val="20"/>
                <w:szCs w:val="20"/>
                <w:color w:val="auto"/>
              </w:rPr>
            </w:pPr>
            <w:r>
              <w:rPr>
                <w:rFonts w:ascii="Arial" w:cs="Arial" w:eastAsia="Arial" w:hAnsi="Arial"/>
                <w:sz w:val="16"/>
                <w:szCs w:val="16"/>
                <w:color w:val="auto"/>
              </w:rPr>
              <w:t>Net loss attributable to noncontrolling interest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(28,844)</w:t>
            </w:r>
          </w:p>
        </w:tc>
      </w:tr>
      <w:tr>
        <w:trPr>
          <w:trHeight w:val="33"/>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2017</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6,517</w:t>
            </w:r>
          </w:p>
        </w:tc>
      </w:tr>
      <w:tr>
        <w:trPr>
          <w:trHeight w:val="237"/>
        </w:trPr>
        <w:tc>
          <w:tcPr>
            <w:tcW w:w="5040" w:type="dxa"/>
            <w:vAlign w:val="bottom"/>
          </w:tcPr>
          <w:p>
            <w:pPr>
              <w:ind w:left="200"/>
              <w:spacing w:after="0"/>
              <w:rPr>
                <w:sz w:val="20"/>
                <w:szCs w:val="20"/>
                <w:color w:val="auto"/>
              </w:rPr>
            </w:pPr>
            <w:r>
              <w:rPr>
                <w:rFonts w:ascii="Arial" w:cs="Arial" w:eastAsia="Arial" w:hAnsi="Arial"/>
                <w:sz w:val="16"/>
                <w:szCs w:val="16"/>
                <w:color w:val="auto"/>
              </w:rPr>
              <w:t>Cash contributions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44,266</w:t>
            </w:r>
          </w:p>
        </w:tc>
      </w:tr>
      <w:tr>
        <w:trPr>
          <w:trHeight w:val="33"/>
        </w:trPr>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distributions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(928)</w:t>
            </w:r>
          </w:p>
        </w:tc>
      </w:tr>
      <w:tr>
        <w:trPr>
          <w:trHeight w:val="237"/>
        </w:trPr>
        <w:tc>
          <w:tcPr>
            <w:tcW w:w="5040" w:type="dxa"/>
            <w:vAlign w:val="bottom"/>
          </w:tcPr>
          <w:p>
            <w:pPr>
              <w:ind w:left="200"/>
              <w:spacing w:after="0"/>
              <w:rPr>
                <w:sz w:val="20"/>
                <w:szCs w:val="20"/>
                <w:color w:val="auto"/>
              </w:rPr>
            </w:pPr>
            <w:r>
              <w:rPr>
                <w:rFonts w:ascii="Arial" w:cs="Arial" w:eastAsia="Arial" w:hAnsi="Arial"/>
                <w:sz w:val="16"/>
                <w:szCs w:val="16"/>
                <w:color w:val="auto"/>
              </w:rPr>
              <w:t>Net loss attributable to noncontrolling interest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(50,149)</w:t>
            </w:r>
          </w:p>
        </w:tc>
      </w:tr>
      <w:tr>
        <w:trPr>
          <w:trHeight w:val="33"/>
        </w:trPr>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2018</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0"/>
        </w:trPr>
        <w:tc>
          <w:tcPr>
            <w:tcW w:w="5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Tax Equity Arrangements</w:t>
      </w:r>
    </w:p>
    <w:p>
      <w:pPr>
        <w:spacing w:after="0" w:line="13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has determined that the appropriate methodology for calculating its noncontrolling interest and redeemable noncontrolling interest is a balance sheet approach using the hypothetical liquidation at book value, or HLBV, method. Under the HLBV method, the amount reported as noncontrolling interests and redeemable noncontrolling interests represent the amount that each tax equity investor would hypothetically receive at each balance sheet date under the liquidation provisions of the contractual agreements assuming the net assets were liquidated at their recorded amounts determined in accordance with GAAP. The tax equity investors' interest in the results of operations are determined as the difference in the noncontrolling interest or redeemable noncontrolling interest at the start and end of each reporting period, after taking into account any capital transactions. The calculations utilized to apply the HLBV method include estimated calculations of taxable income or losses for the reporting period. These amounts are reconciled to the taxable income or loss included within the tax return once the tax return is filed.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Use of Estimates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(3) Tax Equity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Chestnut Fund</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wholly owned subsidiary Chestnut Class B LLC is the Class B Member and the Managing Member of the Chestnut Fund tax equity arrangement and it conducts and directs all operating activities of the fund. The Investor Member is Firstar. Chestnut Fund is a VIE and Chestnut Class B LLC is the primary beneficiary due to its role as Managing Member and the ability to direct the activities that most significantly impact the economics of the tax equity arrangement.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financial information for Chestnut Fund as of December 31, 2018 and 2017 is as follows (in thousands):</w:t>
      </w:r>
    </w:p>
    <w:p>
      <w:pPr>
        <w:spacing w:after="0" w:line="307" w:lineRule="exact"/>
        <w:rPr>
          <w:sz w:val="20"/>
          <w:szCs w:val="20"/>
          <w:color w:val="auto"/>
        </w:rPr>
      </w:pPr>
    </w:p>
    <w:tbl>
      <w:tblPr>
        <w:tblLayout w:type="fixed"/>
        <w:tblInd w:w="150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r>
      <w:tr>
        <w:trPr>
          <w:trHeight w:val="33"/>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13,490</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2,438</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9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182,416</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132,240</w:t>
            </w:r>
          </w:p>
        </w:tc>
      </w:tr>
      <w:tr>
        <w:trPr>
          <w:trHeight w:val="33"/>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 for power purchase agreement, net</w:t>
            </w:r>
          </w:p>
        </w:tc>
        <w:tc>
          <w:tcPr>
            <w:tcW w:w="9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1,487</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9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310</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33"/>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assets</w:t>
            </w:r>
          </w:p>
        </w:tc>
        <w:tc>
          <w:tcPr>
            <w:tcW w:w="9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197,643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136,475</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Accounts payable – affiliate</w:t>
            </w:r>
          </w:p>
        </w:tc>
        <w:tc>
          <w:tcPr>
            <w:tcW w:w="96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3,473</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86,869</w:t>
            </w:r>
          </w:p>
        </w:tc>
      </w:tr>
      <w:tr>
        <w:trPr>
          <w:trHeight w:val="33"/>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and non-current liabilities</w:t>
            </w:r>
          </w:p>
        </w:tc>
        <w:tc>
          <w:tcPr>
            <w:tcW w:w="9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7,290</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4,317</w:t>
            </w:r>
          </w:p>
        </w:tc>
      </w:tr>
      <w:tr>
        <w:trPr>
          <w:trHeight w:val="217"/>
        </w:trPr>
        <w:tc>
          <w:tcPr>
            <w:tcW w:w="4700" w:type="dxa"/>
            <w:vAlign w:val="bottom"/>
          </w:tcPr>
          <w:p>
            <w:pPr>
              <w:ind w:left="620"/>
              <w:spacing w:after="0"/>
              <w:rPr>
                <w:sz w:val="20"/>
                <w:szCs w:val="20"/>
                <w:color w:val="auto"/>
              </w:rPr>
            </w:pPr>
            <w:r>
              <w:rPr>
                <w:rFonts w:ascii="Arial" w:cs="Arial" w:eastAsia="Arial" w:hAnsi="Arial"/>
                <w:sz w:val="16"/>
                <w:szCs w:val="16"/>
                <w:color w:val="auto"/>
              </w:rPr>
              <w:t>Total liabilities</w:t>
            </w:r>
          </w:p>
        </w:tc>
        <w:tc>
          <w:tcPr>
            <w:tcW w:w="96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10,763</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91,186</w:t>
            </w:r>
          </w:p>
        </w:tc>
      </w:tr>
      <w:tr>
        <w:trPr>
          <w:trHeight w:val="33"/>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Redeemable noncontrolling interests</w:t>
            </w:r>
          </w:p>
        </w:tc>
        <w:tc>
          <w:tcPr>
            <w:tcW w:w="9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6,517</w:t>
            </w:r>
          </w:p>
        </w:tc>
      </w:tr>
      <w:tr>
        <w:trPr>
          <w:trHeight w:val="244"/>
        </w:trPr>
        <w:tc>
          <w:tcPr>
            <w:tcW w:w="4700" w:type="dxa"/>
            <w:vAlign w:val="bottom"/>
          </w:tcPr>
          <w:p>
            <w:pPr>
              <w:ind w:left="620"/>
              <w:spacing w:after="0"/>
              <w:rPr>
                <w:sz w:val="20"/>
                <w:szCs w:val="20"/>
                <w:color w:val="auto"/>
              </w:rPr>
            </w:pPr>
            <w:r>
              <w:rPr>
                <w:rFonts w:ascii="Arial" w:cs="Arial" w:eastAsia="Arial" w:hAnsi="Arial"/>
                <w:sz w:val="16"/>
                <w:szCs w:val="16"/>
                <w:color w:val="auto"/>
              </w:rPr>
              <w:t>Net assets less redeemable noncontrolling interests</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187,174</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38,772</w:t>
            </w:r>
          </w:p>
        </w:tc>
      </w:tr>
      <w:tr>
        <w:trPr>
          <w:trHeight w:val="20"/>
        </w:trPr>
        <w:tc>
          <w:tcPr>
            <w:tcW w:w="4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CS4 Fund</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wholly owned subsidiary Renew Solar CS4 Class B LLC is the Class B Member and Managing Member of the CS4 Fund tax equity arrangement, and conducts and directs all operating activities of the fund. The Investor Member is PNC. CS4 Fund is a VIE and Renew Solar CS4 Class B LLC is the primary beneficiary due to its role as Managing Member and the ability to direct the activities that most significantly impact the economics of the tax equity arrangement.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financial information for CS4 Fund as of December 31, 2018 is as follows (in thousands):</w:t>
      </w:r>
    </w:p>
    <w:p>
      <w:pPr>
        <w:spacing w:after="0" w:line="307" w:lineRule="exact"/>
        <w:rPr>
          <w:sz w:val="20"/>
          <w:szCs w:val="20"/>
          <w:color w:val="auto"/>
        </w:rPr>
      </w:pPr>
    </w:p>
    <w:tbl>
      <w:tblPr>
        <w:tblLayout w:type="fixed"/>
        <w:tblInd w:w="154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r>
      <w:tr>
        <w:trPr>
          <w:trHeight w:val="33"/>
        </w:trPr>
        <w:tc>
          <w:tcPr>
            <w:tcW w:w="500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0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0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43,274</w:t>
            </w:r>
          </w:p>
        </w:tc>
      </w:tr>
      <w:tr>
        <w:trPr>
          <w:trHeight w:val="33"/>
        </w:trPr>
        <w:tc>
          <w:tcPr>
            <w:tcW w:w="500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assets</w:t>
            </w:r>
          </w:p>
        </w:tc>
        <w:tc>
          <w:tcPr>
            <w:tcW w:w="20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43,274</w:t>
            </w:r>
          </w:p>
        </w:tc>
      </w:tr>
      <w:tr>
        <w:trPr>
          <w:trHeight w:val="217"/>
        </w:trPr>
        <w:tc>
          <w:tcPr>
            <w:tcW w:w="5000" w:type="dxa"/>
            <w:vAlign w:val="bottom"/>
          </w:tcPr>
          <w:p>
            <w:pPr>
              <w:ind w:left="40"/>
              <w:spacing w:after="0"/>
              <w:rPr>
                <w:sz w:val="20"/>
                <w:szCs w:val="20"/>
                <w:color w:val="auto"/>
              </w:rPr>
            </w:pPr>
            <w:r>
              <w:rPr>
                <w:rFonts w:ascii="Arial" w:cs="Arial" w:eastAsia="Arial" w:hAnsi="Arial"/>
                <w:sz w:val="16"/>
                <w:szCs w:val="16"/>
                <w:color w:val="auto"/>
              </w:rPr>
              <w:t>Accounts payable – affiliate</w:t>
            </w:r>
          </w:p>
        </w:tc>
        <w:tc>
          <w:tcPr>
            <w:tcW w:w="208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57,126</w:t>
            </w:r>
          </w:p>
        </w:tc>
      </w:tr>
      <w:tr>
        <w:trPr>
          <w:trHeight w:val="33"/>
        </w:trPr>
        <w:tc>
          <w:tcPr>
            <w:tcW w:w="50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and non-current liabilities</w:t>
            </w:r>
          </w:p>
        </w:tc>
        <w:tc>
          <w:tcPr>
            <w:tcW w:w="20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2,750</w:t>
            </w:r>
          </w:p>
        </w:tc>
      </w:tr>
      <w:tr>
        <w:trPr>
          <w:trHeight w:val="217"/>
        </w:trPr>
        <w:tc>
          <w:tcPr>
            <w:tcW w:w="5000" w:type="dxa"/>
            <w:vAlign w:val="bottom"/>
          </w:tcPr>
          <w:p>
            <w:pPr>
              <w:ind w:left="620"/>
              <w:spacing w:after="0"/>
              <w:rPr>
                <w:sz w:val="20"/>
                <w:szCs w:val="20"/>
                <w:color w:val="auto"/>
              </w:rPr>
            </w:pPr>
            <w:r>
              <w:rPr>
                <w:rFonts w:ascii="Arial" w:cs="Arial" w:eastAsia="Arial" w:hAnsi="Arial"/>
                <w:sz w:val="16"/>
                <w:szCs w:val="16"/>
                <w:color w:val="auto"/>
              </w:rPr>
              <w:t>Total liabilities</w:t>
            </w:r>
          </w:p>
        </w:tc>
        <w:tc>
          <w:tcPr>
            <w:tcW w:w="208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59,876</w:t>
            </w:r>
          </w:p>
        </w:tc>
      </w:tr>
      <w:tr>
        <w:trPr>
          <w:trHeight w:val="33"/>
        </w:trPr>
        <w:tc>
          <w:tcPr>
            <w:tcW w:w="50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20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r>
      <w:tr>
        <w:trPr>
          <w:trHeight w:val="244"/>
        </w:trPr>
        <w:tc>
          <w:tcPr>
            <w:tcW w:w="5000" w:type="dxa"/>
            <w:vAlign w:val="bottom"/>
          </w:tcPr>
          <w:p>
            <w:pPr>
              <w:ind w:left="620"/>
              <w:spacing w:after="0"/>
              <w:rPr>
                <w:sz w:val="20"/>
                <w:szCs w:val="20"/>
                <w:color w:val="auto"/>
              </w:rPr>
            </w:pPr>
            <w:r>
              <w:rPr>
                <w:rFonts w:ascii="Arial" w:cs="Arial" w:eastAsia="Arial" w:hAnsi="Arial"/>
                <w:sz w:val="16"/>
                <w:szCs w:val="16"/>
                <w:color w:val="auto"/>
              </w:rPr>
              <w:t>Net assets less noncontrolling interests</w:t>
            </w:r>
          </w:p>
        </w:tc>
        <w:tc>
          <w:tcPr>
            <w:tcW w:w="2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(14,950)</w:t>
            </w:r>
          </w:p>
        </w:tc>
      </w:tr>
      <w:tr>
        <w:trPr>
          <w:trHeight w:val="20"/>
        </w:trPr>
        <w:tc>
          <w:tcPr>
            <w:tcW w:w="5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30" w:name="page31"/>
    <w:bookmarkEnd w:id="30"/>
    <w:p>
      <w:pPr>
        <w:ind w:left="280" w:hanging="272"/>
        <w:spacing w:after="0"/>
        <w:tabs>
          <w:tab w:leader="none" w:pos="280" w:val="left"/>
        </w:tabs>
        <w:numPr>
          <w:ilvl w:val="0"/>
          <w:numId w:val="16"/>
        </w:numPr>
        <w:rPr>
          <w:rFonts w:ascii="Arial" w:cs="Arial" w:eastAsia="Arial" w:hAnsi="Arial"/>
          <w:sz w:val="20"/>
          <w:szCs w:val="20"/>
          <w:b w:val="1"/>
          <w:bCs w:val="1"/>
          <w:color w:val="auto"/>
        </w:rPr>
      </w:pPr>
      <w:r>
        <w:rPr>
          <w:rFonts w:ascii="Arial" w:cs="Arial" w:eastAsia="Arial" w:hAnsi="Arial"/>
          <w:sz w:val="18"/>
          <w:szCs w:val="18"/>
          <w:b w:val="1"/>
          <w:bCs w:val="1"/>
          <w:color w:val="auto"/>
        </w:rPr>
        <w:t>Property, Plant, and Equipment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major classes of property, plant, and equipment as of December 31, 2018 and 2017 were as follows (in thousands):</w:t>
      </w:r>
    </w:p>
    <w:p>
      <w:pPr>
        <w:spacing w:after="0" w:line="307" w:lineRule="exact"/>
        <w:rPr>
          <w:sz w:val="20"/>
          <w:szCs w:val="20"/>
          <w:color w:val="auto"/>
        </w:rPr>
      </w:pPr>
    </w:p>
    <w:tbl>
      <w:tblPr>
        <w:tblLayout w:type="fixed"/>
        <w:tblInd w:w="152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2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0"/>
              </w:rPr>
              <w:t>Depreciable lives</w:t>
            </w:r>
          </w:p>
        </w:tc>
      </w:tr>
      <w:tr>
        <w:trPr>
          <w:trHeight w:val="33"/>
        </w:trPr>
        <w:tc>
          <w:tcPr>
            <w:tcW w:w="34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Plant equipment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184,558</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101,867</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10 - 30 years</w:t>
            </w:r>
          </w:p>
        </w:tc>
      </w:tr>
      <w:tr>
        <w:trPr>
          <w:trHeight w:val="237"/>
        </w:trPr>
        <w:tc>
          <w:tcPr>
            <w:tcW w:w="348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7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68,564</w:t>
            </w: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30,613</w:t>
            </w:r>
          </w:p>
        </w:tc>
        <w:tc>
          <w:tcPr>
            <w:tcW w:w="1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33"/>
        </w:trPr>
        <w:tc>
          <w:tcPr>
            <w:tcW w:w="34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30"/>
        </w:trPr>
        <w:tc>
          <w:tcPr>
            <w:tcW w:w="34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property, plant, and equipment</w:t>
            </w:r>
          </w:p>
        </w:tc>
        <w:tc>
          <w:tcPr>
            <w:tcW w:w="7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253,122</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132,480</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37"/>
        </w:trPr>
        <w:tc>
          <w:tcPr>
            <w:tcW w:w="348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(5,363)</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(240)</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34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Net property, plant, and equipment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247,759</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132,240</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0"/>
        </w:trPr>
        <w:tc>
          <w:tcPr>
            <w:tcW w:w="3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Chestnut Fund</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Chestnut Fund purchased its solar installations through the acquisition of membership interests in its subsidiaries from Clearway Renew. The purchase price of the acquired property, plant, and equipment was $64.4 million and $194.7 million in 2018 and 2017, respectively, which approximates the fair market value determined through third-party appraisal. As of December 31, 2018 and 2017, $5.8 million and $88.4 million of the purchase price, respectively, was payable to Clearway Renew and was recorded on the Company's consolidated balance sheets in accounts payable – affiliate. As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the acquisitions were a transfer of assets under common control. Accordingly, the assets are recorded at Clearway Renew's historical cost. The purchase price less the historical cost is recorded as a developer fee and a corresponding reduction to equity. In addition, Chestnut Fund recorded an ARO of $613 thousand and $899 thousand in 2018 and 2017, respectively, as part of property, plant, and equipment. In 2018, $997 thousand was recorded as a reduction to property, plant, and equipment for a NYSERDA government incentive award related to the Minisink Solar 1 LLC and Minisink Solar 2 LLC facilities reaching commercial operation. For additional information on the award, see note 2(j), Revenue Recognition.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4" w:right="239" w:bottom="1440" w:gutter="0" w:footer="0" w:header="0"/>
        </w:sectPr>
      </w:pPr>
    </w:p>
    <w:bookmarkStart w:id="31" w:name="page32"/>
    <w:bookmarkEnd w:id="31"/>
    <w:p>
      <w:pPr>
        <w:ind w:firstLine="648"/>
        <w:spacing w:after="0" w:line="277" w:lineRule="auto"/>
        <w:rPr>
          <w:sz w:val="20"/>
          <w:szCs w:val="20"/>
          <w:color w:val="auto"/>
        </w:rPr>
      </w:pPr>
      <w:r>
        <w:rPr>
          <w:rFonts w:ascii="Arial" w:cs="Arial" w:eastAsia="Arial" w:hAnsi="Arial"/>
          <w:sz w:val="18"/>
          <w:szCs w:val="18"/>
          <w:color w:val="auto"/>
        </w:rPr>
        <w:t>Chestnut Fund completed the following acquisitions of membership interests in its subsidiaries in 2017 and 2018, with the purchase price allocated primarily to property, plant, and equipment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Purchase</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Historical</w:t>
            </w:r>
          </w:p>
        </w:tc>
        <w:tc>
          <w:tcPr>
            <w:tcW w:w="9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Developer</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87"/>
              </w:rPr>
              <w:t>Placed in service</w:t>
            </w:r>
          </w:p>
        </w:tc>
      </w:tr>
      <w:tr>
        <w:trPr>
          <w:trHeight w:val="210"/>
        </w:trPr>
        <w:tc>
          <w:tcPr>
            <w:tcW w:w="2460" w:type="dxa"/>
            <w:vAlign w:val="bottom"/>
            <w:gridSpan w:val="2"/>
          </w:tcPr>
          <w:p>
            <w:pPr>
              <w:ind w:left="600"/>
              <w:spacing w:after="0"/>
              <w:rPr>
                <w:sz w:val="20"/>
                <w:szCs w:val="20"/>
                <w:color w:val="auto"/>
              </w:rPr>
            </w:pPr>
            <w:r>
              <w:rPr>
                <w:rFonts w:ascii="Arial" w:cs="Arial" w:eastAsia="Arial" w:hAnsi="Arial"/>
                <w:sz w:val="16"/>
                <w:szCs w:val="16"/>
                <w:b w:val="1"/>
                <w:bCs w:val="1"/>
                <w:color w:val="auto"/>
              </w:rPr>
              <w:t>Project company</w:t>
            </w:r>
          </w:p>
        </w:tc>
        <w:tc>
          <w:tcPr>
            <w:tcW w:w="12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price</w:t>
            </w: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cost</w:t>
            </w:r>
          </w:p>
        </w:tc>
        <w:tc>
          <w:tcPr>
            <w:tcW w:w="220" w:type="dxa"/>
            <w:vAlign w:val="bottom"/>
          </w:tcPr>
          <w:p>
            <w:pPr>
              <w:spacing w:after="0"/>
              <w:rPr>
                <w:sz w:val="18"/>
                <w:szCs w:val="18"/>
                <w:color w:val="auto"/>
              </w:rPr>
            </w:pPr>
          </w:p>
        </w:tc>
        <w:tc>
          <w:tcPr>
            <w:tcW w:w="680" w:type="dxa"/>
            <w:vAlign w:val="bottom"/>
          </w:tcPr>
          <w:p>
            <w:pPr>
              <w:jc w:val="right"/>
              <w:ind w:right="279"/>
              <w:spacing w:after="0"/>
              <w:rPr>
                <w:sz w:val="20"/>
                <w:szCs w:val="20"/>
                <w:color w:val="auto"/>
              </w:rPr>
            </w:pPr>
            <w:r>
              <w:rPr>
                <w:rFonts w:ascii="Arial" w:cs="Arial" w:eastAsia="Arial" w:hAnsi="Arial"/>
                <w:sz w:val="16"/>
                <w:szCs w:val="16"/>
                <w:b w:val="1"/>
                <w:bCs w:val="1"/>
                <w:color w:val="auto"/>
              </w:rPr>
              <w:t>fee</w:t>
            </w: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Acquisition date</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1"/>
              </w:rPr>
              <w:t>date</w:t>
            </w:r>
          </w:p>
        </w:tc>
      </w:tr>
      <w:tr>
        <w:trPr>
          <w:trHeight w:val="33"/>
        </w:trPr>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Black Cat Road Solar, LLC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August 14, 2017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August 30, 2017</w:t>
            </w: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Brook St Solar 1,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25,593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18,853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6,740</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August 14, 2017</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September 6, 2017</w:t>
            </w: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Solar Mule,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1, 2017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18, 2017</w:t>
            </w: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Big Lake Holdco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18,583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4,024</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August 14, 2017</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October 1, 2017</w:t>
            </w: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Solar West Shaft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August 14, 2017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October 10, 2017</w:t>
            </w:r>
          </w:p>
        </w:tc>
      </w:tr>
      <w:tr>
        <w:trPr>
          <w:trHeight w:val="270"/>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 xml:space="preserve">DG Foxborough Elm LLC </w:t>
            </w:r>
            <w:r>
              <w:rPr>
                <w:rFonts w:ascii="Arial" w:cs="Arial" w:eastAsia="Arial" w:hAnsi="Arial"/>
                <w:sz w:val="21"/>
                <w:szCs w:val="21"/>
                <w:color w:val="auto"/>
                <w:vertAlign w:val="superscript"/>
              </w:rPr>
              <w:t>(b)</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2,345</w:t>
            </w:r>
          </w:p>
        </w:tc>
        <w:tc>
          <w:tcPr>
            <w:tcW w:w="120" w:type="dxa"/>
            <w:vAlign w:val="bottom"/>
          </w:tcPr>
          <w:p>
            <w:pPr>
              <w:spacing w:after="0"/>
              <w:rPr>
                <w:sz w:val="23"/>
                <w:szCs w:val="23"/>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September 27, 2017</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October 12, 2017</w:t>
            </w: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Redbrook Solar 1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5,674</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27, 2017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November 9, 2017</w:t>
            </w: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Northfield Holdco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17,639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12,740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4,899</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October 27, 2017</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December 1, 2017</w:t>
            </w: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Waterford Holdco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October 27, 2017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December 1, 2017</w:t>
            </w:r>
          </w:p>
        </w:tc>
      </w:tr>
      <w:tr>
        <w:trPr>
          <w:trHeight w:val="220"/>
        </w:trPr>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December 21, 2017</w:t>
            </w:r>
          </w:p>
        </w:tc>
      </w:tr>
      <w:tr>
        <w:trPr>
          <w:trHeight w:val="206"/>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Center St Solar 1 LLC</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3,092</w:t>
            </w:r>
          </w:p>
        </w:tc>
        <w:tc>
          <w:tcPr>
            <w:tcW w:w="120" w:type="dxa"/>
            <w:vAlign w:val="bottom"/>
          </w:tcPr>
          <w:p>
            <w:pPr>
              <w:spacing w:after="0"/>
              <w:rPr>
                <w:sz w:val="17"/>
                <w:szCs w:val="17"/>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August 14, 2017</w:t>
            </w: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&amp; January 3, 2018</w:t>
            </w: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TOS Solar 1,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October 27, 2017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December 30, 2017</w:t>
            </w: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TOS Solar 2,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1,196</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October 27, 2017</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December 30, 2017</w:t>
            </w: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Stafford St Solar 1,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August 14, 2017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December 31, 2017</w:t>
            </w: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Stafford St Solar 3,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1,305</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August 14, 2017</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December 31, 2017</w:t>
            </w: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ETCAP NES CS MN 02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January 25, 2018</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May 1, 2018</w:t>
            </w: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ETCAP NES CS MN 06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3,596</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January 25, 2018</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May 1, 2018</w:t>
            </w: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Stafford St Solar 2,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August 14, 2017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May 9, 2018</w:t>
            </w: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Bullock Road Solar 1,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20,687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15,794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4,893</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August 14, 2017</w:t>
            </w: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July 25, 2018</w:t>
            </w: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Mapleton Solar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4,443</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March 29, 2018</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 2018</w:t>
            </w: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Osakis Solar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18,993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13,598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5,395</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March 29, 2018</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September 1, 2018</w:t>
            </w: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Solar Wauwinet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October 27, 2017</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17, 2018</w:t>
            </w: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Minisink Solar 1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2,473</w:t>
            </w:r>
          </w:p>
        </w:tc>
        <w:tc>
          <w:tcPr>
            <w:tcW w:w="12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January 25, 2018</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October 26, 2018</w:t>
            </w:r>
          </w:p>
        </w:tc>
      </w:tr>
      <w:tr>
        <w:trPr>
          <w:trHeight w:val="33"/>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Minisink Solar 2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2,737</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January 25, 2018</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October 31, 2018</w:t>
            </w:r>
          </w:p>
        </w:tc>
      </w:tr>
      <w:tr>
        <w:trPr>
          <w:trHeight w:val="270"/>
        </w:trPr>
        <w:tc>
          <w:tcPr>
            <w:tcW w:w="2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DG Marathon LLC</w:t>
            </w: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7,215</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3,014</w:t>
            </w:r>
          </w:p>
        </w:tc>
        <w:tc>
          <w:tcPr>
            <w:tcW w:w="120" w:type="dxa"/>
            <w:vAlign w:val="bottom"/>
            <w:tcBorders>
              <w:bottom w:val="single" w:sz="8" w:color="CCEEFF"/>
            </w:tcBorders>
          </w:tcPr>
          <w:p>
            <w:pPr>
              <w:spacing w:after="0"/>
              <w:rPr>
                <w:sz w:val="23"/>
                <w:szCs w:val="23"/>
                <w:color w:val="auto"/>
              </w:rPr>
            </w:pPr>
          </w:p>
        </w:tc>
        <w:tc>
          <w:tcPr>
            <w:tcW w:w="17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89"/>
              </w:rPr>
              <w:t>September 27, 2017</w:t>
            </w:r>
          </w:p>
        </w:tc>
        <w:tc>
          <w:tcPr>
            <w:tcW w:w="14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6"/>
              </w:rPr>
              <w:t xml:space="preserve">January 4, 2019 </w:t>
            </w:r>
            <w:r>
              <w:rPr>
                <w:rFonts w:ascii="Arial" w:cs="Arial" w:eastAsia="Arial" w:hAnsi="Arial"/>
                <w:sz w:val="21"/>
                <w:szCs w:val="21"/>
                <w:color w:val="auto"/>
                <w:w w:val="86"/>
                <w:vertAlign w:val="superscript"/>
              </w:rPr>
              <w:t>(a)</w:t>
            </w:r>
          </w:p>
        </w:tc>
      </w:tr>
      <w:tr>
        <w:trPr>
          <w:trHeight w:val="23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acquisitions</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259,105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188,764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70,341</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less: 2017 acquisitions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194,744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133,081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61,663</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2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2018 acquisitions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0"/>
        </w:trPr>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1404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9">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348"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Project is under construction as of December 31, 2018.</w:t>
      </w:r>
    </w:p>
    <w:p>
      <w:pPr>
        <w:spacing w:after="0" w:line="59" w:lineRule="exact"/>
        <w:rPr>
          <w:rFonts w:ascii="Arial" w:cs="Arial" w:eastAsia="Arial" w:hAnsi="Arial"/>
          <w:sz w:val="16"/>
          <w:szCs w:val="16"/>
          <w:color w:val="auto"/>
        </w:rPr>
      </w:pPr>
    </w:p>
    <w:p>
      <w:pPr>
        <w:ind w:left="240" w:hanging="232"/>
        <w:spacing w:after="0"/>
        <w:tabs>
          <w:tab w:leader="none" w:pos="2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 xml:space="preserve">Included in the historical cost of Foxborough is $1.5 million for an intangible asset, as described further in note 2(f),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CS4 Fund</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CS4 Fund purchased its solar installations through the acquisition of membership interests in its subsidiaries from CS4 Seller, a wholly owned subsidiary of the Company. CS4 Seller funded the construction of the projects through borrowings under the financing arrangement for CS4 Borrower, as further described in note 6, </w:t>
      </w:r>
      <w:r>
        <w:rPr>
          <w:rFonts w:ascii="Arial" w:cs="Arial" w:eastAsia="Arial" w:hAnsi="Arial"/>
          <w:sz w:val="18"/>
          <w:szCs w:val="18"/>
          <w:i w:val="1"/>
          <w:iCs w:val="1"/>
          <w:color w:val="auto"/>
        </w:rPr>
        <w:t>Long-term Debt</w:t>
      </w:r>
      <w:r>
        <w:rPr>
          <w:rFonts w:ascii="Arial" w:cs="Arial" w:eastAsia="Arial" w:hAnsi="Arial"/>
          <w:sz w:val="18"/>
          <w:szCs w:val="18"/>
          <w:color w:val="auto"/>
        </w:rPr>
        <w:t>. As of December 31, 2018, CS4 Borrower had Construction in progress of $65.3 million, which included $43.3 million acquired by CS4 Fund and $22 million at subsidiaries of CS4 Seller.</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32" w:name="page33"/>
    <w:bookmarkEnd w:id="32"/>
    <w:p>
      <w:pPr>
        <w:ind w:left="280" w:hanging="272"/>
        <w:spacing w:after="0"/>
        <w:tabs>
          <w:tab w:leader="none" w:pos="280" w:val="left"/>
        </w:tabs>
        <w:numPr>
          <w:ilvl w:val="0"/>
          <w:numId w:val="18"/>
        </w:numPr>
        <w:rPr>
          <w:rFonts w:ascii="Arial" w:cs="Arial" w:eastAsia="Arial" w:hAnsi="Arial"/>
          <w:sz w:val="20"/>
          <w:szCs w:val="20"/>
          <w:b w:val="1"/>
          <w:bCs w:val="1"/>
          <w:color w:val="auto"/>
        </w:rPr>
      </w:pPr>
      <w:r>
        <w:rPr>
          <w:rFonts w:ascii="Arial" w:cs="Arial" w:eastAsia="Arial" w:hAnsi="Arial"/>
          <w:sz w:val="18"/>
          <w:szCs w:val="18"/>
          <w:b w:val="1"/>
          <w:bCs w:val="1"/>
          <w:color w:val="auto"/>
        </w:rPr>
        <w:t>Accounting for Derivative Instruments and Hedging Activities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Interest Rate Swaps</w:t>
      </w:r>
    </w:p>
    <w:p>
      <w:pPr>
        <w:spacing w:after="0" w:line="1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accordance with the financing agreements described in note 6, </w:t>
      </w:r>
      <w:r>
        <w:rPr>
          <w:rFonts w:ascii="Arial" w:cs="Arial" w:eastAsia="Arial" w:hAnsi="Arial"/>
          <w:sz w:val="18"/>
          <w:szCs w:val="18"/>
          <w:i w:val="1"/>
          <w:iCs w:val="1"/>
          <w:color w:val="auto"/>
        </w:rPr>
        <w:t>Long-Term Debt</w:t>
      </w:r>
      <w:r>
        <w:rPr>
          <w:rFonts w:ascii="Arial" w:cs="Arial" w:eastAsia="Arial" w:hAnsi="Arial"/>
          <w:sz w:val="18"/>
          <w:szCs w:val="18"/>
          <w:color w:val="auto"/>
        </w:rPr>
        <w:t>, Chestnut Fund Borrower and CS4 Borrower each entered into a series of fixed for floating forward interest rate swaps for at least 80% and not more than 105% of the expected borrowings under the term loan, intended to hedge the risks associated with floating interest rates. Chestnut Fund and CS4 Borrower will pay their counterparties the equivalent of a fixed interest payment on a predetermined notional value, and quarterly each borrower will receive the equivalent of a floating interest payment based on a three-month LIBOR from the effective date through the termination date. The swaps are not designated as cash flow hedges. All unrealized gains and losses are recognized in the consolidated statements of income.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Volumetric Underlying Derivative Transactions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notional amount of the interest rate swaps decreases in proportion to the loan.</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outstanding notional amounts and terms of the forward starting interest rate swaps as of December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92"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Notional amount</w:t>
      </w:r>
    </w:p>
    <w:p>
      <w:pPr>
        <w:spacing w:after="0" w:line="86"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(in thousands)</w:t>
      </w:r>
    </w:p>
    <w:p>
      <w:pPr>
        <w:spacing w:after="0" w:line="39" w:lineRule="exact"/>
        <w:rPr>
          <w:sz w:val="20"/>
          <w:szCs w:val="20"/>
          <w:color w:val="auto"/>
        </w:rPr>
      </w:pPr>
    </w:p>
    <w:tbl>
      <w:tblPr>
        <w:tblLayout w:type="fixed"/>
        <w:tblInd w:w="2040" w:type="dxa"/>
        <w:tblCellMar>
          <w:top w:w="0" w:type="dxa"/>
          <w:left w:w="0" w:type="dxa"/>
          <w:bottom w:w="0" w:type="dxa"/>
          <w:right w:w="0" w:type="dxa"/>
        </w:tblCellMar>
      </w:tblPr>
      <w:tr>
        <w:trPr>
          <w:trHeight w:val="284"/>
        </w:trPr>
        <w:tc>
          <w:tcPr>
            <w:tcW w:w="18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2"/>
              </w:rPr>
              <w:t>Effective date</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24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top w:val="single" w:sz="8" w:color="auto"/>
              <w:bottom w:val="single" w:sz="8" w:color="CCEEFF"/>
            </w:tcBorders>
            <w:shd w:val="clear" w:color="auto" w:fill="CCEEFF"/>
          </w:tcPr>
          <w:p>
            <w:pPr>
              <w:spacing w:after="0"/>
              <w:rPr>
                <w:sz w:val="24"/>
                <w:szCs w:val="24"/>
                <w:color w:val="auto"/>
              </w:rPr>
            </w:pPr>
          </w:p>
        </w:tc>
        <w:tc>
          <w:tcPr>
            <w:tcW w:w="1260" w:type="dxa"/>
            <w:vAlign w:val="bottom"/>
            <w:tcBorders>
              <w:top w:val="single" w:sz="8" w:color="auto"/>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1280" w:type="dxa"/>
            <w:vAlign w:val="bottom"/>
            <w:tcBorders>
              <w:top w:val="single" w:sz="8" w:color="CCEEFF"/>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91"/>
              </w:rPr>
              <w:t>Fixed Rate</w:t>
            </w:r>
          </w:p>
        </w:tc>
        <w:tc>
          <w:tcPr>
            <w:tcW w:w="168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Termination Date</w:t>
            </w:r>
          </w:p>
        </w:tc>
      </w:tr>
      <w:tr>
        <w:trPr>
          <w:trHeight w:val="217"/>
        </w:trPr>
        <w:tc>
          <w:tcPr>
            <w:tcW w:w="1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January 30, 2019</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46,869</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46,869</w:t>
            </w:r>
          </w:p>
        </w:tc>
        <w:tc>
          <w:tcPr>
            <w:tcW w:w="22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2.380%</w:t>
            </w:r>
          </w:p>
        </w:tc>
        <w:tc>
          <w:tcPr>
            <w:tcW w:w="20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January 30, 2040</w:t>
            </w:r>
          </w:p>
        </w:tc>
      </w:tr>
      <w:tr>
        <w:trPr>
          <w:trHeight w:val="33"/>
        </w:trPr>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January 30, 2019</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11,755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11,755</w:t>
            </w:r>
          </w:p>
        </w:tc>
        <w:tc>
          <w:tcPr>
            <w:tcW w:w="1300" w:type="dxa"/>
            <w:vAlign w:val="bottom"/>
            <w:tcBorders>
              <w:bottom w:val="single" w:sz="8" w:color="CCEEFF"/>
            </w:tcBorders>
            <w:gridSpan w:val="2"/>
            <w:shd w:val="clear" w:color="auto" w:fill="CCEEFF"/>
          </w:tcPr>
          <w:p>
            <w:pPr>
              <w:jc w:val="center"/>
              <w:ind w:left="119"/>
              <w:spacing w:after="0"/>
              <w:rPr>
                <w:sz w:val="20"/>
                <w:szCs w:val="20"/>
                <w:color w:val="auto"/>
              </w:rPr>
            </w:pPr>
            <w:r>
              <w:rPr>
                <w:rFonts w:ascii="Arial" w:cs="Arial" w:eastAsia="Arial" w:hAnsi="Arial"/>
                <w:sz w:val="16"/>
                <w:szCs w:val="16"/>
                <w:color w:val="auto"/>
                <w:w w:val="92"/>
              </w:rPr>
              <w:t>2.502%</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January 30, 2041</w:t>
            </w:r>
          </w:p>
        </w:tc>
      </w:tr>
      <w:tr>
        <w:trPr>
          <w:trHeight w:val="237"/>
        </w:trPr>
        <w:tc>
          <w:tcPr>
            <w:tcW w:w="1880" w:type="dxa"/>
            <w:vAlign w:val="bottom"/>
          </w:tcPr>
          <w:p>
            <w:pPr>
              <w:jc w:val="center"/>
              <w:spacing w:after="0"/>
              <w:rPr>
                <w:sz w:val="20"/>
                <w:szCs w:val="20"/>
                <w:color w:val="auto"/>
              </w:rPr>
            </w:pPr>
            <w:r>
              <w:rPr>
                <w:rFonts w:ascii="Arial" w:cs="Arial" w:eastAsia="Arial" w:hAnsi="Arial"/>
                <w:sz w:val="16"/>
                <w:szCs w:val="16"/>
                <w:color w:val="auto"/>
                <w:w w:val="90"/>
              </w:rPr>
              <w:t>January 30, 2019</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29,742</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29,742</w:t>
            </w:r>
          </w:p>
        </w:tc>
        <w:tc>
          <w:tcPr>
            <w:tcW w:w="1300" w:type="dxa"/>
            <w:vAlign w:val="bottom"/>
            <w:gridSpan w:val="2"/>
          </w:tcPr>
          <w:p>
            <w:pPr>
              <w:jc w:val="center"/>
              <w:ind w:left="119"/>
              <w:spacing w:after="0"/>
              <w:rPr>
                <w:sz w:val="20"/>
                <w:szCs w:val="20"/>
                <w:color w:val="auto"/>
              </w:rPr>
            </w:pPr>
            <w:r>
              <w:rPr>
                <w:rFonts w:ascii="Arial" w:cs="Arial" w:eastAsia="Arial" w:hAnsi="Arial"/>
                <w:sz w:val="16"/>
                <w:szCs w:val="16"/>
                <w:color w:val="auto"/>
                <w:w w:val="92"/>
              </w:rPr>
              <w:t>2.495%</w:t>
            </w:r>
          </w:p>
        </w:tc>
        <w:tc>
          <w:tcPr>
            <w:tcW w:w="2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0"/>
              </w:rPr>
              <w:t>January 30, 2041</w:t>
            </w:r>
          </w:p>
        </w:tc>
      </w:tr>
      <w:tr>
        <w:trPr>
          <w:trHeight w:val="33"/>
        </w:trPr>
        <w:tc>
          <w:tcPr>
            <w:tcW w:w="1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January 30, 2019</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7,709</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gridSpan w:val="2"/>
            <w:shd w:val="clear" w:color="auto" w:fill="CCEEFF"/>
          </w:tcPr>
          <w:p>
            <w:pPr>
              <w:jc w:val="center"/>
              <w:ind w:left="119"/>
              <w:spacing w:after="0"/>
              <w:rPr>
                <w:sz w:val="20"/>
                <w:szCs w:val="20"/>
                <w:color w:val="auto"/>
              </w:rPr>
            </w:pPr>
            <w:r>
              <w:rPr>
                <w:rFonts w:ascii="Arial" w:cs="Arial" w:eastAsia="Arial" w:hAnsi="Arial"/>
                <w:sz w:val="16"/>
                <w:szCs w:val="16"/>
                <w:color w:val="auto"/>
                <w:w w:val="92"/>
              </w:rPr>
              <w:t>3.065%</w:t>
            </w: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October 30, 2041</w:t>
            </w:r>
          </w:p>
        </w:tc>
      </w:tr>
      <w:tr>
        <w:trPr>
          <w:trHeight w:val="244"/>
        </w:trPr>
        <w:tc>
          <w:tcPr>
            <w:tcW w:w="188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96,075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88,366</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0"/>
        </w:trPr>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Fair Value of Derivative Transactions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derivative assets and liabilities on the consolidated balance sheets as of December 31,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(in thousands):</w:t>
      </w:r>
    </w:p>
    <w:p>
      <w:pPr>
        <w:spacing w:after="0" w:line="292" w:lineRule="exact"/>
        <w:rPr>
          <w:sz w:val="20"/>
          <w:szCs w:val="20"/>
          <w:color w:val="auto"/>
        </w:rPr>
      </w:pPr>
    </w:p>
    <w:tbl>
      <w:tblPr>
        <w:tblLayout w:type="fixed"/>
        <w:tblInd w:w="208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060" w:type="dxa"/>
            <w:vAlign w:val="bottom"/>
            <w:vMerge w:val="restart"/>
          </w:tcPr>
          <w:p>
            <w:pPr>
              <w:ind w:left="20"/>
              <w:spacing w:after="0"/>
              <w:rPr>
                <w:sz w:val="20"/>
                <w:szCs w:val="20"/>
                <w:color w:val="auto"/>
              </w:rPr>
            </w:pPr>
            <w:r>
              <w:rPr>
                <w:rFonts w:ascii="Arial" w:cs="Arial" w:eastAsia="Arial" w:hAnsi="Arial"/>
                <w:sz w:val="16"/>
                <w:szCs w:val="16"/>
                <w:color w:val="auto"/>
              </w:rPr>
              <w:t>Derivatives not designated as cash flow hedges:</w:t>
            </w:r>
          </w:p>
        </w:tc>
        <w:tc>
          <w:tcPr>
            <w:tcW w:w="11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6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Derivative assets:</w:t>
            </w:r>
          </w:p>
        </w:tc>
        <w:tc>
          <w:tcPr>
            <w:tcW w:w="1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420"/>
              <w:spacing w:after="0"/>
              <w:rPr>
                <w:sz w:val="20"/>
                <w:szCs w:val="20"/>
                <w:color w:val="auto"/>
              </w:rPr>
            </w:pPr>
            <w:r>
              <w:rPr>
                <w:rFonts w:ascii="Arial" w:cs="Arial" w:eastAsia="Arial" w:hAnsi="Arial"/>
                <w:sz w:val="16"/>
                <w:szCs w:val="16"/>
                <w:color w:val="auto"/>
              </w:rPr>
              <w:t>Interest rate contracts current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184</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Interest rate contracts long-term</w:t>
            </w:r>
          </w:p>
        </w:tc>
        <w:tc>
          <w:tcPr>
            <w:tcW w:w="1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84"/>
        </w:trPr>
        <w:tc>
          <w:tcPr>
            <w:tcW w:w="4060" w:type="dxa"/>
            <w:vAlign w:val="bottom"/>
            <w:tcBorders>
              <w:bottom w:val="single" w:sz="8" w:color="CCEEFF"/>
            </w:tcBorders>
          </w:tcPr>
          <w:p>
            <w:pPr>
              <w:ind w:left="1020"/>
              <w:spacing w:after="0"/>
              <w:rPr>
                <w:sz w:val="20"/>
                <w:szCs w:val="20"/>
                <w:color w:val="auto"/>
              </w:rPr>
            </w:pPr>
            <w:r>
              <w:rPr>
                <w:rFonts w:ascii="Arial" w:cs="Arial" w:eastAsia="Arial" w:hAnsi="Arial"/>
                <w:sz w:val="16"/>
                <w:szCs w:val="16"/>
                <w:color w:val="auto"/>
              </w:rPr>
              <w:t>Total assets</w:t>
            </w:r>
          </w:p>
        </w:tc>
        <w:tc>
          <w:tcPr>
            <w:tcW w:w="11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1,673</w:t>
            </w:r>
          </w:p>
        </w:tc>
        <w:tc>
          <w:tcPr>
            <w:tcW w:w="2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37"/>
        </w:trPr>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Derivative liabilities:</w:t>
            </w:r>
          </w:p>
        </w:tc>
        <w:tc>
          <w:tcPr>
            <w:tcW w:w="1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420"/>
              <w:spacing w:after="0"/>
              <w:rPr>
                <w:sz w:val="20"/>
                <w:szCs w:val="20"/>
                <w:color w:val="auto"/>
              </w:rPr>
            </w:pPr>
            <w:r>
              <w:rPr>
                <w:rFonts w:ascii="Arial" w:cs="Arial" w:eastAsia="Arial" w:hAnsi="Arial"/>
                <w:sz w:val="16"/>
                <w:szCs w:val="16"/>
                <w:color w:val="auto"/>
              </w:rPr>
              <w:t>Interest rate contracts current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Interest rate contracts long-term</w:t>
            </w:r>
          </w:p>
        </w:tc>
        <w:tc>
          <w:tcPr>
            <w:tcW w:w="1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4"/>
        </w:trPr>
        <w:tc>
          <w:tcPr>
            <w:tcW w:w="4060" w:type="dxa"/>
            <w:vAlign w:val="bottom"/>
          </w:tcPr>
          <w:p>
            <w:pPr>
              <w:ind w:left="1020"/>
              <w:spacing w:after="0"/>
              <w:rPr>
                <w:sz w:val="20"/>
                <w:szCs w:val="20"/>
                <w:color w:val="auto"/>
              </w:rPr>
            </w:pPr>
            <w:r>
              <w:rPr>
                <w:rFonts w:ascii="Arial" w:cs="Arial" w:eastAsia="Arial" w:hAnsi="Arial"/>
                <w:sz w:val="16"/>
                <w:szCs w:val="16"/>
                <w:color w:val="auto"/>
              </w:rPr>
              <w:t>Total liabilities</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20"/>
          <w:szCs w:val="20"/>
          <w:b w:val="1"/>
          <w:bCs w:val="1"/>
          <w:i w:val="1"/>
          <w:iCs w:val="1"/>
          <w:color w:val="auto"/>
        </w:rPr>
      </w:pPr>
      <w:r>
        <w:rPr>
          <w:rFonts w:ascii="Arial" w:cs="Arial" w:eastAsia="Arial" w:hAnsi="Arial"/>
          <w:sz w:val="18"/>
          <w:szCs w:val="18"/>
          <w:b w:val="1"/>
          <w:bCs w:val="1"/>
          <w:i w:val="1"/>
          <w:iCs w:val="1"/>
          <w:color w:val="auto"/>
        </w:rPr>
        <w:t>Impact of Derivative Instruments on the Consolidated Statements of Income</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amounts of unrealized gains associated with changes in the fair value of derivative instruments, which are recorded to interest expense in the consolidated statements of income (in thousands):</w:t>
      </w: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0"/>
              </w:rPr>
              <w:t>Year ended</w:t>
            </w: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0"/>
              </w:rPr>
              <w:t>Year ended</w:t>
            </w:r>
          </w:p>
        </w:tc>
      </w:tr>
      <w:tr>
        <w:trPr>
          <w:trHeight w:val="203"/>
        </w:trPr>
        <w:tc>
          <w:tcPr>
            <w:tcW w:w="4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December 31,</w:t>
            </w: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46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9"/>
              </w:rPr>
              <w:t>Unrealized mark-to-market gain on interest rate swap contracts</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44"/>
        </w:trPr>
        <w:tc>
          <w:tcPr>
            <w:tcW w:w="4660" w:type="dxa"/>
            <w:vAlign w:val="bottom"/>
          </w:tcPr>
          <w:p>
            <w:pPr>
              <w:ind w:left="1020"/>
              <w:spacing w:after="0"/>
              <w:rPr>
                <w:sz w:val="20"/>
                <w:szCs w:val="20"/>
                <w:color w:val="auto"/>
              </w:rPr>
            </w:pPr>
            <w:r>
              <w:rPr>
                <w:rFonts w:ascii="Arial" w:cs="Arial" w:eastAsia="Arial" w:hAnsi="Arial"/>
                <w:sz w:val="16"/>
                <w:szCs w:val="16"/>
                <w:color w:val="auto"/>
              </w:rPr>
              <w:t>Total unrealized gain</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w:t>
            </w:r>
          </w:p>
        </w:tc>
      </w:tr>
      <w:tr>
        <w:trPr>
          <w:trHeight w:val="20"/>
        </w:trPr>
        <w:tc>
          <w:tcPr>
            <w:tcW w:w="4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4" w:right="23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(6) Long-Term Debt</w:t>
      </w:r>
    </w:p>
    <w:p>
      <w:pPr>
        <w:spacing w:after="0" w:line="130"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Chestnut Borrower Credit Agreement</w:t>
      </w:r>
    </w:p>
    <w:p>
      <w:pPr>
        <w:spacing w:after="0" w:line="18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July 2017, the Company entered into a credit agreement with Deutsche Bank AG, (subsequently amended in June 2018), for term loans of up to $120.3 million and letters of credit of up to $7.5 million. In January 2019, the letters of credit commitment amount under the credit agreement was increased to $7.9 million. The loans bear annual interest at a rate of LIBOR plus an applicable margin, which is 2.50% per annum through the fifth anniversary of the financial closing date, or July 2022, and 2.75% per annum thereafter through the maturity date in March 2024. In addition to interest on the outstanding borrowings, the Company will pay a commitment fee on the unused portions of the term loan and letter of credit commitments equal to 0.75% per year. The borrowings are secured by the Company's interests in the project companies.</w:t>
      </w:r>
    </w:p>
    <w:p>
      <w:pPr>
        <w:spacing w:after="0" w:line="13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December 31, 2018, the Company had issued a letter of credit for a commitment of $8.5 million to support the Company’s debt service reserve requirements. The Company pays a letter of credit fee of 2.50% per annum on issued amounts under the letter of credit facility on a quarterly basis, which is recorded in interest expense in the consolidated statements of income.</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2018 and 2017, long-term debt consists of the following (in thousands):</w:t>
      </w:r>
    </w:p>
    <w:p>
      <w:pPr>
        <w:spacing w:after="0" w:line="185" w:lineRule="exact"/>
        <w:rPr>
          <w:sz w:val="20"/>
          <w:szCs w:val="20"/>
          <w:color w:val="auto"/>
        </w:rPr>
      </w:pPr>
    </w:p>
    <w:tbl>
      <w:tblPr>
        <w:tblLayout w:type="fixed"/>
        <w:tblInd w:w="150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44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long-term debt (including current maturities)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117,570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37,832</w:t>
            </w:r>
          </w:p>
        </w:tc>
      </w:tr>
      <w:tr>
        <w:trPr>
          <w:trHeight w:val="237"/>
        </w:trPr>
        <w:tc>
          <w:tcPr>
            <w:tcW w:w="4400" w:type="dxa"/>
            <w:vAlign w:val="bottom"/>
          </w:tcPr>
          <w:p>
            <w:pPr>
              <w:ind w:left="20"/>
              <w:spacing w:after="0"/>
              <w:rPr>
                <w:sz w:val="20"/>
                <w:szCs w:val="20"/>
                <w:color w:val="auto"/>
              </w:rPr>
            </w:pPr>
            <w:r>
              <w:rPr>
                <w:rFonts w:ascii="Arial" w:cs="Arial" w:eastAsia="Arial" w:hAnsi="Arial"/>
                <w:sz w:val="16"/>
                <w:szCs w:val="16"/>
                <w:color w:val="auto"/>
              </w:rPr>
              <w:t>Less current maturities</w:t>
            </w:r>
          </w:p>
        </w:tc>
        <w:tc>
          <w:tcPr>
            <w:tcW w:w="1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(5,646)</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debt issuance costs, net</w:t>
            </w:r>
          </w:p>
        </w:tc>
        <w:tc>
          <w:tcPr>
            <w:tcW w:w="1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(4,368)</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(4,617)</w:t>
            </w:r>
          </w:p>
        </w:tc>
      </w:tr>
      <w:tr>
        <w:trPr>
          <w:trHeight w:val="244"/>
        </w:trPr>
        <w:tc>
          <w:tcPr>
            <w:tcW w:w="4400" w:type="dxa"/>
            <w:vAlign w:val="bottom"/>
          </w:tcPr>
          <w:p>
            <w:pPr>
              <w:ind w:left="600"/>
              <w:spacing w:after="0"/>
              <w:rPr>
                <w:sz w:val="20"/>
                <w:szCs w:val="20"/>
                <w:color w:val="auto"/>
              </w:rPr>
            </w:pPr>
            <w:r>
              <w:rPr>
                <w:rFonts w:ascii="Arial" w:cs="Arial" w:eastAsia="Arial" w:hAnsi="Arial"/>
                <w:sz w:val="16"/>
                <w:szCs w:val="16"/>
                <w:color w:val="auto"/>
              </w:rPr>
              <w:t>Long-term debt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107,556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33,215</w:t>
            </w:r>
          </w:p>
        </w:tc>
      </w:tr>
      <w:tr>
        <w:trPr>
          <w:trHeight w:val="20"/>
        </w:trPr>
        <w:tc>
          <w:tcPr>
            <w:tcW w:w="4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Distributions from the Company are subject to compliance with the terms and conditions defined in the credit agreement, including a covenant to meet a required debt service coverage ratio of at least 1.20 to 1.0. At December 31, 2018, the Company was in compliance with various restrictive covenants defined in the credit agreement; however the Company's distributions are limited due to an event of default under the credit agreement arising from the placement of mechanic's liens at the Armstrong and Nystuen facilities.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maturities as of December 31, 2018 are summarized as follows (in thousands):</w:t>
      </w:r>
    </w:p>
    <w:p>
      <w:pPr>
        <w:spacing w:after="0" w:line="351" w:lineRule="exact"/>
        <w:rPr>
          <w:sz w:val="20"/>
          <w:szCs w:val="20"/>
          <w:color w:val="auto"/>
        </w:rPr>
      </w:pPr>
    </w:p>
    <w:tbl>
      <w:tblPr>
        <w:tblLayout w:type="fixed"/>
        <w:tblInd w:w="3060" w:type="dxa"/>
        <w:tblCellMar>
          <w:top w:w="0" w:type="dxa"/>
          <w:left w:w="0" w:type="dxa"/>
          <w:bottom w:w="0" w:type="dxa"/>
          <w:right w:w="0" w:type="dxa"/>
        </w:tblCellMar>
      </w:tblPr>
      <w:tr>
        <w:trPr>
          <w:trHeight w:val="206"/>
        </w:trPr>
        <w:tc>
          <w:tcPr>
            <w:tcW w:w="3080" w:type="dxa"/>
            <w:vAlign w:val="bottom"/>
          </w:tcPr>
          <w:p>
            <w:pPr>
              <w:ind w:left="20"/>
              <w:spacing w:after="0"/>
              <w:rPr>
                <w:sz w:val="20"/>
                <w:szCs w:val="20"/>
                <w:color w:val="auto"/>
              </w:rPr>
            </w:pPr>
            <w:r>
              <w:rPr>
                <w:rFonts w:ascii="Arial" w:cs="Arial" w:eastAsia="Arial" w:hAnsi="Arial"/>
                <w:sz w:val="16"/>
                <w:szCs w:val="16"/>
                <w:color w:val="auto"/>
              </w:rPr>
              <w:t>Year ending December 31:</w:t>
            </w: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3"/>
        </w:trPr>
        <w:tc>
          <w:tcPr>
            <w:tcW w:w="3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3080" w:type="dxa"/>
            <w:vAlign w:val="bottom"/>
          </w:tcPr>
          <w:p>
            <w:pPr>
              <w:ind w:left="380"/>
              <w:spacing w:after="0"/>
              <w:rPr>
                <w:sz w:val="20"/>
                <w:szCs w:val="20"/>
                <w:color w:val="auto"/>
              </w:rPr>
            </w:pPr>
            <w:r>
              <w:rPr>
                <w:rFonts w:ascii="Arial" w:cs="Arial" w:eastAsia="Arial" w:hAnsi="Arial"/>
                <w:sz w:val="16"/>
                <w:szCs w:val="16"/>
                <w:color w:val="auto"/>
              </w:rPr>
              <w:t>2019</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5,646</w:t>
            </w:r>
          </w:p>
        </w:tc>
      </w:tr>
      <w:tr>
        <w:trPr>
          <w:trHeight w:val="33"/>
        </w:trPr>
        <w:tc>
          <w:tcPr>
            <w:tcW w:w="3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2020</w:t>
            </w:r>
          </w:p>
        </w:tc>
        <w:tc>
          <w:tcPr>
            <w:tcW w:w="1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7,666</w:t>
            </w: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2021</w:t>
            </w:r>
          </w:p>
        </w:tc>
        <w:tc>
          <w:tcPr>
            <w:tcW w:w="14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7,841</w:t>
            </w:r>
          </w:p>
        </w:tc>
      </w:tr>
      <w:tr>
        <w:trPr>
          <w:trHeight w:val="33"/>
        </w:trPr>
        <w:tc>
          <w:tcPr>
            <w:tcW w:w="3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2022</w:t>
            </w:r>
          </w:p>
        </w:tc>
        <w:tc>
          <w:tcPr>
            <w:tcW w:w="1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7,143</w:t>
            </w: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2023</w:t>
            </w:r>
          </w:p>
        </w:tc>
        <w:tc>
          <w:tcPr>
            <w:tcW w:w="14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6,463</w:t>
            </w:r>
          </w:p>
        </w:tc>
      </w:tr>
      <w:tr>
        <w:trPr>
          <w:trHeight w:val="33"/>
        </w:trPr>
        <w:tc>
          <w:tcPr>
            <w:tcW w:w="3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Thereafter</w:t>
            </w:r>
          </w:p>
        </w:tc>
        <w:tc>
          <w:tcPr>
            <w:tcW w:w="1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82,811</w:t>
            </w:r>
          </w:p>
        </w:tc>
      </w:tr>
      <w:tr>
        <w:trPr>
          <w:trHeight w:val="244"/>
        </w:trPr>
        <w:tc>
          <w:tcPr>
            <w:tcW w:w="30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117,570</w:t>
            </w:r>
          </w:p>
        </w:tc>
      </w:tr>
      <w:tr>
        <w:trPr>
          <w:trHeight w:val="20"/>
        </w:trPr>
        <w:tc>
          <w:tcPr>
            <w:tcW w:w="3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92" w:right="239" w:bottom="1440" w:gutter="0" w:footer="0" w:header="0"/>
        </w:sectPr>
      </w:pPr>
    </w:p>
    <w:bookmarkStart w:id="34" w:name="page35"/>
    <w:bookmarkEnd w:id="34"/>
    <w:p>
      <w:pPr>
        <w:ind w:left="280" w:hanging="272"/>
        <w:spacing w:after="0"/>
        <w:tabs>
          <w:tab w:leader="none" w:pos="2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CS4 Borrower Credit Agreement</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September 2018, the Company entered into a credit agreement with three financial institutions for construction loans up to $97.4 million that will convert to a term loan by June 30, 2019, an investment tax credit bridge loan, or ITC bridge loan, for up to $89.9 million and letter of credit facilities up to $4.9 million. The construction loan and the ITC bridge loan both have an interest rate of LIBOR plus an applicable margin of 1.75% per annum. The ITC bridge loan matures upon the conversion of the construction loans to a term loan. The Company pays quarterly commitment fees of 0.625% per annum on any unused portion of all of the financing commitments described above, with the exception of the term loan. The term loan will bear annual interest at a rate of LIBOR plus an applicable margin, which is 2.00% per annum through the third anniversary of the term conversion, and 2.25% per annum thereafter through the maturity date in June 2026. The construction loan and the ITC bridge loan, and the future term loan, will be secured by the Company's membership interests in the project companies.</w:t>
      </w:r>
    </w:p>
    <w:p>
      <w:pPr>
        <w:spacing w:after="0" w:line="152"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As of December 31, 2018, the Company had no issued letters of credit outstanding. The Company pays an availability fee of 1.75% per annum on issued amounts under the letter of credit facility on a quarterly basis, which is recorded in interest expense in the consolidated statement of income.</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long-term debt consists of the following (in thousands):</w:t>
      </w:r>
    </w:p>
    <w:p>
      <w:pPr>
        <w:spacing w:after="0" w:line="361" w:lineRule="exact"/>
        <w:rPr>
          <w:sz w:val="20"/>
          <w:szCs w:val="20"/>
          <w:color w:val="auto"/>
        </w:rPr>
      </w:pPr>
    </w:p>
    <w:tbl>
      <w:tblPr>
        <w:tblLayout w:type="fixed"/>
        <w:tblInd w:w="152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33"/>
        </w:trPr>
        <w:tc>
          <w:tcPr>
            <w:tcW w:w="51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Construction loan</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20,387</w:t>
            </w:r>
          </w:p>
        </w:tc>
      </w:tr>
      <w:tr>
        <w:trPr>
          <w:trHeight w:val="237"/>
        </w:trPr>
        <w:tc>
          <w:tcPr>
            <w:tcW w:w="5120" w:type="dxa"/>
            <w:vAlign w:val="bottom"/>
          </w:tcPr>
          <w:p>
            <w:pPr>
              <w:ind w:left="20"/>
              <w:spacing w:after="0"/>
              <w:rPr>
                <w:sz w:val="20"/>
                <w:szCs w:val="20"/>
                <w:color w:val="auto"/>
              </w:rPr>
            </w:pPr>
            <w:r>
              <w:rPr>
                <w:rFonts w:ascii="Arial" w:cs="Arial" w:eastAsia="Arial" w:hAnsi="Arial"/>
                <w:sz w:val="16"/>
                <w:szCs w:val="16"/>
                <w:color w:val="auto"/>
              </w:rPr>
              <w:t>ITC bridge loan</w:t>
            </w:r>
          </w:p>
        </w:tc>
        <w:tc>
          <w:tcPr>
            <w:tcW w:w="19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32,164</w:t>
            </w:r>
          </w:p>
        </w:tc>
      </w:tr>
      <w:tr>
        <w:trPr>
          <w:trHeight w:val="33"/>
        </w:trPr>
        <w:tc>
          <w:tcPr>
            <w:tcW w:w="51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long-term debt (including current maturities)</w:t>
            </w:r>
          </w:p>
        </w:tc>
        <w:tc>
          <w:tcPr>
            <w:tcW w:w="19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52,551</w:t>
            </w:r>
          </w:p>
        </w:tc>
      </w:tr>
      <w:tr>
        <w:trPr>
          <w:trHeight w:val="237"/>
        </w:trPr>
        <w:tc>
          <w:tcPr>
            <w:tcW w:w="5120" w:type="dxa"/>
            <w:vAlign w:val="bottom"/>
          </w:tcPr>
          <w:p>
            <w:pPr>
              <w:ind w:left="20"/>
              <w:spacing w:after="0"/>
              <w:rPr>
                <w:sz w:val="20"/>
                <w:szCs w:val="20"/>
                <w:color w:val="auto"/>
              </w:rPr>
            </w:pPr>
            <w:r>
              <w:rPr>
                <w:rFonts w:ascii="Arial" w:cs="Arial" w:eastAsia="Arial" w:hAnsi="Arial"/>
                <w:sz w:val="16"/>
                <w:szCs w:val="16"/>
                <w:color w:val="auto"/>
              </w:rPr>
              <w:t>Less current maturities</w:t>
            </w:r>
          </w:p>
        </w:tc>
        <w:tc>
          <w:tcPr>
            <w:tcW w:w="19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(21,404)</w:t>
            </w:r>
          </w:p>
        </w:tc>
      </w:tr>
      <w:tr>
        <w:trPr>
          <w:trHeight w:val="33"/>
        </w:trPr>
        <w:tc>
          <w:tcPr>
            <w:tcW w:w="5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debt issuance costs</w:t>
            </w:r>
          </w:p>
        </w:tc>
        <w:tc>
          <w:tcPr>
            <w:tcW w:w="19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(5,425)</w:t>
            </w:r>
          </w:p>
        </w:tc>
      </w:tr>
      <w:tr>
        <w:trPr>
          <w:trHeight w:val="244"/>
        </w:trPr>
        <w:tc>
          <w:tcPr>
            <w:tcW w:w="5120" w:type="dxa"/>
            <w:vAlign w:val="bottom"/>
          </w:tcPr>
          <w:p>
            <w:pPr>
              <w:ind w:left="620"/>
              <w:spacing w:after="0"/>
              <w:rPr>
                <w:sz w:val="20"/>
                <w:szCs w:val="20"/>
                <w:color w:val="auto"/>
              </w:rPr>
            </w:pPr>
            <w:r>
              <w:rPr>
                <w:rFonts w:ascii="Arial" w:cs="Arial" w:eastAsia="Arial" w:hAnsi="Arial"/>
                <w:sz w:val="16"/>
                <w:szCs w:val="16"/>
                <w:color w:val="auto"/>
              </w:rPr>
              <w:t>Long-term debt</w:t>
            </w: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25,722</w:t>
            </w:r>
          </w:p>
        </w:tc>
      </w:tr>
      <w:tr>
        <w:trPr>
          <w:trHeight w:val="20"/>
        </w:trPr>
        <w:tc>
          <w:tcPr>
            <w:tcW w:w="5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Distributions from the Company are subject to compliance with the terms and conditions defined in the credit agreement, including a covenant to meet a required debt service coverage ratio of at least 1.20 to 1.0. As of December 31, 2018, the Company was in compliance with the various restrictive covenants defined in the credit agreement.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maturities as of December 31, 2018 are summarized as follows (in thousands):</w:t>
      </w:r>
    </w:p>
    <w:p>
      <w:pPr>
        <w:spacing w:after="0" w:line="351" w:lineRule="exact"/>
        <w:rPr>
          <w:sz w:val="20"/>
          <w:szCs w:val="20"/>
          <w:color w:val="auto"/>
        </w:rPr>
      </w:pPr>
    </w:p>
    <w:tbl>
      <w:tblPr>
        <w:tblLayout w:type="fixed"/>
        <w:tblInd w:w="3620" w:type="dxa"/>
        <w:tblCellMar>
          <w:top w:w="0" w:type="dxa"/>
          <w:left w:w="0" w:type="dxa"/>
          <w:bottom w:w="0" w:type="dxa"/>
          <w:right w:w="0" w:type="dxa"/>
        </w:tblCellMar>
      </w:tblPr>
      <w:tr>
        <w:trPr>
          <w:trHeight w:val="206"/>
        </w:trPr>
        <w:tc>
          <w:tcPr>
            <w:tcW w:w="2280" w:type="dxa"/>
            <w:vAlign w:val="bottom"/>
          </w:tcPr>
          <w:p>
            <w:pPr>
              <w:ind w:left="40"/>
              <w:spacing w:after="0"/>
              <w:rPr>
                <w:sz w:val="20"/>
                <w:szCs w:val="20"/>
                <w:color w:val="auto"/>
              </w:rPr>
            </w:pPr>
            <w:r>
              <w:rPr>
                <w:rFonts w:ascii="Arial" w:cs="Arial" w:eastAsia="Arial" w:hAnsi="Arial"/>
                <w:sz w:val="16"/>
                <w:szCs w:val="16"/>
                <w:color w:val="auto"/>
              </w:rPr>
              <w:t>Year ending December 31:</w:t>
            </w:r>
          </w:p>
        </w:tc>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3"/>
        </w:trPr>
        <w:tc>
          <w:tcPr>
            <w:tcW w:w="2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2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2019</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21,404</w:t>
            </w:r>
          </w:p>
        </w:tc>
      </w:tr>
      <w:tr>
        <w:trPr>
          <w:trHeight w:val="237"/>
        </w:trPr>
        <w:tc>
          <w:tcPr>
            <w:tcW w:w="2280" w:type="dxa"/>
            <w:vAlign w:val="bottom"/>
          </w:tcPr>
          <w:p>
            <w:pPr>
              <w:ind w:left="380"/>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2021</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1,486</w:t>
            </w:r>
          </w:p>
        </w:tc>
      </w:tr>
      <w:tr>
        <w:trPr>
          <w:trHeight w:val="237"/>
        </w:trPr>
        <w:tc>
          <w:tcPr>
            <w:tcW w:w="2280" w:type="dxa"/>
            <w:vAlign w:val="bottom"/>
          </w:tcPr>
          <w:p>
            <w:pPr>
              <w:ind w:left="380"/>
              <w:spacing w:after="0"/>
              <w:rPr>
                <w:sz w:val="20"/>
                <w:szCs w:val="20"/>
                <w:color w:val="auto"/>
              </w:rPr>
            </w:pPr>
            <w:r>
              <w:rPr>
                <w:rFonts w:ascii="Arial" w:cs="Arial" w:eastAsia="Arial" w:hAnsi="Arial"/>
                <w:sz w:val="16"/>
                <w:szCs w:val="16"/>
                <w:color w:val="auto"/>
              </w:rPr>
              <w:t>2022</w:t>
            </w: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1,371</w:t>
            </w:r>
          </w:p>
        </w:tc>
      </w:tr>
      <w:tr>
        <w:trPr>
          <w:trHeight w:val="33"/>
        </w:trPr>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2023</w:t>
            </w:r>
          </w:p>
        </w:tc>
        <w:tc>
          <w:tcPr>
            <w:tcW w:w="6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r>
      <w:tr>
        <w:trPr>
          <w:trHeight w:val="237"/>
        </w:trPr>
        <w:tc>
          <w:tcPr>
            <w:tcW w:w="2280" w:type="dxa"/>
            <w:vAlign w:val="bottom"/>
          </w:tcPr>
          <w:p>
            <w:pPr>
              <w:ind w:left="380"/>
              <w:spacing w:after="0"/>
              <w:rPr>
                <w:sz w:val="20"/>
                <w:szCs w:val="20"/>
                <w:color w:val="auto"/>
              </w:rPr>
            </w:pPr>
            <w:r>
              <w:rPr>
                <w:rFonts w:ascii="Arial" w:cs="Arial" w:eastAsia="Arial" w:hAnsi="Arial"/>
                <w:sz w:val="16"/>
                <w:szCs w:val="16"/>
                <w:color w:val="auto"/>
              </w:rPr>
              <w:t>Thereafter</w:t>
            </w:r>
          </w:p>
        </w:tc>
        <w:tc>
          <w:tcPr>
            <w:tcW w:w="6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25,788</w:t>
            </w:r>
          </w:p>
        </w:tc>
      </w:tr>
      <w:tr>
        <w:trPr>
          <w:trHeight w:val="33"/>
        </w:trPr>
        <w:tc>
          <w:tcPr>
            <w:tcW w:w="2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52,551</w:t>
            </w:r>
          </w:p>
        </w:tc>
      </w:tr>
      <w:tr>
        <w:trPr>
          <w:trHeight w:val="20"/>
        </w:trPr>
        <w:tc>
          <w:tcPr>
            <w:tcW w:w="2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(7) Related Party Transactions</w:t>
      </w:r>
    </w:p>
    <w:p>
      <w:pPr>
        <w:spacing w:after="0" w:line="13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The Company has the following related party transactions and relationships in in addition to the acquisition of solar energy systems from Clearway Renew described in note 4,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and renewable energy certificate revenue described in note 2(j), </w:t>
      </w:r>
      <w:r>
        <w:rPr>
          <w:rFonts w:ascii="Arial" w:cs="Arial" w:eastAsia="Arial" w:hAnsi="Arial"/>
          <w:sz w:val="16"/>
          <w:szCs w:val="16"/>
          <w:i w:val="1"/>
          <w:iCs w:val="1"/>
          <w:color w:val="auto"/>
        </w:rPr>
        <w:t>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Amounts due to related parties are recorded as accounts payable – affiliate and amounts due to the Company from related parties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as accounts receivable – affiliate on the Company’s consolidated balance sheets. These account balances are netted by affiliate party.</w:t>
      </w:r>
    </w:p>
    <w:p>
      <w:pPr>
        <w:spacing w:after="0" w:line="1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Both Chestnut Fund and CS4 Fund have asset management agreements with Solar Asset Management LLC, a subsidiary of Clearway Renew, where Solar Asset Management LLC performs administrative services related to the acquired project companies and receives an asset management fee in an annual amount per project. The Funds will also reimburse Solar Asset Management LLC for certain out-of-pocket costs. Chestnut Fund incurred costs under the agreement of $185 thousand and $12 thousand for the year ended December 31, 2018 and the period from September 26, 2017 through December 31, 2017, respectively. These costs are included in cost of operations – affiliate in the consolidated statements of income. CS4 Fund did not incur any costs under the agreement for the year ended December 31, 2018.</w:t>
      </w:r>
    </w:p>
    <w:p>
      <w:pPr>
        <w:spacing w:after="0" w:line="15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January 1, 2018, Chestnut Fund has an operations and maintenance agreement with Clearway Renewable Operation &amp; Maintenance LLC, or RENOM, a subsidiary of Clearway Energy Group, to operate and maintain the PV Systems owned by the acquired project companies. RENOM receives a fee in a set annual amount for each project plus reimbursable costs, with an annual escalation of 2.25%. The fee is also subject to adjustments for additional site maintenance, panel washing and replacement costs. The Company incurred costs under the agreement of $488 thousand for the year ended December 31, 2018. These costs are included in cost of operations – affiliate in the consolidated statements of income. CS4 Fund has a similar agreement in place, with no costs incurred as of December 31, 2018.</w:t>
      </w:r>
    </w:p>
    <w:p>
      <w:pPr>
        <w:spacing w:after="0" w:line="15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Subject to the Chestnut Fund Limited Liability Company Agreement, in the event that additional working capital is required by to cause the assets to be properly operated and maintained and to pay for the costs, expenses, obligations and liabilities of Chestnut Fund, then the Company shall have the right, but not the obligation, to provide all or part of the funds needed by the Company in the form of a member loan. This loan was funded through an intercompany borrowing from the Company's Class B Member, Renew DG Holding. As of December 31, 2018 and 2017, $1.6 million and $1.9 million, respectively, was outstanding under a member loan, which is recorded in short-term debt – affiliate on the consolidated balance sheets.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3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the normal course of business, the Company is subject to various claims and litigation. Management of the Company expects that these various litigation items will not have a material adverse effect on the results of operations, cash flows, or financial position of the Company.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Land Leases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projects owned by the Company entered into various land lease agreements through 2053 where their respective solar energy facilities are located. During the terms of the leases, the Company will operate the solar energy facilities to supply electric energy to the customers of the previously described community solar installations. The Company is responsible for all operating costs, repairs and maintenance, and insurance related to the facilities. Lease expense is recognized on a straight-line basis when the agreements include escalating payments over the lease term. For the year ended December 31, 2018 and the period from September 26, 2017 through December 31, 2017, the Company recorded rent expense of $2.4 million and $123 thousand, respectively, which is included in cost of operations in the consolidated statement of income.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payments under noncancelable land leases as of December 31, 2018 are estimated as follows (in thousands):</w:t>
      </w:r>
    </w:p>
    <w:p>
      <w:pPr>
        <w:spacing w:after="0" w:line="307" w:lineRule="exact"/>
        <w:rPr>
          <w:sz w:val="20"/>
          <w:szCs w:val="20"/>
          <w:color w:val="auto"/>
        </w:rPr>
      </w:pPr>
    </w:p>
    <w:tbl>
      <w:tblPr>
        <w:tblLayout w:type="fixed"/>
        <w:tblInd w:w="2500" w:type="dxa"/>
        <w:tblCellMar>
          <w:top w:w="0" w:type="dxa"/>
          <w:left w:w="0" w:type="dxa"/>
          <w:bottom w:w="0" w:type="dxa"/>
          <w:right w:w="0" w:type="dxa"/>
        </w:tblCellMar>
      </w:tblPr>
      <w:tr>
        <w:trPr>
          <w:trHeight w:val="210"/>
        </w:trPr>
        <w:tc>
          <w:tcPr>
            <w:tcW w:w="2620" w:type="dxa"/>
            <w:vAlign w:val="bottom"/>
          </w:tcPr>
          <w:p>
            <w:pPr>
              <w:ind w:left="20"/>
              <w:spacing w:after="0"/>
              <w:rPr>
                <w:sz w:val="20"/>
                <w:szCs w:val="20"/>
                <w:color w:val="auto"/>
              </w:rPr>
            </w:pPr>
            <w:r>
              <w:rPr>
                <w:rFonts w:ascii="Arial" w:cs="Arial" w:eastAsia="Arial" w:hAnsi="Arial"/>
                <w:sz w:val="16"/>
                <w:szCs w:val="16"/>
                <w:color w:val="auto"/>
              </w:rPr>
              <w:t>Year ending December 31:</w:t>
            </w:r>
          </w:p>
        </w:tc>
        <w:tc>
          <w:tcPr>
            <w:tcW w:w="1000" w:type="dxa"/>
            <w:vAlign w:val="bottom"/>
          </w:tcPr>
          <w:p>
            <w:pPr>
              <w:spacing w:after="0"/>
              <w:rPr>
                <w:sz w:val="18"/>
                <w:szCs w:val="18"/>
                <w:color w:val="auto"/>
              </w:rPr>
            </w:pPr>
          </w:p>
        </w:tc>
        <w:tc>
          <w:tcPr>
            <w:tcW w:w="1360" w:type="dxa"/>
            <w:vAlign w:val="bottom"/>
            <w:gridSpan w:val="2"/>
          </w:tcPr>
          <w:p>
            <w:pPr>
              <w:ind w:left="280"/>
              <w:spacing w:after="0"/>
              <w:rPr>
                <w:sz w:val="20"/>
                <w:szCs w:val="20"/>
                <w:color w:val="auto"/>
              </w:rPr>
            </w:pPr>
            <w:r>
              <w:rPr>
                <w:rFonts w:ascii="Arial" w:cs="Arial" w:eastAsia="Arial" w:hAnsi="Arial"/>
                <w:sz w:val="16"/>
                <w:szCs w:val="16"/>
                <w:b w:val="1"/>
                <w:bCs w:val="1"/>
                <w:color w:val="auto"/>
              </w:rPr>
              <w:t>CS4 Fund</w:t>
            </w:r>
          </w:p>
        </w:tc>
        <w:tc>
          <w:tcPr>
            <w:tcW w:w="1460" w:type="dxa"/>
            <w:vAlign w:val="bottom"/>
          </w:tcPr>
          <w:p>
            <w:pPr>
              <w:jc w:val="right"/>
              <w:ind w:right="119"/>
              <w:spacing w:after="0"/>
              <w:rPr>
                <w:sz w:val="20"/>
                <w:szCs w:val="20"/>
                <w:color w:val="auto"/>
              </w:rPr>
            </w:pPr>
            <w:r>
              <w:rPr>
                <w:rFonts w:ascii="Arial" w:cs="Arial" w:eastAsia="Arial" w:hAnsi="Arial"/>
                <w:sz w:val="16"/>
                <w:szCs w:val="16"/>
                <w:b w:val="1"/>
                <w:bCs w:val="1"/>
                <w:color w:val="auto"/>
              </w:rPr>
              <w:t>Chestnut Fund</w:t>
            </w:r>
          </w:p>
        </w:tc>
      </w:tr>
      <w:tr>
        <w:trPr>
          <w:trHeight w:val="33"/>
        </w:trPr>
        <w:tc>
          <w:tcPr>
            <w:tcW w:w="26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1,377</w:t>
            </w:r>
          </w:p>
        </w:tc>
      </w:tr>
      <w:tr>
        <w:trPr>
          <w:trHeight w:val="237"/>
        </w:trPr>
        <w:tc>
          <w:tcPr>
            <w:tcW w:w="2620" w:type="dxa"/>
            <w:vAlign w:val="bottom"/>
          </w:tcPr>
          <w:p>
            <w:pPr>
              <w:ind w:left="380"/>
              <w:spacing w:after="0"/>
              <w:rPr>
                <w:sz w:val="20"/>
                <w:szCs w:val="20"/>
                <w:color w:val="auto"/>
              </w:rPr>
            </w:pPr>
            <w:r>
              <w:rPr>
                <w:rFonts w:ascii="Arial" w:cs="Arial" w:eastAsia="Arial" w:hAnsi="Arial"/>
                <w:sz w:val="16"/>
                <w:szCs w:val="16"/>
                <w:color w:val="auto"/>
              </w:rPr>
              <w:t>2020</w:t>
            </w:r>
          </w:p>
        </w:tc>
        <w:tc>
          <w:tcPr>
            <w:tcW w:w="10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1,399</w:t>
            </w:r>
          </w:p>
        </w:tc>
      </w:tr>
      <w:tr>
        <w:trPr>
          <w:trHeight w:val="33"/>
        </w:trPr>
        <w:tc>
          <w:tcPr>
            <w:tcW w:w="2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2021</w:t>
            </w:r>
          </w:p>
        </w:tc>
        <w:tc>
          <w:tcPr>
            <w:tcW w:w="10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1,422</w:t>
            </w:r>
          </w:p>
        </w:tc>
      </w:tr>
      <w:tr>
        <w:trPr>
          <w:trHeight w:val="237"/>
        </w:trPr>
        <w:tc>
          <w:tcPr>
            <w:tcW w:w="2620" w:type="dxa"/>
            <w:vAlign w:val="bottom"/>
          </w:tcPr>
          <w:p>
            <w:pPr>
              <w:ind w:left="380"/>
              <w:spacing w:after="0"/>
              <w:rPr>
                <w:sz w:val="20"/>
                <w:szCs w:val="20"/>
                <w:color w:val="auto"/>
              </w:rPr>
            </w:pPr>
            <w:r>
              <w:rPr>
                <w:rFonts w:ascii="Arial" w:cs="Arial" w:eastAsia="Arial" w:hAnsi="Arial"/>
                <w:sz w:val="16"/>
                <w:szCs w:val="16"/>
                <w:color w:val="auto"/>
              </w:rPr>
              <w:t>2022</w:t>
            </w:r>
          </w:p>
        </w:tc>
        <w:tc>
          <w:tcPr>
            <w:tcW w:w="10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1,475</w:t>
            </w:r>
          </w:p>
        </w:tc>
      </w:tr>
      <w:tr>
        <w:trPr>
          <w:trHeight w:val="33"/>
        </w:trPr>
        <w:tc>
          <w:tcPr>
            <w:tcW w:w="2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2023</w:t>
            </w:r>
          </w:p>
        </w:tc>
        <w:tc>
          <w:tcPr>
            <w:tcW w:w="10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1,499</w:t>
            </w:r>
          </w:p>
        </w:tc>
      </w:tr>
      <w:tr>
        <w:trPr>
          <w:trHeight w:val="237"/>
        </w:trPr>
        <w:tc>
          <w:tcPr>
            <w:tcW w:w="2620" w:type="dxa"/>
            <w:vAlign w:val="bottom"/>
          </w:tcPr>
          <w:p>
            <w:pPr>
              <w:ind w:left="380"/>
              <w:spacing w:after="0"/>
              <w:rPr>
                <w:sz w:val="20"/>
                <w:szCs w:val="20"/>
                <w:color w:val="auto"/>
              </w:rPr>
            </w:pPr>
            <w:r>
              <w:rPr>
                <w:rFonts w:ascii="Arial" w:cs="Arial" w:eastAsia="Arial" w:hAnsi="Arial"/>
                <w:sz w:val="16"/>
                <w:szCs w:val="16"/>
                <w:color w:val="auto"/>
              </w:rPr>
              <w:t>Thereafter</w:t>
            </w:r>
          </w:p>
        </w:tc>
        <w:tc>
          <w:tcPr>
            <w:tcW w:w="10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7,706</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29,815</w:t>
            </w:r>
          </w:p>
        </w:tc>
      </w:tr>
      <w:tr>
        <w:trPr>
          <w:trHeight w:val="33"/>
        </w:trPr>
        <w:tc>
          <w:tcPr>
            <w:tcW w:w="26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36,987</w:t>
            </w:r>
          </w:p>
        </w:tc>
      </w:tr>
      <w:tr>
        <w:trPr>
          <w:trHeight w:val="20"/>
        </w:trPr>
        <w:tc>
          <w:tcPr>
            <w:tcW w:w="2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January 15, 2019, CS4 Borrower borrowed an additional $1.5 million under the construction loan and $8.5 million under the ITC bridge loan.</w:t>
      </w:r>
    </w:p>
    <w:p>
      <w:pPr>
        <w:spacing w:after="0" w:line="20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January 28, 2019, Chestnut Fund made the second installment payment related to DG Marathon LLC of $6.0 million, of which $1.8 million was contributed by its tax equity investor and $4.2 million was contributed by the Company.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January 31, 2019, Chestnut Fund Borrower borrowed an additional $2.6 million under the term loan in accordance with its credit agreement.</w:t>
      </w:r>
    </w:p>
    <w:p>
      <w:pPr>
        <w:spacing w:after="0" w:line="20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On February 19, 2019, CS4 Fund acquired Sartell Solar LLC from CS4 Seller and made its first installment payment of $4.2 million, of which $1.5 million was contributed by the tax equity investor and $2.7 million was contributed by the Company.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21, 2019, CS4 Borrower borrowed an additional $27.7 million under the construction loan and $16.5 million under the ITC bridge loan.</w:t>
      </w:r>
    </w:p>
    <w:p>
      <w:pPr>
        <w:spacing w:after="0" w:line="20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has evaluated subsequent events from the balance sheet date through March 28, 2019, the date at which the consolidated financial statements were available to be issued, and determined that there are no other items to disclose.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lowerLetter"/>
      <w:start w:val="2"/>
    </w:lvl>
  </w:abstractNum>
  <w:abstractNum w:abstractNumId="3">
    <w:nsid w:val="140E0F76"/>
    <w:multiLevelType w:val="hybridMultilevel"/>
    <w:lvl w:ilvl="0">
      <w:lvlJc w:val="left"/>
      <w:lvlText w:val="%1"/>
      <w:numFmt w:val="decimal"/>
      <w:start w:val="32"/>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lvl w:ilvl="1">
      <w:lvlJc w:val="left"/>
      <w:lvlText w:val="(%2)"/>
      <w:numFmt w:val="lowerLetter"/>
      <w:start w:val="1"/>
    </w:lvl>
  </w:abstractNum>
  <w:abstractNum w:abstractNumId="8">
    <w:nsid w:val="1BEFD79F"/>
    <w:multiLevelType w:val="hybridMultilevel"/>
    <w:lvl w:ilvl="0">
      <w:lvlJc w:val="left"/>
      <w:lvlText w:val="%1."/>
      <w:numFmt w:val="decimal"/>
      <w:start w:val="1"/>
    </w:lvl>
    <w:lvl w:ilvl="1">
      <w:lvlJc w:val="left"/>
      <w:lvlText w:val="(%2)"/>
      <w:numFmt w:val="lowerLetter"/>
      <w:start w:val="1"/>
    </w:lvl>
  </w:abstractNum>
  <w:abstractNum w:abstractNumId="9">
    <w:nsid w:val="41A7C4C9"/>
    <w:multiLevelType w:val="hybridMultilevel"/>
    <w:lvl w:ilvl="0">
      <w:lvlJc w:val="left"/>
      <w:lvlText w:val="%1."/>
      <w:numFmt w:val="decimal"/>
      <w:start w:val="1"/>
    </w:lvl>
    <w:lvl w:ilvl="1">
      <w:lvlJc w:val="left"/>
      <w:lvlText w:val="(%2)"/>
      <w:numFmt w:val="lowerLetter"/>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lowerLetter"/>
      <w:start w:val="1"/>
    </w:lvl>
    <w:lvl w:ilvl="1">
      <w:lvlJc w:val="left"/>
      <w:lvlText w:val="(%2)"/>
      <w:numFmt w:val="lowerLetter"/>
      <w:start w:val="1"/>
    </w:lvl>
  </w:abstractNum>
  <w:abstractNum w:abstractNumId="12">
    <w:nsid w:val="25E45D32"/>
    <w:multiLevelType w:val="hybridMultilevel"/>
    <w:lvl w:ilvl="0">
      <w:lvlJc w:val="left"/>
      <w:lvlText w:val="(%1)"/>
      <w:numFmt w:val="lowerLetter"/>
      <w:start w:val="2"/>
    </w:lvl>
    <w:lvl w:ilvl="1">
      <w:lvlJc w:val="left"/>
      <w:lvlText w:val="%2"/>
      <w:numFmt w:val="lowerLetter"/>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4"/>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lowerLetter"/>
      <w:start w:val="4"/>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69" Type="http://schemas.openxmlformats.org/officeDocument/2006/relationships/image" Target="media/image5.png"/><Relationship Id="rId70" Type="http://schemas.openxmlformats.org/officeDocument/2006/relationships/image" Target="media/image6.png"/><Relationship Id="rId71" Type="http://schemas.openxmlformats.org/officeDocument/2006/relationships/image" Target="media/image7.png"/><Relationship Id="rId72" Type="http://schemas.openxmlformats.org/officeDocument/2006/relationships/image" Target="media/image8.png"/><Relationship Id="rId73" Type="http://schemas.openxmlformats.org/officeDocument/2006/relationships/image" Target="media/image9.png"/><Relationship Id="rId74" Type="http://schemas.openxmlformats.org/officeDocument/2006/relationships/image" Target="media/image10.png"/><Relationship Id="rId75" Type="http://schemas.openxmlformats.org/officeDocument/2006/relationships/image" Target="media/image11.png"/><Relationship Id="rId76" Type="http://schemas.openxmlformats.org/officeDocument/2006/relationships/image" Target="media/image12.png"/><Relationship Id="rId77" Type="http://schemas.openxmlformats.org/officeDocument/2006/relationships/image" Target="media/image13.png"/><Relationship Id="rId78" Type="http://schemas.openxmlformats.org/officeDocument/2006/relationships/image" Target="media/image14.jpeg"/><Relationship Id="rId79" Type="http://schemas.openxmlformats.org/officeDocument/2006/relationships/image" Target="media/image15.png"/><Relationship Id="rId12" Type="http://schemas.openxmlformats.org/officeDocument/2006/relationships/hyperlink" Target="http://www.sec.gov/Archives/edgar/data/1567683/000110465914037090/a14-12466_1ex2d1.htm" TargetMode="External"/><Relationship Id="rId13" Type="http://schemas.openxmlformats.org/officeDocument/2006/relationships/hyperlink" Target="http://www.sec.gov/Archives/edgar/data/1567683/000110465914037090/a14-12466_1ex2d2.htm" TargetMode="External"/><Relationship Id="rId14" Type="http://schemas.openxmlformats.org/officeDocument/2006/relationships/hyperlink" Target="http://www.sec.gov/Archives/edgar/data/1567683/000110465914037090/a14-12466_1ex2d3.htm" TargetMode="External"/><Relationship Id="rId15" Type="http://schemas.openxmlformats.org/officeDocument/2006/relationships/hyperlink" Target="http://www.sec.gov/Archives/edgar/data/1567683/000110465914044820/a14-14976_1ex10d1.htm" TargetMode="External"/><Relationship Id="rId16" Type="http://schemas.openxmlformats.org/officeDocument/2006/relationships/hyperlink" Target="http://www.sec.gov/Archives/edgar/data/1567683/000156768314000020/exhibit21.htm" TargetMode="External"/><Relationship Id="rId17" Type="http://schemas.openxmlformats.org/officeDocument/2006/relationships/hyperlink" Target="http://www.sec.gov/Archives/edgar/data/1567683/000156768314000020/exhibit22.htm" TargetMode="External"/><Relationship Id="rId18" Type="http://schemas.openxmlformats.org/officeDocument/2006/relationships/hyperlink" Target="http://www.sec.gov/Archives/edgar/data/1567683/000156768315000022/yieldincex212015q2dspsaexh.htm" TargetMode="External"/><Relationship Id="rId19" Type="http://schemas.openxmlformats.org/officeDocument/2006/relationships/hyperlink" Target="http://www.sec.gov/Archives/edgar/data/1567683/000110465915066291/a15-19906_1ex2d1.htm" TargetMode="External"/><Relationship Id="rId20" Type="http://schemas.openxmlformats.org/officeDocument/2006/relationships/hyperlink" Target="http://www.sec.gov/Archives/edgar/data/1567683/000110465916138087/a16-16348_1ex2d1.htm" TargetMode="External"/><Relationship Id="rId21" Type="http://schemas.openxmlformats.org/officeDocument/2006/relationships/hyperlink" Target="http://www.sec.gov/Archives/edgar/data/1567683/000156768318000008/yieldincex210201710-k.htm" TargetMode="External"/><Relationship Id="rId22" Type="http://schemas.openxmlformats.org/officeDocument/2006/relationships/hyperlink" Target="http://www.sec.gov/Archives/edgar/data/1637708/000104746915003411/a2224163zex-3_01a.htm" TargetMode="External"/><Relationship Id="rId23" Type="http://schemas.openxmlformats.org/officeDocument/2006/relationships/hyperlink" Target="http://www.sec.gov/Archives/edgar/data/1637708/000104746915003411/a2224163zex-3_01b.htm" TargetMode="External"/><Relationship Id="rId24" Type="http://schemas.openxmlformats.org/officeDocument/2006/relationships/hyperlink" Target="http://www.sec.gov/Archives/edgar/data/1637757/000163775719000002/clearwayllcex33201810-k.htm" TargetMode="External"/><Relationship Id="rId25" Type="http://schemas.openxmlformats.org/officeDocument/2006/relationships/hyperlink" Target="http://www.sec.gov/Archives/edgar/data/1637708/000104746915003411/a2224163zex-3_03a.htm" TargetMode="External"/><Relationship Id="rId26" Type="http://schemas.openxmlformats.org/officeDocument/2006/relationships/hyperlink" Target="http://www.sec.gov/Archives/edgar/data/1637708/000104746915003411/a2224163zex-3_03b.htm" TargetMode="External"/><Relationship Id="rId27" Type="http://schemas.openxmlformats.org/officeDocument/2006/relationships/hyperlink" Target="http://www.sec.gov/Archives/edgar/data/1567683/000110465918055334/a18-24111_1ex10d6.htm" TargetMode="External"/><Relationship Id="rId28" Type="http://schemas.openxmlformats.org/officeDocument/2006/relationships/hyperlink" Target="http://www.sec.gov/Archives/edgar/data/1567683/000110465914056777/a14-18411_1ex4d1.htm" TargetMode="External"/><Relationship Id="rId29" Type="http://schemas.openxmlformats.org/officeDocument/2006/relationships/hyperlink" Target="http://www.sec.gov/Archives/edgar/data/1637757/000110465918060027/a18-36222_2ex4d3.htm#Exhibit4_3_105106" TargetMode="External"/><Relationship Id="rId30" Type="http://schemas.openxmlformats.org/officeDocument/2006/relationships/hyperlink" Target="http://www.sec.gov/Archives/edgar/data/1567683/000110465914080390/a14-24401_1ex4d1.htm" TargetMode="External"/><Relationship Id="rId31" Type="http://schemas.openxmlformats.org/officeDocument/2006/relationships/hyperlink" Target="http://www.sec.gov/Archives/edgar/data/1567683/000110465915015282/a15-5420_1ex4d1.htm" TargetMode="External"/><Relationship Id="rId32" Type="http://schemas.openxmlformats.org/officeDocument/2006/relationships/hyperlink" Target="http://www.sec.gov/Archives/edgar/data/1637708/000104746915003411/a2224163zex-4_07.htm" TargetMode="External"/><Relationship Id="rId33" Type="http://schemas.openxmlformats.org/officeDocument/2006/relationships/hyperlink" Target="http://www.sec.gov/Archives/edgar/data/1567683/000110465915036232/a15-11016_2ex4d1.htm" TargetMode="External"/><Relationship Id="rId34" Type="http://schemas.openxmlformats.org/officeDocument/2006/relationships/hyperlink" Target="http://www.sec.gov/Archives/edgar/data/1567683/000110465915048473/a15-14936_1ex4d1.htm" TargetMode="External"/><Relationship Id="rId35" Type="http://schemas.openxmlformats.org/officeDocument/2006/relationships/hyperlink" Target="http://www.sec.gov/Archives/edgar/data/1637757/000110465916140474/a16-16967_2ex4d1.htm" TargetMode="External"/><Relationship Id="rId36" Type="http://schemas.openxmlformats.org/officeDocument/2006/relationships/hyperlink" Target="http://www.sec.gov/Archives/edgar/data/1637757/000110465916140474/a16-16967_2ex4d3.htm" TargetMode="External"/><Relationship Id="rId37" Type="http://schemas.openxmlformats.org/officeDocument/2006/relationships/hyperlink" Target="http://www.sec.gov/Archives/edgar/data/1637757/000110465918005466/a18-5088_1ex4d1.htm#Exhibit4_1_091658" TargetMode="External"/><Relationship Id="rId38" Type="http://schemas.openxmlformats.org/officeDocument/2006/relationships/hyperlink" Target="http://www.sec.gov/Archives/edgar/data/1637757/000110465918039603/a18-15263_1ex4d1.htm" TargetMode="External"/><Relationship Id="rId39" Type="http://schemas.openxmlformats.org/officeDocument/2006/relationships/hyperlink" Target="http://www.sec.gov/Archives/edgar/data/1637757/000110465918005466/a18-5088_1ex4d2.htm#Exhibit4_2_091723" TargetMode="External"/><Relationship Id="rId40" Type="http://schemas.openxmlformats.org/officeDocument/2006/relationships/hyperlink" Target="http://www.sec.gov/Archives/edgar/data/1637757/000110465918039603/a18-15263_1ex4d2.htm" TargetMode="External"/><Relationship Id="rId41" Type="http://schemas.openxmlformats.org/officeDocument/2006/relationships/hyperlink" Target="http://www.sec.gov/Archives/edgar/data/1637757/000163775718000016/yieldincex442018q2.htm" TargetMode="External"/><Relationship Id="rId42" Type="http://schemas.openxmlformats.org/officeDocument/2006/relationships/hyperlink" Target="http://www.sec.gov/Archives/edgar/data/1567683/000110465918055585/a18-27020_1ex4d1.htm#Exhibit4_1_065610" TargetMode="External"/><Relationship Id="rId43" Type="http://schemas.openxmlformats.org/officeDocument/2006/relationships/hyperlink" Target="http://www.sec.gov/Archives/edgar/data/1567683/000110465918055585/a18-27020_1ex4d2.htm#Exhibit4_2_070017" TargetMode="External"/><Relationship Id="rId44" Type="http://schemas.openxmlformats.org/officeDocument/2006/relationships/hyperlink" Target="http://www.sec.gov/Archives/edgar/data/1637757/000110465918060027/a18-36222_2ex4d1.htm" TargetMode="External"/><Relationship Id="rId45" Type="http://schemas.openxmlformats.org/officeDocument/2006/relationships/hyperlink" Target="http://www.sec.gov/Archives/edgar/data/1637757/000110465918065129/a18-38187_1ex4d1.htm" TargetMode="External"/><Relationship Id="rId46" Type="http://schemas.openxmlformats.org/officeDocument/2006/relationships/hyperlink" Target="http://www.sec.gov/Archives/edgar/data/1637757/000110465918065129/a18-38187_1ex4d2.htm#Exhibit4_2_085140" TargetMode="External"/><Relationship Id="rId47" Type="http://schemas.openxmlformats.org/officeDocument/2006/relationships/hyperlink" Target="http://www.sec.gov/Archives/edgar/data/1637757/000110465918065129/a18-38187_1ex4d3.htm" TargetMode="External"/><Relationship Id="rId48" Type="http://schemas.openxmlformats.org/officeDocument/2006/relationships/hyperlink" Target="http://www.sec.gov/Archives/edgar/data/1567683/000110465918055334/a18-24111_1ex10d5.htm#EXHIBIT10_5_051412" TargetMode="External"/><Relationship Id="rId49" Type="http://schemas.openxmlformats.org/officeDocument/2006/relationships/hyperlink" Target="http://www.sec.gov/Archives/edgar/data/1567683/000110465918055334/a18-24111_1ex10d3.htm#Exhibit10_3_095433" TargetMode="External"/><Relationship Id="rId50" Type="http://schemas.openxmlformats.org/officeDocument/2006/relationships/hyperlink" Target="http://www.sec.gov/Archives/edgar/data/1567683/000110465919008742/a19-4739_1ex10d1.htm#Exhibit99_1_092711" TargetMode="External"/><Relationship Id="rId51" Type="http://schemas.openxmlformats.org/officeDocument/2006/relationships/hyperlink" Target="http://www.sec.gov/Archives/edgar/data/1567683/000110465918055334/a18-24111_1ex10d1.htm#Exhibit10_1_072506" TargetMode="External"/><Relationship Id="rId52" Type="http://schemas.openxmlformats.org/officeDocument/2006/relationships/hyperlink" Target="http://www.sec.gov/Archives/edgar/data/1567683/000110465918055334/a18-24111_1ex10d2.htm" TargetMode="External"/><Relationship Id="rId53" Type="http://schemas.openxmlformats.org/officeDocument/2006/relationships/hyperlink" Target="http://www.sec.gov/Archives/edgar/data/1567683/000110465918055334/a18-24111_1ex10d9.htm#EXHIBIT10_9_053225" TargetMode="External"/><Relationship Id="rId54" Type="http://schemas.openxmlformats.org/officeDocument/2006/relationships/hyperlink" Target="http://www.sec.gov/Archives/edgar/data/1567683/000110465914031308/a14-11252_1ex10d1.htm" TargetMode="External"/><Relationship Id="rId55" Type="http://schemas.openxmlformats.org/officeDocument/2006/relationships/hyperlink" Target="http://www.sec.gov/Archives/edgar/data/1567683/000156768315000022/yieldincex1092015q2opllcam.htm" TargetMode="External"/><Relationship Id="rId56" Type="http://schemas.openxmlformats.org/officeDocument/2006/relationships/hyperlink" Target="http://www.sec.gov/Archives/edgar/data/1637757/000110465918008197/a18-5571_1ex10d1.htm#Exhibit10_1_093100" TargetMode="External"/><Relationship Id="rId57" Type="http://schemas.openxmlformats.org/officeDocument/2006/relationships/hyperlink" Target="http://www.sec.gov/Archives/edgar/data/1637757/000163775718000013/a101llc.htm" TargetMode="External"/><Relationship Id="rId58" Type="http://schemas.openxmlformats.org/officeDocument/2006/relationships/hyperlink" Target="http://www.sec.gov/Archives/edgar/data/1637757/000110465918071713/a18-41172_1ex10d1.htm" TargetMode="External"/><Relationship Id="rId59" Type="http://schemas.openxmlformats.org/officeDocument/2006/relationships/hyperlink" Target="http://www.sec.gov/Archives/edgar/data/1567683/000156768315000022/yieldincex1012015q2rpv.htm" TargetMode="External"/><Relationship Id="rId60" Type="http://schemas.openxmlformats.org/officeDocument/2006/relationships/hyperlink" Target="http://www.sec.gov/Archives/edgar/data/1567683/000156768315000022/yieldincex1022015q2dgpv.htm" TargetMode="External"/><Relationship Id="rId61" Type="http://schemas.openxmlformats.org/officeDocument/2006/relationships/hyperlink" Target="http://www.sec.gov/Archives/edgar/data/1567683/000156768316000043/yieldincex1012016q1.htm" TargetMode="External"/><Relationship Id="rId62" Type="http://schemas.openxmlformats.org/officeDocument/2006/relationships/hyperlink" Target="http://www.sec.gov/Archives/edgar/data/1567683/000156768316000043/yieldincex1022016q1.htm" TargetMode="External"/><Relationship Id="rId63" Type="http://schemas.openxmlformats.org/officeDocument/2006/relationships/hyperlink" Target="http://www.sec.gov/Archives/edgar/data/1567683/000156768316000043/yieldincex1032016q1.htm" TargetMode="External"/><Relationship Id="rId64" Type="http://schemas.openxmlformats.org/officeDocument/2006/relationships/hyperlink" Target="http://www.sec.gov/Archives/edgar/data/1567683/000156768316000055/yieldincex1012016q2-rpvame.htm" TargetMode="External"/><Relationship Id="rId65" Type="http://schemas.openxmlformats.org/officeDocument/2006/relationships/hyperlink" Target="http://www.sec.gov/Archives/edgar/data/1567683/000110465916138081/a16-16348_2ex10d1.htm" TargetMode="External"/><Relationship Id="rId66" Type="http://schemas.openxmlformats.org/officeDocument/2006/relationships/hyperlink" Target="http://www.sec.gov/Archives/edgar/data/1567683/000156768318000008/yieldincex1028201710-k.htm" TargetMode="External"/><Relationship Id="rId67" Type="http://schemas.openxmlformats.org/officeDocument/2006/relationships/hyperlink" Target="http://www.sec.gov/Archives/edgar/data/1637757/000163775719000002/clearwayllcex1015201810-k.htm" TargetMode="External"/><Relationship Id="rId68" Type="http://schemas.openxmlformats.org/officeDocument/2006/relationships/hyperlink" Target="http://www.sec.gov/Archives/edgar/data/1637757/000163775719000002/clearwayllcex2112018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2019-12-28T14:17:18Z</dcterms:created>
  <dcterms:modified xsi:type="dcterms:W3CDTF">2019-12-28T14:17:18Z</dcterms:modified>
</cp:coreProperties>
</file>