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4070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40702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Lowry Jennifer Elaine</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300 CARNEGIE CENTER</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SUITE 300</w:t>
      </w:r>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00" w:type="dxa"/>
            <w:vAlign w:val="bottom"/>
          </w:tcPr>
          <w:p>
            <w:pPr>
              <w:spacing w:after="0"/>
              <w:rPr>
                <w:sz w:val="20"/>
                <w:szCs w:val="20"/>
                <w:color w:val="auto"/>
              </w:rPr>
            </w:pPr>
            <w:r>
              <w:rPr>
                <w:rFonts w:ascii="Times New Roman" w:cs="Times New Roman" w:eastAsia="Times New Roman" w:hAnsi="Times New Roman"/>
                <w:sz w:val="17"/>
                <w:szCs w:val="17"/>
                <w:color w:val="0000FF"/>
              </w:rPr>
              <w:t>PRINCETON</w:t>
            </w:r>
          </w:p>
        </w:tc>
        <w:tc>
          <w:tcPr>
            <w:tcW w:w="940" w:type="dxa"/>
            <w:vAlign w:val="bottom"/>
          </w:tcPr>
          <w:p>
            <w:pPr>
              <w:ind w:left="120"/>
              <w:spacing w:after="0"/>
              <w:rPr>
                <w:sz w:val="20"/>
                <w:szCs w:val="20"/>
                <w:color w:val="auto"/>
              </w:rPr>
            </w:pPr>
            <w:r>
              <w:rPr>
                <w:rFonts w:ascii="Times New Roman" w:cs="Times New Roman" w:eastAsia="Times New Roman" w:hAnsi="Times New Roman"/>
                <w:sz w:val="17"/>
                <w:szCs w:val="17"/>
                <w:color w:val="0000FF"/>
              </w:rPr>
              <w:t>NJ</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08540</w:t>
            </w:r>
          </w:p>
        </w:tc>
      </w:tr>
      <w:tr>
        <w:trPr>
          <w:trHeight w:val="155"/>
        </w:trPr>
        <w:tc>
          <w:tcPr>
            <w:tcW w:w="40" w:type="dxa"/>
            <w:vAlign w:val="bottom"/>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00" w:type="dxa"/>
            <w:vAlign w:val="bottom"/>
          </w:tcPr>
          <w:p>
            <w:pPr>
              <w:spacing w:after="0"/>
              <w:rPr>
                <w:sz w:val="20"/>
                <w:szCs w:val="20"/>
                <w:color w:val="auto"/>
              </w:rPr>
            </w:pPr>
            <w:r>
              <w:rPr>
                <w:rFonts w:ascii="Arial" w:cs="Arial" w:eastAsia="Arial" w:hAnsi="Arial"/>
                <w:sz w:val="13"/>
                <w:szCs w:val="13"/>
                <w:color w:val="auto"/>
              </w:rPr>
              <w:t>(City)</w:t>
            </w:r>
          </w:p>
        </w:tc>
        <w:tc>
          <w:tcPr>
            <w:tcW w:w="940" w:type="dxa"/>
            <w:vAlign w:val="bottom"/>
          </w:tcPr>
          <w:p>
            <w:pPr>
              <w:ind w:left="1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86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86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66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440" w:type="dxa"/>
            <w:vAlign w:val="bottom"/>
            <w:vMerge w:val="restart"/>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0"/>
        </w:trPr>
        <w:tc>
          <w:tcPr>
            <w:tcW w:w="80" w:type="dxa"/>
            <w:vAlign w:val="bottom"/>
            <w:tcBorders>
              <w:bottom w:val="single" w:sz="8" w:color="2C2C2C"/>
            </w:tcBorders>
          </w:tcPr>
          <w:p>
            <w:pPr>
              <w:spacing w:after="0"/>
              <w:rPr>
                <w:sz w:val="10"/>
                <w:szCs w:val="10"/>
                <w:color w:val="auto"/>
              </w:rPr>
            </w:pPr>
          </w:p>
        </w:tc>
        <w:tc>
          <w:tcPr>
            <w:tcW w:w="120" w:type="dxa"/>
            <w:vAlign w:val="bottom"/>
            <w:tcBorders>
              <w:bottom w:val="single" w:sz="8" w:color="2C2C2C"/>
            </w:tcBorders>
          </w:tcPr>
          <w:p>
            <w:pPr>
              <w:spacing w:after="0"/>
              <w:rPr>
                <w:sz w:val="10"/>
                <w:szCs w:val="10"/>
                <w:color w:val="auto"/>
              </w:rPr>
            </w:pPr>
          </w:p>
        </w:tc>
        <w:tc>
          <w:tcPr>
            <w:tcW w:w="1780" w:type="dxa"/>
            <w:vAlign w:val="bottom"/>
            <w:tcBorders>
              <w:bottom w:val="single" w:sz="8" w:color="2C2C2C"/>
            </w:tcBorders>
          </w:tcPr>
          <w:p>
            <w:pPr>
              <w:spacing w:after="0"/>
              <w:rPr>
                <w:sz w:val="10"/>
                <w:szCs w:val="10"/>
                <w:color w:val="auto"/>
              </w:rPr>
            </w:pPr>
          </w:p>
        </w:tc>
        <w:tc>
          <w:tcPr>
            <w:tcW w:w="1840" w:type="dxa"/>
            <w:vAlign w:val="bottom"/>
            <w:tcBorders>
              <w:bottom w:val="single" w:sz="8" w:color="2C2C2C"/>
            </w:tcBorders>
          </w:tcPr>
          <w:p>
            <w:pPr>
              <w:spacing w:after="0"/>
              <w:rPr>
                <w:sz w:val="10"/>
                <w:szCs w:val="10"/>
                <w:color w:val="auto"/>
              </w:rPr>
            </w:pPr>
          </w:p>
        </w:tc>
        <w:tc>
          <w:tcPr>
            <w:tcW w:w="200" w:type="dxa"/>
            <w:vAlign w:val="bottom"/>
          </w:tcPr>
          <w:p>
            <w:pPr>
              <w:spacing w:after="0"/>
              <w:rPr>
                <w:sz w:val="10"/>
                <w:szCs w:val="10"/>
                <w:color w:val="auto"/>
              </w:rPr>
            </w:pPr>
          </w:p>
        </w:tc>
        <w:tc>
          <w:tcPr>
            <w:tcW w:w="1660" w:type="dxa"/>
            <w:vAlign w:val="bottom"/>
            <w:vMerge w:val="continue"/>
          </w:tcPr>
          <w:p>
            <w:pPr>
              <w:spacing w:after="0"/>
              <w:rPr>
                <w:sz w:val="10"/>
                <w:szCs w:val="10"/>
                <w:color w:val="auto"/>
              </w:rPr>
            </w:pPr>
          </w:p>
        </w:tc>
        <w:tc>
          <w:tcPr>
            <w:tcW w:w="14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4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06/01/2024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660" w:type="dxa"/>
            <w:vAlign w:val="bottom"/>
          </w:tcPr>
          <w:p>
            <w:pPr>
              <w:ind w:left="400"/>
              <w:spacing w:after="0"/>
              <w:rPr>
                <w:sz w:val="20"/>
                <w:szCs w:val="20"/>
                <w:color w:val="auto"/>
              </w:rPr>
            </w:pPr>
            <w:r>
              <w:rPr>
                <w:rFonts w:ascii="Arial" w:cs="Arial" w:eastAsia="Arial" w:hAnsi="Arial"/>
                <w:sz w:val="13"/>
                <w:szCs w:val="13"/>
                <w:color w:val="auto"/>
              </w:rPr>
              <w:t>below)</w:t>
            </w:r>
          </w:p>
        </w:tc>
        <w:tc>
          <w:tcPr>
            <w:tcW w:w="1440" w:type="dxa"/>
            <w:vAlign w:val="bottom"/>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52"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77"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460" w:type="dxa"/>
            <w:vAlign w:val="bottom"/>
          </w:tcPr>
          <w:p>
            <w:pPr>
              <w:spacing w:after="0"/>
              <w:rPr>
                <w:sz w:val="13"/>
                <w:szCs w:val="13"/>
                <w:color w:val="auto"/>
              </w:rPr>
            </w:pP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2. Transaction</w:t>
            </w:r>
          </w:p>
        </w:tc>
        <w:tc>
          <w:tcPr>
            <w:tcW w:w="1160" w:type="dxa"/>
            <w:vAlign w:val="bottom"/>
            <w:gridSpan w:val="2"/>
          </w:tcPr>
          <w:p>
            <w:pPr>
              <w:ind w:left="12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Date</w:t>
            </w: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44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5"/>
              </w:rPr>
              <w:t>if any</w:t>
            </w:r>
          </w:p>
        </w:tc>
        <w:tc>
          <w:tcPr>
            <w:tcW w:w="72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60" w:type="dxa"/>
            <w:vAlign w:val="bottom"/>
          </w:tcPr>
          <w:p>
            <w:pPr>
              <w:spacing w:after="0"/>
              <w:rPr>
                <w:sz w:val="6"/>
                <w:szCs w:val="6"/>
                <w:color w:val="auto"/>
              </w:rPr>
            </w:pPr>
          </w:p>
        </w:tc>
        <w:tc>
          <w:tcPr>
            <w:tcW w:w="660" w:type="dxa"/>
            <w:vAlign w:val="bottom"/>
          </w:tcPr>
          <w:p>
            <w:pPr>
              <w:spacing w:after="0"/>
              <w:rPr>
                <w:sz w:val="6"/>
                <w:szCs w:val="6"/>
                <w:color w:val="auto"/>
              </w:rPr>
            </w:pPr>
          </w:p>
        </w:tc>
        <w:tc>
          <w:tcPr>
            <w:tcW w:w="460" w:type="dxa"/>
            <w:vAlign w:val="bottom"/>
          </w:tcPr>
          <w:p>
            <w:pPr>
              <w:spacing w:after="0"/>
              <w:rPr>
                <w:sz w:val="6"/>
                <w:szCs w:val="6"/>
                <w:color w:val="auto"/>
              </w:rPr>
            </w:pPr>
          </w:p>
        </w:tc>
        <w:tc>
          <w:tcPr>
            <w:tcW w:w="44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44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680" w:type="dxa"/>
            <w:vAlign w:val="bottom"/>
            <w:gridSpan w:val="2"/>
          </w:tcPr>
          <w:p>
            <w:pPr>
              <w:ind w:left="18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jc w:val="right"/>
              <w:ind w:right="80"/>
              <w:spacing w:after="0"/>
              <w:rPr>
                <w:sz w:val="20"/>
                <w:szCs w:val="20"/>
                <w:color w:val="auto"/>
              </w:rPr>
            </w:pPr>
            <w:r>
              <w:rPr>
                <w:rFonts w:ascii="Arial" w:cs="Arial" w:eastAsia="Arial" w:hAnsi="Arial"/>
                <w:sz w:val="12"/>
                <w:szCs w:val="12"/>
                <w:b w:val="1"/>
                <w:bCs w:val="1"/>
                <w:color w:val="auto"/>
                <w:w w:val="88"/>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60" w:type="dxa"/>
            <w:vAlign w:val="bottom"/>
          </w:tcPr>
          <w:p>
            <w:pPr>
              <w:spacing w:after="0"/>
              <w:rPr>
                <w:sz w:val="8"/>
                <w:szCs w:val="8"/>
                <w:color w:val="auto"/>
              </w:rPr>
            </w:pPr>
          </w:p>
        </w:tc>
        <w:tc>
          <w:tcPr>
            <w:tcW w:w="660" w:type="dxa"/>
            <w:vAlign w:val="bottom"/>
          </w:tcPr>
          <w:p>
            <w:pPr>
              <w:spacing w:after="0"/>
              <w:rPr>
                <w:sz w:val="8"/>
                <w:szCs w:val="8"/>
                <w:color w:val="auto"/>
              </w:rPr>
            </w:pPr>
          </w:p>
        </w:tc>
        <w:tc>
          <w:tcPr>
            <w:tcW w:w="460" w:type="dxa"/>
            <w:vAlign w:val="bottom"/>
          </w:tcPr>
          <w:p>
            <w:pPr>
              <w:spacing w:after="0"/>
              <w:rPr>
                <w:sz w:val="8"/>
                <w:szCs w:val="8"/>
                <w:color w:val="auto"/>
              </w:rPr>
            </w:pPr>
          </w:p>
        </w:tc>
        <w:tc>
          <w:tcPr>
            <w:tcW w:w="44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440" w:type="dxa"/>
            <w:vAlign w:val="bottom"/>
            <w:vMerge w:val="restart"/>
          </w:tcPr>
          <w:p>
            <w:pPr>
              <w:ind w:left="18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60" w:type="dxa"/>
            <w:vAlign w:val="bottom"/>
          </w:tcPr>
          <w:p>
            <w:pPr>
              <w:spacing w:after="0"/>
              <w:rPr>
                <w:sz w:val="5"/>
                <w:szCs w:val="5"/>
                <w:color w:val="auto"/>
              </w:rPr>
            </w:pPr>
          </w:p>
        </w:tc>
        <w:tc>
          <w:tcPr>
            <w:tcW w:w="660" w:type="dxa"/>
            <w:vAlign w:val="bottom"/>
          </w:tcPr>
          <w:p>
            <w:pPr>
              <w:spacing w:after="0"/>
              <w:rPr>
                <w:sz w:val="5"/>
                <w:szCs w:val="5"/>
                <w:color w:val="auto"/>
              </w:rPr>
            </w:pPr>
          </w:p>
        </w:tc>
        <w:tc>
          <w:tcPr>
            <w:tcW w:w="460" w:type="dxa"/>
            <w:vAlign w:val="bottom"/>
          </w:tcPr>
          <w:p>
            <w:pPr>
              <w:spacing w:after="0"/>
              <w:rPr>
                <w:sz w:val="5"/>
                <w:szCs w:val="5"/>
                <w:color w:val="auto"/>
              </w:rPr>
            </w:pPr>
          </w:p>
        </w:tc>
        <w:tc>
          <w:tcPr>
            <w:tcW w:w="44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3100" w:type="dxa"/>
            <w:vAlign w:val="bottom"/>
            <w:tcBorders>
              <w:bottom w:val="single" w:sz="8" w:color="2C2C2C"/>
            </w:tcBorders>
            <w:gridSpan w:val="4"/>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06/01/2024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0000FF"/>
              </w:rPr>
              <w:t>4,822</w:t>
            </w:r>
            <w:r>
              <w:rPr>
                <w:rFonts w:ascii="Times New Roman" w:cs="Times New Roman" w:eastAsia="Times New Roman" w:hAnsi="Times New Roman"/>
                <w:sz w:val="22"/>
                <w:szCs w:val="22"/>
                <w:color w:val="008000"/>
                <w:vertAlign w:val="superscript"/>
              </w:rPr>
              <w:t>(1)</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(2)</w:t>
            </w:r>
          </w:p>
        </w:tc>
        <w:tc>
          <w:tcPr>
            <w:tcW w:w="1380" w:type="dxa"/>
            <w:vAlign w:val="bottom"/>
            <w:gridSpan w:val="3"/>
            <w:vMerge w:val="restart"/>
          </w:tcPr>
          <w:p>
            <w:pPr>
              <w:jc w:val="right"/>
              <w:ind w:right="320"/>
              <w:spacing w:after="0"/>
              <w:rPr>
                <w:sz w:val="20"/>
                <w:szCs w:val="20"/>
                <w:color w:val="auto"/>
              </w:rPr>
            </w:pPr>
            <w:r>
              <w:rPr>
                <w:rFonts w:ascii="Times New Roman" w:cs="Times New Roman" w:eastAsia="Times New Roman" w:hAnsi="Times New Roman"/>
                <w:sz w:val="17"/>
                <w:szCs w:val="17"/>
                <w:color w:val="0000FF"/>
              </w:rPr>
              <w:t>14,577</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61"/>
        </w:trPr>
        <w:tc>
          <w:tcPr>
            <w:tcW w:w="20" w:type="dxa"/>
            <w:vAlign w:val="bottom"/>
          </w:tcPr>
          <w:p>
            <w:pPr>
              <w:spacing w:after="0"/>
              <w:rPr>
                <w:sz w:val="5"/>
                <w:szCs w:val="5"/>
                <w:color w:val="auto"/>
              </w:rPr>
            </w:pPr>
          </w:p>
        </w:tc>
        <w:tc>
          <w:tcPr>
            <w:tcW w:w="3100" w:type="dxa"/>
            <w:vAlign w:val="bottom"/>
            <w:tcBorders>
              <w:bottom w:val="single" w:sz="8" w:color="2C2C2C"/>
            </w:tcBorders>
            <w:gridSpan w:val="4"/>
          </w:tcPr>
          <w:p>
            <w:pPr>
              <w:spacing w:after="0"/>
              <w:rPr>
                <w:sz w:val="5"/>
                <w:szCs w:val="5"/>
                <w:color w:val="auto"/>
              </w:rPr>
            </w:pPr>
          </w:p>
        </w:tc>
        <w:tc>
          <w:tcPr>
            <w:tcW w:w="66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440" w:type="dxa"/>
            <w:vAlign w:val="bottom"/>
            <w:tcBorders>
              <w:bottom w:val="single" w:sz="8" w:color="2C2C2C"/>
            </w:tcBorders>
          </w:tcPr>
          <w:p>
            <w:pPr>
              <w:spacing w:after="0"/>
              <w:rPr>
                <w:sz w:val="5"/>
                <w:szCs w:val="5"/>
                <w:color w:val="auto"/>
              </w:rPr>
            </w:pPr>
          </w:p>
        </w:tc>
        <w:tc>
          <w:tcPr>
            <w:tcW w:w="24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180" w:type="dxa"/>
            <w:vAlign w:val="bottom"/>
            <w:tcBorders>
              <w:bottom w:val="single" w:sz="8" w:color="2C2C2C"/>
            </w:tcBorders>
          </w:tcPr>
          <w:p>
            <w:pPr>
              <w:spacing w:after="0"/>
              <w:rPr>
                <w:sz w:val="5"/>
                <w:szCs w:val="5"/>
                <w:color w:val="auto"/>
              </w:rPr>
            </w:pPr>
          </w:p>
        </w:tc>
        <w:tc>
          <w:tcPr>
            <w:tcW w:w="460" w:type="dxa"/>
            <w:vAlign w:val="bottom"/>
            <w:tcBorders>
              <w:bottom w:val="single" w:sz="8" w:color="2C2C2C"/>
            </w:tcBorders>
          </w:tcPr>
          <w:p>
            <w:pPr>
              <w:spacing w:after="0"/>
              <w:rPr>
                <w:sz w:val="5"/>
                <w:szCs w:val="5"/>
                <w:color w:val="auto"/>
              </w:rPr>
            </w:pPr>
          </w:p>
        </w:tc>
        <w:tc>
          <w:tcPr>
            <w:tcW w:w="740" w:type="dxa"/>
            <w:vAlign w:val="bottom"/>
            <w:tcBorders>
              <w:bottom w:val="single" w:sz="8" w:color="2C2C2C"/>
            </w:tcBorders>
          </w:tcPr>
          <w:p>
            <w:pPr>
              <w:spacing w:after="0"/>
              <w:rPr>
                <w:sz w:val="5"/>
                <w:szCs w:val="5"/>
                <w:color w:val="auto"/>
              </w:rPr>
            </w:pPr>
          </w:p>
        </w:tc>
        <w:tc>
          <w:tcPr>
            <w:tcW w:w="94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10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Class C Common Stock, par value $.01 per</w:t>
            </w:r>
          </w:p>
        </w:tc>
        <w:tc>
          <w:tcPr>
            <w:tcW w:w="11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7"/>
                <w:szCs w:val="17"/>
                <w:color w:val="0000FF"/>
              </w:rPr>
              <w:t>06/03/2024</w:t>
            </w:r>
          </w:p>
        </w:tc>
        <w:tc>
          <w:tcPr>
            <w:tcW w:w="4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780" w:type="dxa"/>
            <w:vAlign w:val="bottom"/>
            <w:vMerge w:val="restart"/>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20" w:type="dxa"/>
            <w:vAlign w:val="bottom"/>
            <w:vMerge w:val="restart"/>
          </w:tcPr>
          <w:p>
            <w:pPr>
              <w:jc w:val="right"/>
              <w:ind w:right="93"/>
              <w:spacing w:after="0"/>
              <w:rPr>
                <w:sz w:val="20"/>
                <w:szCs w:val="20"/>
                <w:color w:val="auto"/>
              </w:rPr>
            </w:pPr>
            <w:r>
              <w:rPr>
                <w:rFonts w:ascii="Times New Roman" w:cs="Times New Roman" w:eastAsia="Times New Roman" w:hAnsi="Times New Roman"/>
                <w:sz w:val="17"/>
                <w:szCs w:val="17"/>
                <w:color w:val="0000FF"/>
              </w:rPr>
              <w:t>204</w:t>
            </w:r>
          </w:p>
        </w:tc>
        <w:tc>
          <w:tcPr>
            <w:tcW w:w="440" w:type="dxa"/>
            <w:vAlign w:val="bottom"/>
            <w:vMerge w:val="restart"/>
          </w:tcPr>
          <w:p>
            <w:pPr>
              <w:ind w:left="30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Pr>
          <w:p>
            <w:pPr>
              <w:spacing w:after="0"/>
              <w:rPr>
                <w:sz w:val="21"/>
                <w:szCs w:val="21"/>
                <w:color w:val="auto"/>
              </w:rPr>
            </w:pPr>
          </w:p>
        </w:tc>
        <w:tc>
          <w:tcPr>
            <w:tcW w:w="36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1"/>
                <w:szCs w:val="11"/>
                <w:color w:val="008000"/>
              </w:rPr>
              <w:t>(3)</w:t>
            </w:r>
          </w:p>
        </w:tc>
        <w:tc>
          <w:tcPr>
            <w:tcW w:w="1380" w:type="dxa"/>
            <w:vAlign w:val="bottom"/>
            <w:gridSpan w:val="3"/>
            <w:vMerge w:val="restart"/>
          </w:tcPr>
          <w:p>
            <w:pPr>
              <w:jc w:val="center"/>
              <w:ind w:right="240"/>
              <w:spacing w:after="0"/>
              <w:rPr>
                <w:sz w:val="20"/>
                <w:szCs w:val="20"/>
                <w:color w:val="auto"/>
              </w:rPr>
            </w:pPr>
            <w:r>
              <w:rPr>
                <w:rFonts w:ascii="Times New Roman" w:cs="Times New Roman" w:eastAsia="Times New Roman" w:hAnsi="Times New Roman"/>
                <w:sz w:val="17"/>
                <w:szCs w:val="17"/>
                <w:color w:val="0000FF"/>
              </w:rPr>
              <w:t>14,781</w:t>
            </w:r>
            <w:r>
              <w:rPr>
                <w:rFonts w:ascii="Times New Roman" w:cs="Times New Roman" w:eastAsia="Times New Roman" w:hAnsi="Times New Roman"/>
                <w:sz w:val="22"/>
                <w:szCs w:val="22"/>
                <w:color w:val="008000"/>
                <w:vertAlign w:val="superscript"/>
              </w:rPr>
              <w:t>(4)</w:t>
            </w:r>
          </w:p>
        </w:tc>
        <w:tc>
          <w:tcPr>
            <w:tcW w:w="940" w:type="dxa"/>
            <w:vAlign w:val="bottom"/>
            <w:vMerge w:val="restart"/>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72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share</w:t>
            </w: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120" w:type="dxa"/>
            <w:vAlign w:val="bottom"/>
            <w:gridSpan w:val="2"/>
            <w:vMerge w:val="continue"/>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vMerge w:val="continue"/>
          </w:tcPr>
          <w:p>
            <w:pPr>
              <w:spacing w:after="0"/>
              <w:rPr>
                <w:sz w:val="15"/>
                <w:szCs w:val="15"/>
                <w:color w:val="auto"/>
              </w:rPr>
            </w:pPr>
          </w:p>
        </w:tc>
        <w:tc>
          <w:tcPr>
            <w:tcW w:w="72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360" w:type="dxa"/>
            <w:vAlign w:val="bottom"/>
            <w:gridSpan w:val="2"/>
            <w:vMerge w:val="continue"/>
          </w:tcPr>
          <w:p>
            <w:pPr>
              <w:spacing w:after="0"/>
              <w:rPr>
                <w:sz w:val="15"/>
                <w:szCs w:val="15"/>
                <w:color w:val="auto"/>
              </w:rPr>
            </w:pPr>
          </w:p>
        </w:tc>
        <w:tc>
          <w:tcPr>
            <w:tcW w:w="1380" w:type="dxa"/>
            <w:vAlign w:val="bottom"/>
            <w:gridSpan w:val="3"/>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720" w:type="dxa"/>
            <w:vAlign w:val="bottom"/>
            <w:vMerge w:val="continue"/>
          </w:tcPr>
          <w:p>
            <w:pPr>
              <w:spacing w:after="0"/>
              <w:rPr>
                <w:sz w:val="4"/>
                <w:szCs w:val="4"/>
                <w:color w:val="auto"/>
              </w:rPr>
            </w:pPr>
          </w:p>
        </w:tc>
        <w:tc>
          <w:tcPr>
            <w:tcW w:w="800" w:type="dxa"/>
            <w:vAlign w:val="bottom"/>
          </w:tcPr>
          <w:p>
            <w:pPr>
              <w:spacing w:after="0"/>
              <w:rPr>
                <w:sz w:val="4"/>
                <w:szCs w:val="4"/>
                <w:color w:val="auto"/>
              </w:rPr>
            </w:pPr>
          </w:p>
        </w:tc>
        <w:tc>
          <w:tcPr>
            <w:tcW w:w="1120" w:type="dxa"/>
            <w:vAlign w:val="bottom"/>
          </w:tcPr>
          <w:p>
            <w:pPr>
              <w:spacing w:after="0"/>
              <w:rPr>
                <w:sz w:val="4"/>
                <w:szCs w:val="4"/>
                <w:color w:val="auto"/>
              </w:rPr>
            </w:pPr>
          </w:p>
        </w:tc>
        <w:tc>
          <w:tcPr>
            <w:tcW w:w="460" w:type="dxa"/>
            <w:vAlign w:val="bottom"/>
          </w:tcPr>
          <w:p>
            <w:pPr>
              <w:spacing w:after="0"/>
              <w:rPr>
                <w:sz w:val="4"/>
                <w:szCs w:val="4"/>
                <w:color w:val="auto"/>
              </w:rPr>
            </w:pPr>
          </w:p>
        </w:tc>
        <w:tc>
          <w:tcPr>
            <w:tcW w:w="660" w:type="dxa"/>
            <w:vAlign w:val="bottom"/>
          </w:tcPr>
          <w:p>
            <w:pPr>
              <w:spacing w:after="0"/>
              <w:rPr>
                <w:sz w:val="4"/>
                <w:szCs w:val="4"/>
                <w:color w:val="auto"/>
              </w:rPr>
            </w:pPr>
          </w:p>
        </w:tc>
        <w:tc>
          <w:tcPr>
            <w:tcW w:w="460" w:type="dxa"/>
            <w:vAlign w:val="bottom"/>
          </w:tcPr>
          <w:p>
            <w:pPr>
              <w:spacing w:after="0"/>
              <w:rPr>
                <w:sz w:val="4"/>
                <w:szCs w:val="4"/>
                <w:color w:val="auto"/>
              </w:rPr>
            </w:pPr>
          </w:p>
        </w:tc>
        <w:tc>
          <w:tcPr>
            <w:tcW w:w="440" w:type="dxa"/>
            <w:vAlign w:val="bottom"/>
          </w:tcPr>
          <w:p>
            <w:pPr>
              <w:spacing w:after="0"/>
              <w:rPr>
                <w:sz w:val="4"/>
                <w:szCs w:val="4"/>
                <w:color w:val="auto"/>
              </w:rPr>
            </w:pPr>
          </w:p>
        </w:tc>
        <w:tc>
          <w:tcPr>
            <w:tcW w:w="720" w:type="dxa"/>
            <w:vAlign w:val="bottom"/>
          </w:tcPr>
          <w:p>
            <w:pPr>
              <w:spacing w:after="0"/>
              <w:rPr>
                <w:sz w:val="4"/>
                <w:szCs w:val="4"/>
                <w:color w:val="auto"/>
              </w:rPr>
            </w:pPr>
          </w:p>
        </w:tc>
        <w:tc>
          <w:tcPr>
            <w:tcW w:w="780" w:type="dxa"/>
            <w:vAlign w:val="bottom"/>
          </w:tcPr>
          <w:p>
            <w:pPr>
              <w:spacing w:after="0"/>
              <w:rPr>
                <w:sz w:val="4"/>
                <w:szCs w:val="4"/>
                <w:color w:val="auto"/>
              </w:rPr>
            </w:pPr>
          </w:p>
        </w:tc>
        <w:tc>
          <w:tcPr>
            <w:tcW w:w="720" w:type="dxa"/>
            <w:vAlign w:val="bottom"/>
          </w:tcPr>
          <w:p>
            <w:pPr>
              <w:spacing w:after="0"/>
              <w:rPr>
                <w:sz w:val="4"/>
                <w:szCs w:val="4"/>
                <w:color w:val="auto"/>
              </w:rPr>
            </w:pPr>
          </w:p>
        </w:tc>
        <w:tc>
          <w:tcPr>
            <w:tcW w:w="4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80" w:type="dxa"/>
            <w:vAlign w:val="bottom"/>
          </w:tcPr>
          <w:p>
            <w:pPr>
              <w:spacing w:after="0"/>
              <w:rPr>
                <w:sz w:val="4"/>
                <w:szCs w:val="4"/>
                <w:color w:val="auto"/>
              </w:rPr>
            </w:pPr>
          </w:p>
        </w:tc>
        <w:tc>
          <w:tcPr>
            <w:tcW w:w="80" w:type="dxa"/>
            <w:vAlign w:val="bottom"/>
          </w:tcPr>
          <w:p>
            <w:pPr>
              <w:spacing w:after="0"/>
              <w:rPr>
                <w:sz w:val="4"/>
                <w:szCs w:val="4"/>
                <w:color w:val="auto"/>
              </w:rPr>
            </w:pPr>
          </w:p>
        </w:tc>
        <w:tc>
          <w:tcPr>
            <w:tcW w:w="180" w:type="dxa"/>
            <w:vAlign w:val="bottom"/>
          </w:tcPr>
          <w:p>
            <w:pPr>
              <w:spacing w:after="0"/>
              <w:rPr>
                <w:sz w:val="4"/>
                <w:szCs w:val="4"/>
                <w:color w:val="auto"/>
              </w:rPr>
            </w:pPr>
          </w:p>
        </w:tc>
        <w:tc>
          <w:tcPr>
            <w:tcW w:w="460" w:type="dxa"/>
            <w:vAlign w:val="bottom"/>
          </w:tcPr>
          <w:p>
            <w:pPr>
              <w:spacing w:after="0"/>
              <w:rPr>
                <w:sz w:val="4"/>
                <w:szCs w:val="4"/>
                <w:color w:val="auto"/>
              </w:rPr>
            </w:pPr>
          </w:p>
        </w:tc>
        <w:tc>
          <w:tcPr>
            <w:tcW w:w="740" w:type="dxa"/>
            <w:vAlign w:val="bottom"/>
          </w:tcPr>
          <w:p>
            <w:pPr>
              <w:spacing w:after="0"/>
              <w:rPr>
                <w:sz w:val="4"/>
                <w:szCs w:val="4"/>
                <w:color w:val="auto"/>
              </w:rPr>
            </w:pPr>
          </w:p>
        </w:tc>
        <w:tc>
          <w:tcPr>
            <w:tcW w:w="940" w:type="dxa"/>
            <w:vAlign w:val="bottom"/>
          </w:tcPr>
          <w:p>
            <w:pPr>
              <w:spacing w:after="0"/>
              <w:rPr>
                <w:sz w:val="4"/>
                <w:szCs w:val="4"/>
                <w:color w:val="auto"/>
              </w:rPr>
            </w:pPr>
          </w:p>
        </w:tc>
        <w:tc>
          <w:tcPr>
            <w:tcW w:w="70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6320" w:type="dxa"/>
            <w:vAlign w:val="bottom"/>
            <w:tcBorders>
              <w:bottom w:val="single" w:sz="8" w:color="2C2C2C"/>
            </w:tcBorders>
            <w:gridSpan w:val="11"/>
          </w:tcPr>
          <w:p>
            <w:pPr>
              <w:spacing w:after="0"/>
              <w:rPr>
                <w:sz w:val="8"/>
                <w:szCs w:val="8"/>
                <w:color w:val="auto"/>
              </w:rPr>
            </w:pPr>
          </w:p>
        </w:tc>
        <w:tc>
          <w:tcPr>
            <w:tcW w:w="26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94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780" w:type="dxa"/>
            <w:vAlign w:val="bottom"/>
            <w:tcBorders>
              <w:top w:val="single" w:sz="8" w:color="2C2C2C"/>
            </w:tcBorders>
            <w:gridSpan w:val="15"/>
          </w:tcPr>
          <w:p>
            <w:pPr>
              <w:jc w:val="center"/>
              <w:ind w:left="153"/>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4820" w:type="dxa"/>
            <w:vAlign w:val="bottom"/>
            <w:gridSpan w:val="10"/>
          </w:tcPr>
          <w:p>
            <w:pPr>
              <w:jc w:val="center"/>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gridSpan w:val="2"/>
          </w:tcPr>
          <w:p>
            <w:pPr>
              <w:ind w:left="4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66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w:t>
            </w: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4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4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2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60" w:type="dxa"/>
            <w:vAlign w:val="bottom"/>
          </w:tcPr>
          <w:p>
            <w:pPr>
              <w:spacing w:after="0"/>
              <w:rPr>
                <w:sz w:val="3"/>
                <w:szCs w:val="3"/>
                <w:color w:val="auto"/>
              </w:rPr>
            </w:pPr>
          </w:p>
        </w:tc>
        <w:tc>
          <w:tcPr>
            <w:tcW w:w="66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4,822 Deferred Stock Units issued to the Reporting Person by Clearway Energy, Inc. under Clearway Energy, Inc.'s Amended and Restated 2013 Equity Incentive Plan.</w:t>
      </w:r>
    </w:p>
    <w:p>
      <w:pPr>
        <w:spacing w:after="0" w:line="50" w:lineRule="exact"/>
        <w:rPr>
          <w:rFonts w:ascii="Times New Roman" w:cs="Times New Roman" w:eastAsia="Times New Roman" w:hAnsi="Times New Roman"/>
          <w:sz w:val="13"/>
          <w:szCs w:val="13"/>
          <w:color w:val="008000"/>
        </w:rPr>
      </w:pPr>
    </w:p>
    <w:p>
      <w:pPr>
        <w:ind w:left="40" w:right="180" w:firstLine="7"/>
        <w:spacing w:after="0" w:line="253"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Deferred Stock Unit is equivalent to one share of Clearway Energy, Inc.'s Class C Common Stock, par value $.01 per share. The reporting person will receive from Clearway Energy, Inc. one such share of Class C Common Stock for each Deferred Stock Unit she owns upon termination of her service on Clearway Energy, Inc.'s Board of Directors or change in ownership or effective control of Clearway Energy, Inc.</w:t>
      </w:r>
    </w:p>
    <w:p>
      <w:pPr>
        <w:spacing w:after="0" w:line="20" w:lineRule="exact"/>
        <w:rPr>
          <w:rFonts w:ascii="Times New Roman" w:cs="Times New Roman" w:eastAsia="Times New Roman" w:hAnsi="Times New Roman"/>
          <w:sz w:val="13"/>
          <w:szCs w:val="13"/>
          <w:color w:val="008000"/>
        </w:rPr>
      </w:pPr>
    </w:p>
    <w:p>
      <w:pPr>
        <w:ind w:left="40" w:right="34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dividend equivalent rights accrued on the Reporting Person's Deferred Stock Units, which become exercisable proportionately with the Deferred Stock Units to which they relate and may only be settled in Class C Common Stock of Clearway Energy, Inc.</w:t>
      </w:r>
    </w:p>
    <w:p>
      <w:pPr>
        <w:spacing w:after="0" w:line="7"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902 dividend equivalent rights that may only be settled in Class C Common Stock.</w:t>
      </w:r>
    </w:p>
    <w:p>
      <w:pPr>
        <w:spacing w:after="0" w:line="68"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62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9"/>
              </w:rPr>
              <w:t>/s/ Kevin P. Malcarney,</w:t>
            </w:r>
          </w:p>
        </w:tc>
        <w:tc>
          <w:tcPr>
            <w:tcW w:w="46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06/04/2024</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748373" TargetMode="External"/><Relationship Id="rId13" Type="http://schemas.openxmlformats.org/officeDocument/2006/relationships/hyperlink" Target="http://www.sec.gov/cgi-bin/browse-edgar?action=getcompany&amp;CIK=000156768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2024-06-04T15:53:04Z</dcterms:created>
  <dcterms:modified xsi:type="dcterms:W3CDTF">2024-06-04T15:53:04Z</dcterms:modified>
</cp:coreProperties>
</file>