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80" w:type="dxa"/>
            <w:vAlign w:val="bottom"/>
            <w:gridSpan w:val="4"/>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6"/>
            <w:vMerge w:val="restart"/>
          </w:tcPr>
          <w:p>
            <w:pPr>
              <w:ind w:left="460"/>
              <w:spacing w:after="0"/>
              <w:rPr>
                <w:sz w:val="20"/>
                <w:szCs w:val="20"/>
                <w:color w:val="auto"/>
              </w:rPr>
            </w:pPr>
            <w:r>
              <w:rPr>
                <w:rFonts w:ascii="Times New Roman" w:cs="Times New Roman" w:eastAsia="Times New Roman" w:hAnsi="Times New Roman"/>
                <w:sz w:val="17"/>
                <w:szCs w:val="17"/>
                <w:color w:val="0000FF"/>
              </w:rPr>
              <w:t>07/15/2022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1,429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61,884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560" w:type="dxa"/>
            <w:vAlign w:val="bottom"/>
            <w:gridSpan w:val="20"/>
          </w:tcPr>
          <w:p>
            <w:pPr>
              <w:jc w:val="center"/>
              <w:ind w:left="45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6"/>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GIP III Zephyr Acquisition Partners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5"/>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73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Clearway Energy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jc w:val="both"/>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40"/>
          </w:cols>
          <w:pgMar w:left="480" w:top="125" w:right="57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80"/>
          </w:cols>
          <w:pgMar w:left="480" w:top="125"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2022-07-19T15:23:05Z</dcterms:created>
  <dcterms:modified xsi:type="dcterms:W3CDTF">2022-07-19T15:23:05Z</dcterms:modified>
</cp:coreProperties>
</file>