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21,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11" w:right="239" w:bottom="1440" w:gutter="0" w:footer="0" w:header="0"/>
        </w:sectPr>
      </w:pP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120" w:space="720"/>
            <w:col w:w="2800" w:space="720"/>
            <w:col w:w="3060"/>
          </w:cols>
          <w:pgMar w:left="240" w:top="511" w:right="2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511" w:right="239" w:bottom="1440" w:gutter="0" w:footer="0" w:header="0"/>
          <w:type w:val="continuous"/>
        </w:sectPr>
      </w:pP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Twelfth Supplemental Indenture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21, 2019, Clearway Energy Operating LLC (“Clearway Operating LLC”), a subsidiary of Clearway Energy LLC (“Clearway LLC”), the guarantors currently party to the 2024 Notes Indenture (defined below), Thermal Hawaii Development Holdings LLC (the “Guaranteeing Subsidiary”) and Delaware Trust Company (as successor in interest to Law Debenture Trust Company of New York), as trustee (the “Trustee”), entered into the twelfth supplemental indenture (the “Twelfth Supplemental Indenture”), supplementing the indenture, dated as of August 5, 2014 (as amended or supplemented to the date hereof, the “2024 Notes Indenture”), by and among Clearway Operating LLC, the guarantors party thereto and the Trustee, pursuant to which Clearway Operating LLC issued $500,000,000 in aggregate principal amount of its 5.375% Senior Notes due 2024 (the “2024 Notes”). Pursuant to the Twelfth Supplemental Indenture, the Guaranteeing Subsidiary became a guarantor of Clearway Operating LLC’s obligations under the 2024 Notes.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Twelfth Supplemental Indenture does not purport to be complete and is qualified in its entirety by reference to the Twelfth Supplemental Indenture, which is attached as Exhibit 4.1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Eighth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21, 2019, Clearway Operating LLC, the guarantors currently party to the 2026 Notes Indenture (defined below), the Guaranteeing Subsidiary and the Trustee also entered into the eighth supplemental indenture (the “Eighth Supplemental Indenture”), supplementing the indenture, dated as of August 18, 2016 (the “2026 Notes Indenture”), by and among Clearway Operating LLC, the guarantors party thereto and the Trustee, pursuant to which Clearway Operating LLC issued $350,000,000 in aggregate principal amount of its 5.000% Senior Notes due 2026 (the “2026 Notes”). Pursuant to the Eighth Supplemental Indenture, the Guaranteeing Subsidiary became a guarantor of Clearway Operating LLC’s obligations under the 2026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Eighth Supplemental Indenture does not purport to be complete and is qualified in its entirety by reference to the Eighth Supplemental Indenture, which is attached as Exhibit 4.2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Supplemental Indenture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21, 2019, Clearway Operating LLC, the guarantors currently party to the 2025 Notes Indenture (defined below), the Guaranteeing Subsidiary and the Trustee also entered into the fourth supplemental indenture (the “Fourth Supplemental Indenture”), supplementing the indenture, dated as of October 1, 2018 (the “2025 Notes Indenture”), by and among Clearway Operating LLC, the guarantors party thereto and the Trustee, pursuant to which Clearway Operating LLC issued $600,000,000 in aggregate principal amount of its 5.750% Senior Notes due 2025 (the “2025 Notes”). Pursuant to the Fourth Supplemental Indenture, the Guaranteeing Subsidiary became a guarantor of Clearway Operating LLC’s obligations under the 2025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Supplemental Indenture does not purport to be complete and is qualified in its entirety by reference to the Fourth Supplemental Indenture, which is attached as Exhibit 4.3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0" w:type="dxa"/>
            <w:vAlign w:val="bottom"/>
          </w:tcPr>
          <w:p>
            <w:pPr>
              <w:spacing w:after="0"/>
              <w:rPr>
                <w:sz w:val="20"/>
                <w:szCs w:val="20"/>
                <w:color w:val="auto"/>
              </w:rPr>
            </w:pPr>
          </w:p>
        </w:tc>
        <w:tc>
          <w:tcPr>
            <w:tcW w:w="7840" w:type="dxa"/>
            <w:vAlign w:val="bottom"/>
            <w:gridSpan w:val="4"/>
          </w:tcPr>
          <w:p>
            <w:pPr>
              <w:ind w:left="24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0000EE"/>
            </w:tcBorders>
          </w:tcPr>
          <w:p>
            <w:pPr>
              <w:jc w:val="right"/>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Twelfth Supplemental Indenture, dated as of November 21, 2019, among Clearway Energy Operating LLC, the guarantors named therein</w:t>
              </w:r>
            </w:hyperlink>
          </w:p>
        </w:tc>
        <w:tc>
          <w:tcPr>
            <w:tcW w:w="140" w:type="dxa"/>
            <w:vAlign w:val="bottom"/>
            <w:tcBorders>
              <w:top w:val="single" w:sz="8" w:color="auto"/>
            </w:tcBorders>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and Delaware Trust Company (as successor in interest to Law Debenture Trust Company of New York).</w:t>
              </w:r>
            </w:hyperlink>
          </w:p>
        </w:tc>
        <w:tc>
          <w:tcPr>
            <w:tcW w:w="2500" w:type="dxa"/>
            <w:vAlign w:val="bottom"/>
            <w:gridSpan w:val="3"/>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Eighth Supplemental Indenture, dated as of November 21, 2019, among Clearway Energy Operating LLC, the guarantors named therein</w:t>
              </w:r>
            </w:hyperlink>
          </w:p>
        </w:tc>
        <w:tc>
          <w:tcPr>
            <w:tcW w:w="22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and Delaware Trust Company (as successor in interest to Law Debenture Trust Company of New York).</w:t>
              </w:r>
            </w:hyperlink>
          </w:p>
        </w:tc>
        <w:tc>
          <w:tcPr>
            <w:tcW w:w="2500" w:type="dxa"/>
            <w:vAlign w:val="bottom"/>
            <w:gridSpan w:val="3"/>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4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Fourth Supplemental Indenture, dated as of November 21, 2019, among Clearway Energy Operating LLC, the guarantors named therein</w:t>
              </w:r>
            </w:hyperlink>
          </w:p>
        </w:tc>
        <w:tc>
          <w:tcPr>
            <w:tcW w:w="22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and Delaware Trust Company.</w:t>
              </w:r>
            </w:hyperlink>
          </w:p>
        </w:tc>
        <w:tc>
          <w:tcPr>
            <w:tcW w:w="7840" w:type="dxa"/>
            <w:vAlign w:val="bottom"/>
            <w:gridSpan w:val="4"/>
          </w:tcPr>
          <w:p>
            <w:pPr>
              <w:spacing w:after="0"/>
              <w:rPr>
                <w:sz w:val="17"/>
                <w:szCs w:val="17"/>
                <w:color w:val="auto"/>
              </w:rPr>
            </w:pPr>
          </w:p>
        </w:tc>
      </w:tr>
    </w:tbl>
    <w:p>
      <w:pPr>
        <w:spacing w:after="0" w:line="225" w:lineRule="exact"/>
        <w:rPr>
          <w:sz w:val="20"/>
          <w:szCs w:val="20"/>
          <w:color w:val="auto"/>
        </w:rPr>
      </w:pPr>
    </w:p>
    <w:p>
      <w:pPr>
        <w:ind w:left="5680" w:right="1980" w:hanging="5233"/>
        <w:spacing w:after="0" w:line="783" w:lineRule="auto"/>
        <w:tabs>
          <w:tab w:leader="none" w:pos="13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3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Kevin P. Malcarney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0" w:right="8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TWELFTH SUPPLEMENTAL INDENTURE</w:t>
      </w:r>
    </w:p>
    <w:p>
      <w:pPr>
        <w:spacing w:after="0" w:line="22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TWELFTH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right="20" w:firstLine="1297"/>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5, 2014 providing for the issuance of 5.375% Senior Notes due 2024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40" w:hanging="684"/>
        <w:spacing w:after="0"/>
        <w:tabs>
          <w:tab w:leader="none" w:pos="134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1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418"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jc w:val="both"/>
        <w:ind w:firstLine="656"/>
        <w:spacing w:after="0" w:line="266" w:lineRule="auto"/>
        <w:tabs>
          <w:tab w:leader="none" w:pos="1445"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010000"/>
        </w:rPr>
      </w:pPr>
    </w:p>
    <w:p>
      <w:pPr>
        <w:ind w:right="20" w:firstLine="656"/>
        <w:spacing w:after="0" w:line="282" w:lineRule="auto"/>
        <w:tabs>
          <w:tab w:leader="none" w:pos="1377"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99"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2"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Twelfth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55" w:lineRule="exact"/>
        <w:rPr>
          <w:sz w:val="20"/>
          <w:szCs w:val="20"/>
          <w:color w:val="auto"/>
        </w:rPr>
      </w:pPr>
    </w:p>
    <w:p>
      <w:pPr>
        <w:jc w:val="right"/>
        <w:ind w:right="825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7" w:lineRule="exact"/>
        <w:rPr>
          <w:sz w:val="20"/>
          <w:szCs w:val="20"/>
          <w:color w:val="auto"/>
        </w:rPr>
      </w:pPr>
    </w:p>
    <w:p>
      <w:pPr>
        <w:jc w:val="right"/>
        <w:ind w:right="825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4"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Twelfth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EIGHTH SUPPLEMENTAL INDENTURE</w:t>
      </w:r>
    </w:p>
    <w:p>
      <w:pPr>
        <w:spacing w:after="0" w:line="223" w:lineRule="exact"/>
        <w:rPr>
          <w:sz w:val="20"/>
          <w:szCs w:val="20"/>
          <w:color w:val="auto"/>
        </w:rPr>
      </w:pPr>
    </w:p>
    <w:p>
      <w:pPr>
        <w:jc w:val="both"/>
        <w:ind w:firstLine="1297"/>
        <w:spacing w:after="0" w:line="259" w:lineRule="auto"/>
        <w:rPr>
          <w:sz w:val="20"/>
          <w:szCs w:val="20"/>
          <w:color w:val="auto"/>
        </w:rPr>
      </w:pPr>
      <w:r>
        <w:rPr>
          <w:rFonts w:ascii="Times New Roman" w:cs="Times New Roman" w:eastAsia="Times New Roman" w:hAnsi="Times New Roman"/>
          <w:sz w:val="18"/>
          <w:szCs w:val="18"/>
          <w:color w:val="auto"/>
        </w:rPr>
        <w:t>EIGHTH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August 18, 2016 providing for the issuance of 5.000% Senior Notes due 2026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1297"/>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76" w:lineRule="exact"/>
        <w:rPr>
          <w:sz w:val="20"/>
          <w:szCs w:val="20"/>
          <w:color w:val="auto"/>
        </w:rPr>
      </w:pPr>
    </w:p>
    <w:p>
      <w:pPr>
        <w:ind w:left="1340" w:hanging="684"/>
        <w:spacing w:after="0"/>
        <w:tabs>
          <w:tab w:leader="none" w:pos="134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1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AGREEMENT TO GUARANTEE. The Guaranteeing Subsidiary hereby becomes party to the Indenture as a Guarantor and as such will have all the rights and be subject to all the Obligations and agreements of Guarantors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010000"/>
        </w:rPr>
      </w:pPr>
    </w:p>
    <w:p>
      <w:pPr>
        <w:jc w:val="both"/>
        <w:ind w:firstLine="656"/>
        <w:spacing w:after="0" w:line="258" w:lineRule="auto"/>
        <w:tabs>
          <w:tab w:leader="none" w:pos="1418"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jc w:val="both"/>
        <w:ind w:firstLine="656"/>
        <w:spacing w:after="0" w:line="266" w:lineRule="auto"/>
        <w:tabs>
          <w:tab w:leader="none" w:pos="1445"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76" w:lineRule="exact"/>
        <w:rPr>
          <w:rFonts w:ascii="Times New Roman" w:cs="Times New Roman" w:eastAsia="Times New Roman" w:hAnsi="Times New Roman"/>
          <w:sz w:val="18"/>
          <w:szCs w:val="18"/>
          <w:color w:val="010000"/>
        </w:rPr>
      </w:pPr>
    </w:p>
    <w:p>
      <w:pPr>
        <w:ind w:right="20" w:firstLine="656"/>
        <w:spacing w:after="0" w:line="282" w:lineRule="auto"/>
        <w:tabs>
          <w:tab w:leader="none" w:pos="1377"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010000"/>
        </w:rPr>
      </w:pPr>
    </w:p>
    <w:p>
      <w:pPr>
        <w:ind w:left="1340" w:hanging="684"/>
        <w:spacing w:after="0"/>
        <w:tabs>
          <w:tab w:leader="none" w:pos="1340"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010000"/>
        </w:rPr>
      </w:pPr>
    </w:p>
    <w:p>
      <w:pPr>
        <w:jc w:val="both"/>
        <w:ind w:firstLine="656"/>
        <w:spacing w:after="0" w:line="266" w:lineRule="auto"/>
        <w:tabs>
          <w:tab w:leader="none" w:pos="1499"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010000"/>
        </w:rPr>
      </w:pPr>
    </w:p>
    <w:p>
      <w:pPr>
        <w:jc w:val="both"/>
        <w:ind w:firstLine="656"/>
        <w:spacing w:after="0" w:line="261" w:lineRule="auto"/>
        <w:tabs>
          <w:tab w:leader="none" w:pos="1472"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firstLine="1297"/>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Chad Plotkin</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-127635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Eighth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1440" w:top="904" w:right="7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27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36" w:lineRule="exact"/>
        <w:rPr>
          <w:sz w:val="20"/>
          <w:szCs w:val="20"/>
          <w:color w:val="auto"/>
        </w:rPr>
      </w:pPr>
    </w:p>
    <w:p>
      <w:pPr>
        <w:jc w:val="right"/>
        <w:ind w:right="825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-127635</wp:posOffset>
            </wp:positionV>
            <wp:extent cx="7031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3"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Eighth Supplemental Indenture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SUPPLEMENTAL INDENTURE</w:t>
      </w:r>
    </w:p>
    <w:p>
      <w:pPr>
        <w:spacing w:after="0" w:line="22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FOURTH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21, 2019, among Thermal Hawaii Development Holdings LLC (the “</w:t>
      </w:r>
      <w:r>
        <w:rPr>
          <w:rFonts w:ascii="Times New Roman" w:cs="Times New Roman" w:eastAsia="Times New Roman" w:hAnsi="Times New Roman"/>
          <w:sz w:val="18"/>
          <w:szCs w:val="18"/>
          <w:i w:val="1"/>
          <w:iCs w:val="1"/>
          <w:color w:val="auto"/>
        </w:rPr>
        <w:t>Guaranteeing Subsidiary</w:t>
      </w:r>
      <w:r>
        <w:rPr>
          <w:rFonts w:ascii="Times New Roman" w:cs="Times New Roman" w:eastAsia="Times New Roman" w:hAnsi="Times New Roman"/>
          <w:sz w:val="18"/>
          <w:szCs w:val="18"/>
          <w:color w:val="auto"/>
        </w:rPr>
        <w:t>”), a subsidiary of Clearway Energy Operating LLC (formerly known as NRG Yield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October 1, 2018 providing for the issuance of 5.750%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2" w:lineRule="exact"/>
        <w:rPr>
          <w:sz w:val="20"/>
          <w:szCs w:val="20"/>
          <w:color w:val="auto"/>
        </w:rPr>
      </w:pPr>
    </w:p>
    <w:p>
      <w:pPr>
        <w:ind w:left="1600" w:hanging="944"/>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6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ind w:left="-656" w:firstLine="656"/>
        <w:spacing w:after="0" w:line="282" w:lineRule="auto"/>
        <w:tabs>
          <w:tab w:leader="none" w:pos="10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944" w:hanging="944"/>
        <w:spacing w:after="0"/>
        <w:tabs>
          <w:tab w:leader="none" w:pos="9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0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9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417830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 written.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color w:val="auto"/>
        </w:rPr>
        <w:t>ALTA WIND 1-5 HOLDING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INFRASTRUCTURE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19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447675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p>
      <w:pPr>
        <w:jc w:val="right"/>
        <w:ind w:right="8279"/>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36" w:lineRule="exact"/>
        <w:rPr>
          <w:sz w:val="20"/>
          <w:szCs w:val="20"/>
          <w:color w:val="auto"/>
        </w:rPr>
      </w:pPr>
    </w:p>
    <w:p>
      <w:pPr>
        <w:jc w:val="right"/>
        <w:ind w:right="8259"/>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-127635</wp:posOffset>
            </wp:positionV>
            <wp:extent cx="7031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44"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Fourth Supplemental Indenture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04"/>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2019-12-28T01:22:38Z</dcterms:created>
  <dcterms:modified xsi:type="dcterms:W3CDTF">2019-12-28T01:22:38Z</dcterms:modified>
</cp:coreProperties>
</file>