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7841" w:type="dxa"/>
        <w:jc w:val="center"/>
        <w:tblInd w:w="0" w:type="dxa"/>
        <w:tblLayout w:type="fixed"/>
        <w:tblCellMar>
          <w:top w:w="28" w:type="dxa"/>
          <w:left w:w="28" w:type="dxa"/>
          <w:bottom w:w="28" w:type="dxa"/>
          <w:right w:w="28" w:type="dxa"/>
        </w:tblCellMar>
      </w:tblPr>
      <w:tblGrid>
        <w:gridCol w:w="124"/>
        <w:gridCol w:w="109"/>
        <w:gridCol w:w="109"/>
        <w:gridCol w:w="2196"/>
        <w:gridCol w:w="2196"/>
        <w:gridCol w:w="3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333-203369 </w:t>
      </w:r>
    </w:p>
    <w:p>
      <w:pPr>
        <w:pStyle w:val="TextBody"/>
        <w:bidi w:val="0"/>
        <w:spacing w:lineRule="auto" w:line="288" w:before="240" w:after="283"/>
        <w:jc w:val="center"/>
        <w:rPr>
          <w:rFonts w:ascii="Times New Roman;sans-serif" w:hAnsi="Times New Roman;sans-serif"/>
          <w:b/>
          <w:color w:val="000000"/>
          <w:sz w:val="48"/>
        </w:rPr>
      </w:pPr>
      <w:r>
        <w:rPr>
          <w:rFonts w:ascii="Times New Roman;sans-serif" w:hAnsi="Times New Roman;sans-serif"/>
          <w:b/>
          <w:color w:val="000000"/>
          <w:sz w:val="48"/>
        </w:rPr>
        <w:t xml:space="preserve">Clearway Energy LLC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433" w:type="dxa"/>
        <w:jc w:val="center"/>
        <w:tblInd w:w="0" w:type="dxa"/>
        <w:tblLayout w:type="fixed"/>
        <w:tblCellMar>
          <w:top w:w="28" w:type="dxa"/>
          <w:left w:w="28" w:type="dxa"/>
          <w:bottom w:w="28" w:type="dxa"/>
          <w:right w:w="28" w:type="dxa"/>
        </w:tblCellMar>
      </w:tblPr>
      <w:tblGrid>
        <w:gridCol w:w="1008"/>
        <w:gridCol w:w="886"/>
        <w:gridCol w:w="895"/>
        <w:gridCol w:w="310"/>
        <w:gridCol w:w="310"/>
        <w:gridCol w:w="311"/>
        <w:gridCol w:w="354"/>
        <w:gridCol w:w="354"/>
        <w:gridCol w:w="356"/>
        <w:gridCol w:w="481"/>
        <w:gridCol w:w="481"/>
        <w:gridCol w:w="687"/>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32-0407370</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br/>
              <w:t>of incorporation or organization)</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300 Carnegie Center, Suite 300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Princeton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Jersey</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08540</w:t>
            </w:r>
          </w:p>
        </w:tc>
      </w:tr>
      <w:tr>
        <w:trPr/>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(609) 608-1525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 None.</w:t>
      </w:r>
    </w:p>
    <w:p>
      <w:pPr>
        <w:pStyle w:val="TextBody"/>
        <w:bidi w:val="0"/>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40" w:before="120" w:after="283"/>
        <w:ind w:left="0" w:right="0" w:firstLine="315"/>
        <w:jc w:val="center"/>
        <w:rPr/>
      </w:pPr>
      <w:r>
        <w:rPr>
          <w:rFonts w:ascii="Times New Roman;sans-serif" w:hAnsi="Times New Roman;sans-serif"/>
          <w:b/>
          <w:color w:val="000000"/>
          <w:sz w:val="18"/>
        </w:rPr>
        <w:t>Yes</w:t>
      </w:r>
      <w:r>
        <w:rPr>
          <w:color w:val="000000"/>
        </w:rPr>
        <w:t xml:space="preserve"> </w:t>
      </w:r>
      <w:r>
        <w:rPr>
          <w:rFonts w:ascii="Wingdings;sans-serif" w:hAnsi="Wingdings;sans-serif"/>
          <w:b w:val="false"/>
          <w:color w:val="000000"/>
          <w:sz w:val="18"/>
        </w:rPr>
        <w:t>x</w:t>
      </w:r>
      <w:r>
        <w:rPr>
          <w:color w:val="000000"/>
        </w:rPr>
        <w:t xml:space="preserve">     </w:t>
      </w:r>
      <w:r>
        <w:rPr>
          <w:rFonts w:ascii="Times New Roman;sans-serif" w:hAnsi="Times New Roman;sans-serif"/>
          <w:b/>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40" w:before="120" w:after="283"/>
        <w:ind w:left="0" w:right="0" w:firstLine="315"/>
        <w:jc w:val="center"/>
        <w:rPr/>
      </w:pPr>
      <w:r>
        <w:rPr>
          <w:rFonts w:ascii="Times New Roman;sans-serif" w:hAnsi="Times New Roman;sans-serif"/>
          <w:b/>
          <w:color w:val="000000"/>
          <w:sz w:val="18"/>
        </w:rPr>
        <w:t>Yes</w:t>
      </w:r>
      <w:r>
        <w:rPr>
          <w:color w:val="000000"/>
        </w:rPr>
        <w:t xml:space="preserve"> </w:t>
      </w:r>
      <w:r>
        <w:rPr>
          <w:rFonts w:ascii="Wingdings;sans-serif" w:hAnsi="Wingdings;sans-serif"/>
          <w:b w:val="false"/>
          <w:color w:val="000000"/>
          <w:sz w:val="18"/>
        </w:rPr>
        <w:t>x</w:t>
      </w:r>
      <w:r>
        <w:rPr>
          <w:color w:val="000000"/>
        </w:rPr>
        <w:t xml:space="preserve">      </w:t>
      </w:r>
      <w:r>
        <w:rPr>
          <w:rFonts w:ascii="Times New Roman;sans-serif" w:hAnsi="Times New Roman;sans-serif"/>
          <w:b/>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40" w:before="80" w:after="283"/>
        <w:ind w:left="0" w:right="0" w:firstLine="36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r>
        <w:rPr>
          <w:color w:val="000000"/>
        </w:rPr>
        <w:t xml:space="preserve">   </w:t>
      </w:r>
    </w:p>
    <w:p>
      <w:pPr>
        <w:pStyle w:val="TextBody"/>
        <w:bidi w:val="0"/>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w:t>
      </w:r>
    </w:p>
    <w:p>
      <w:pPr>
        <w:pStyle w:val="TextBody"/>
        <w:bidi w:val="0"/>
        <w:spacing w:lineRule="auto" w:line="288" w:before="120" w:after="283"/>
        <w:jc w:val="center"/>
        <w:rPr/>
      </w:pPr>
      <w:r>
        <w:rPr>
          <w:rFonts w:ascii="Times New Roman;sans-serif" w:hAnsi="Times New Roman;sans-serif"/>
          <w:b/>
          <w:color w:val="000000"/>
          <w:sz w:val="18"/>
        </w:rPr>
        <w:t>Yes</w:t>
      </w:r>
      <w:r>
        <w:rPr>
          <w:color w:val="000000"/>
        </w:rPr>
        <w:t xml:space="preserve"> ☐       </w:t>
      </w:r>
      <w:r>
        <w:rPr>
          <w:rFonts w:ascii="Times New Roman;sans-serif" w:hAnsi="Times New Roman;sans-serif"/>
          <w:b/>
          <w:color w:val="000000"/>
          <w:sz w:val="18"/>
        </w:rPr>
        <w:t>No</w:t>
      </w:r>
      <w:r>
        <w:rPr>
          <w:color w:val="000000"/>
        </w:rPr>
        <w:t xml:space="preserve"> </w:t>
      </w:r>
      <w:r>
        <w:rPr>
          <w:rFonts w:ascii="Wingdings;sans-serif" w:hAnsi="Wingdings;sans-serif"/>
          <w:b w:val="false"/>
          <w:color w:val="000000"/>
          <w:sz w:val="18"/>
        </w:rPr>
        <w:t>x</w:t>
      </w:r>
    </w:p>
    <w:p>
      <w:pPr>
        <w:pStyle w:val="TextBody"/>
        <w:bidi w:val="0"/>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As of July 29, 2024, there were 34,613,853 Class A units outstanding, 42,738,750 Class B units outstanding, 82,829,344 Class C units outstanding, and 41,961,750 Class D units outstanding. There is no public market for the registrant's outstanding units.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574"/>
        <w:gridCol w:w="3123"/>
        <w:gridCol w:w="3135"/>
        <w:gridCol w:w="109"/>
        <w:gridCol w:w="109"/>
        <w:gridCol w:w="155"/>
      </w:tblGrid>
      <w:tr>
        <w:trPr/>
        <w:tc>
          <w:tcPr>
            <w:tcW w:w="3574"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CAUTIONARY STATEMENT REGARDING FORWARD LOOKING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0">
              <w:r>
                <w:rPr>
                  <w:rStyle w:val="InternetLink"/>
                  <w:rFonts w:ascii="Times New Roman;sans-serif" w:hAnsi="Times New Roman;sans-serif"/>
                  <w:b w:val="false"/>
                  <w:color w:val="0000FF"/>
                  <w:sz w:val="20"/>
                  <w:u w:val="singl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GLOSSARY OF TERMS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3">
              <w:r>
                <w:rPr>
                  <w:rStyle w:val="InternetLink"/>
                  <w:rFonts w:ascii="Times New Roman;sans-serif" w:hAnsi="Times New Roman;sans-serif"/>
                  <w:b w:val="false"/>
                  <w:color w:val="0000FF"/>
                  <w:sz w:val="20"/>
                  <w:u w:val="single"/>
                </w:rPr>
                <w:t>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PART I — FINANCIAL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6">
              <w:r>
                <w:rPr>
                  <w:rStyle w:val="InternetLink"/>
                  <w:rFonts w:ascii="Times New Roman;sans-serif" w:hAnsi="Times New Roman;sans-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 — FINANCIAL STATEMENTS AND NOTES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9">
              <w:r>
                <w:rPr>
                  <w:rStyle w:val="InternetLink"/>
                  <w:rFonts w:ascii="Times New Roman;sans-serif" w:hAnsi="Times New Roman;sans-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2 — MANAGEMENT’S DISCUSSION AND ANALYSIS OF FINANCIAL CONDITION AND RESULTS OF OPERATIONS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88">
              <w:r>
                <w:rPr>
                  <w:rStyle w:val="InternetLink"/>
                  <w:rFonts w:ascii="Times New Roman;sans-serif" w:hAnsi="Times New Roman;sans-serif"/>
                  <w:b w:val="false"/>
                  <w:color w:val="0000FF"/>
                  <w:sz w:val="20"/>
                  <w:u w:val="single"/>
                </w:rPr>
                <w:t>32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3 — QUANTITATIVE AND QUALITATIVE DISCLOSURES ABOUT MARKET RISK</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27">
              <w:r>
                <w:rPr>
                  <w:rStyle w:val="InternetLink"/>
                  <w:rFonts w:ascii="Times New Roman;sans-serif" w:hAnsi="Times New Roman;sans-serif"/>
                  <w:b w:val="false"/>
                  <w:color w:val="0000FF"/>
                  <w:sz w:val="20"/>
                  <w:u w:val="single"/>
                </w:rPr>
                <w:t>50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4 — CONTROLS AND PROCEDURES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30">
              <w:r>
                <w:rPr>
                  <w:rStyle w:val="InternetLink"/>
                  <w:rFonts w:ascii="Times New Roman;sans-serif" w:hAnsi="Times New Roman;sans-serif"/>
                  <w:b w:val="false"/>
                  <w:color w:val="0000FF"/>
                  <w:sz w:val="20"/>
                  <w:u w:val="single"/>
                </w:rPr>
                <w:t>51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PART II — OTHER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33">
              <w:r>
                <w:rPr>
                  <w:rStyle w:val="InternetLink"/>
                  <w:rFonts w:ascii="Times New Roman;sans-serif" w:hAnsi="Times New Roman;sans-serif"/>
                  <w:b w:val="false"/>
                  <w:color w:val="0000FF"/>
                  <w:sz w:val="20"/>
                  <w:u w:val="singl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 — LEGAL PROCEEDINGS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36">
              <w:r>
                <w:rPr>
                  <w:rStyle w:val="InternetLink"/>
                  <w:rFonts w:ascii="Times New Roman;sans-serif" w:hAnsi="Times New Roman;sans-serif"/>
                  <w:b w:val="false"/>
                  <w:color w:val="0000FF"/>
                  <w:sz w:val="20"/>
                  <w:u w:val="singl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1A — RISK FACTORS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39">
              <w:r>
                <w:rPr>
                  <w:rStyle w:val="InternetLink"/>
                  <w:rFonts w:ascii="Times New Roman;sans-serif" w:hAnsi="Times New Roman;sans-serif"/>
                  <w:b w:val="false"/>
                  <w:color w:val="0000FF"/>
                  <w:sz w:val="20"/>
                  <w:u w:val="singl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2 — UNREGISTERED SALES OF EQUITY SECURITIES AND USE OF PROCEEDS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42">
              <w:r>
                <w:rPr>
                  <w:rStyle w:val="InternetLink"/>
                  <w:rFonts w:ascii="Times New Roman;sans-serif" w:hAnsi="Times New Roman;sans-serif"/>
                  <w:b w:val="false"/>
                  <w:color w:val="0000FF"/>
                  <w:sz w:val="20"/>
                  <w:u w:val="singl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3 — DEFAULTS UPON SENIOR SECURITIES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45">
              <w:r>
                <w:rPr>
                  <w:rStyle w:val="InternetLink"/>
                  <w:rFonts w:ascii="Times New Roman;sans-serif" w:hAnsi="Times New Roman;sans-serif"/>
                  <w:b w:val="false"/>
                  <w:color w:val="0000FF"/>
                  <w:sz w:val="20"/>
                  <w:u w:val="singl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4 — MINE SAFETY DISCLOSURES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48">
              <w:r>
                <w:rPr>
                  <w:rStyle w:val="InternetLink"/>
                  <w:rFonts w:ascii="Times New Roman;sans-serif" w:hAnsi="Times New Roman;sans-serif"/>
                  <w:b w:val="false"/>
                  <w:color w:val="0000FF"/>
                  <w:sz w:val="20"/>
                  <w:u w:val="singl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5 — OTHER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51">
              <w:r>
                <w:rPr>
                  <w:rStyle w:val="InternetLink"/>
                  <w:rFonts w:ascii="Times New Roman;sans-serif" w:hAnsi="Times New Roman;sans-serif"/>
                  <w:b w:val="false"/>
                  <w:color w:val="0000FF"/>
                  <w:sz w:val="20"/>
                  <w:u w:val="singl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6 — EXHIBITS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54">
              <w:r>
                <w:rPr>
                  <w:rStyle w:val="InternetLink"/>
                  <w:rFonts w:ascii="Times New Roman;sans-serif" w:hAnsi="Times New Roman;sans-serif"/>
                  <w:b w:val="false"/>
                  <w:color w:val="0000FF"/>
                  <w:sz w:val="20"/>
                  <w:u w:val="single"/>
                </w:rPr>
                <w:t>53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SIGNATURES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3d501641e4fecae5784d9ceb36124_157">
              <w:r>
                <w:rPr>
                  <w:rStyle w:val="InternetLink"/>
                  <w:rFonts w:ascii="Times New Roman;sans-serif" w:hAnsi="Times New Roman;sans-serif"/>
                  <w:b w:val="false"/>
                  <w:color w:val="0000FF"/>
                  <w:sz w:val="20"/>
                  <w:u w:val="single"/>
                </w:rPr>
                <w:t>54</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120" w:after="60"/>
        <w:ind w:left="0" w:right="0" w:firstLine="450"/>
        <w:jc w:val="both"/>
        <w:rPr/>
      </w:pPr>
      <w:r>
        <w:rPr>
          <w:rFonts w:ascii="Times New Roman;sans-serif" w:hAnsi="Times New Roman;sans-serif"/>
          <w:b w:val="false"/>
          <w:color w:val="000000"/>
          <w:sz w:val="20"/>
        </w:rPr>
        <w:t>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Part I of the Company’s Annual Report on Form 10-K for the year ended December 31, 2023, as well as the following:</w:t>
      </w:r>
    </w:p>
    <w:p>
      <w:pPr>
        <w:pStyle w:val="TextBody"/>
        <w:bidi w:val="0"/>
        <w:spacing w:lineRule="auto" w:line="288" w:before="120" w:after="60"/>
        <w:ind w:left="0" w:right="0" w:hanging="360"/>
        <w:jc w:val="both"/>
        <w:rPr/>
      </w:pPr>
      <w:r>
        <w:rPr>
          <w:color w:val="000000"/>
        </w:rPr>
        <w:t>•</w:t>
      </w:r>
      <w:r>
        <w:rPr>
          <w:rFonts w:ascii="Times New Roman;sans-serif" w:hAnsi="Times New Roman;sans-serif"/>
          <w:b w:val="false"/>
          <w:color w:val="000000"/>
          <w:sz w:val="20"/>
        </w:rPr>
        <w:t>The Company’s ability to maintain and grow its quarterly distributions;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Potential risks related to the Company's relationships with CEG and its owners;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successfully identify, evaluate and consummate acquisitions from, and dispositions to, third parties;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acquire assets from CEG;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borrow additional funds and access capital markets, as well as the Company’s substantial indebtedness and the possibility that the Company may incur additional indebtedness going forward;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law, including judicial decisions;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operate its businesses efficiently, manage maintenance capital expenditures and costs effectively, and generate earnings and cash flows from its asset-based businesses in relation to its debt and other obligations;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willingness and ability of counterparties to the Company’s offtake agreements to fulfill their obligations under such agreements;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enter into contracts to sell power and procure fuel on acceptable terms and prices;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Government regulation, including compliance with regulatory requirements and changes in market rules, rates, tariffs and environmental laws;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When the following terms and abbreviations appear in the text of this report, they have the meanings indicated below:</w:t>
      </w:r>
    </w:p>
    <w:tbl>
      <w:tblPr>
        <w:tblW w:w="10205" w:type="dxa"/>
        <w:jc w:val="left"/>
        <w:tblInd w:w="0" w:type="dxa"/>
        <w:tblLayout w:type="fixed"/>
        <w:tblCellMar>
          <w:top w:w="28" w:type="dxa"/>
          <w:left w:w="28" w:type="dxa"/>
          <w:bottom w:w="28" w:type="dxa"/>
          <w:right w:w="28" w:type="dxa"/>
        </w:tblCellMar>
      </w:tblPr>
      <w:tblGrid>
        <w:gridCol w:w="646"/>
        <w:gridCol w:w="331"/>
        <w:gridCol w:w="302"/>
        <w:gridCol w:w="3221"/>
        <w:gridCol w:w="2769"/>
        <w:gridCol w:w="2778"/>
        <w:gridCol w:w="158"/>
      </w:tblGrid>
      <w:tr>
        <w:trPr/>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$850 million aggregate principal amount of 4.75% unsecured senior notes due 2028,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$925 million aggregate principal amount of 3.75% unsecured senior notes due 2031,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Senior Notes</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$350 million aggregate principal amount of 3.75% unsecured senior notes due 2032,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8768"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represents earnings before interest (including loss on debt extinguishment), tax, depreciation and amortization adjusted for mark-to-market gains or losses, asset write offs and impairments; and factors which the Company does not consider indicative of future operating performance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FASB Accounting Standards Codification, which the FASB established as the source of authoritative GAAP</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Program</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At-The-Market Equity Offering Program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BESS</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Battery energy storage system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BlackRock </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BlackRock, Inc.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CAFD</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Cash Available for Distribution is defined as of June 30, 2024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Group LLC (formerly Zephyr Renewables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 Master Services Agreement</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Master Services Agreement, dated as of April 30, 2024, among the Company, Clearway, Inc., Clearway Energy Operating LLC and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Inc.</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the holder of the Company’s Class A and Class C units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Group LLC</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all shares of Clearway, Inc.’s Class B and Class D common stock and the Company’s Class B and Class D units and, from time to time, possibly shares of Clearway, Inc.’s Class A and/or Class C common stock</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Operating LLC</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facilities that are owned by the Company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Renew</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Renew LLC, a subsidiary of CEG, and its wholly-owned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 together with its consolidated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CVSR </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California Valley Solar Ranch</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CVSR Holdco </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CVSR Holdco LLC, the indirect owner of CVSR</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Solar</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facilities, typically less than 20 MW in size (on an alternating current, or AC, basis), that primarily sell power produced to customers for usage on site, or are interconnected to sell power into the local distribution grid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Drop Down Assets</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under common control acquired by the Company from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ERCOT</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Electric Reliability Council of Texas, the ISO and the regional reliability coordinator of the various electricity systems within Texas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Exchange Act of 1934, as amended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GenConn</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GenConn Energy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GIM</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Global Infrastructure Management, LLC, the manager of GIP</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GIP</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Global Infrastructure Partners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HLBV</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Hypothetical Liquidation at Book Value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Independent System Operator, also referred to as an RTO</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Mesquite Star</w:t>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Mesquite Star Special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876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1"/>
        <w:gridCol w:w="461"/>
        <w:gridCol w:w="396"/>
        <w:gridCol w:w="3211"/>
        <w:gridCol w:w="2679"/>
        <w:gridCol w:w="2671"/>
        <w:gridCol w:w="156"/>
      </w:tblGrid>
      <w:tr>
        <w:trPr/>
        <w:tc>
          <w:tcPr>
            <w:tcW w:w="6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British Thermal Units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Mt. Storm</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NedPower Mount Storm LLC</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Megawatt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MWh</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Saleable megawatt hours, net of internal/parasitic load megawatt-hours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Holdco</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Natural Gas CA Holdco LLC</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Exposure</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Counterparty credit exposure to Clearway, Inc. net of collateral</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OCI</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PG&amp;E</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Pacific Gas and Electric Company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PJM</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PJM Interconnection, LLC</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 Purchase Agreement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Resource adequacy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RENOM</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Renewable Operation &amp; Maintenance LLC, a wholly-owned subsidiary of CEG</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Rosie Central BESS</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Rosie BESS Devco LLC</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RTO</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Regional Transmission Organization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SCE</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Southern California Edison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 </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Collectively, the 2028 Senior Notes, the 2031 Senior Notes and the 2032 Senior Notes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SPP</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Partners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SREC </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Renewable Energy Credit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TotalEnergies</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TotalEnergies SE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Solar Portfolio</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Seven utility-scale solar farms located in Utah, representing 530 MW of capacity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Scale Solar</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facilities, typically 20 MW or greater in size (on an alternating current, or AC, basis), that are interconnected into the transmission or distribution grid to sell power at a wholesale level</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w:t>
            </w:r>
          </w:p>
        </w:tc>
        <w:tc>
          <w:tcPr>
            <w:tcW w:w="85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Variable Interest Entity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856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168"/>
        <w:gridCol w:w="1782"/>
        <w:gridCol w:w="1793"/>
        <w:gridCol w:w="234"/>
        <w:gridCol w:w="518"/>
        <w:gridCol w:w="120"/>
        <w:gridCol w:w="120"/>
        <w:gridCol w:w="120"/>
        <w:gridCol w:w="120"/>
        <w:gridCol w:w="234"/>
        <w:gridCol w:w="518"/>
        <w:gridCol w:w="120"/>
        <w:gridCol w:w="109"/>
        <w:gridCol w:w="109"/>
        <w:gridCol w:w="109"/>
        <w:gridCol w:w="219"/>
        <w:gridCol w:w="485"/>
        <w:gridCol w:w="113"/>
        <w:gridCol w:w="113"/>
        <w:gridCol w:w="113"/>
        <w:gridCol w:w="113"/>
        <w:gridCol w:w="219"/>
        <w:gridCol w:w="485"/>
        <w:gridCol w:w="171"/>
      </w:tblGrid>
      <w:tr>
        <w:trPr/>
        <w:tc>
          <w:tcPr>
            <w:tcW w:w="216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474747"/>
                <w:sz w:val="20"/>
              </w:rPr>
            </w:pPr>
            <w:r>
              <w:rPr>
                <w:rFonts w:ascii="Times New Roman;sans-serif" w:hAnsi="Times New Roman;sans-serif"/>
                <w:b w:val="false"/>
                <w:color w:val="474747"/>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366 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117 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153 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281 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(55)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(70)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15 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 and redeemable noncontrolling interests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74747"/>
                <w:sz w:val="20"/>
              </w:rPr>
            </w:pPr>
            <w:r>
              <w:rPr>
                <w:rFonts w:ascii="Times New Roman;sans-serif" w:hAnsi="Times New Roman;sans-serif"/>
                <w:b w:val="false"/>
                <w:color w:val="474747"/>
                <w:sz w:val="20"/>
              </w:rPr>
              <w:t>(92)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LLC</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165"/>
        <w:gridCol w:w="1897"/>
        <w:gridCol w:w="1817"/>
        <w:gridCol w:w="230"/>
        <w:gridCol w:w="509"/>
        <w:gridCol w:w="118"/>
        <w:gridCol w:w="118"/>
        <w:gridCol w:w="118"/>
        <w:gridCol w:w="118"/>
        <w:gridCol w:w="230"/>
        <w:gridCol w:w="509"/>
        <w:gridCol w:w="118"/>
        <w:gridCol w:w="109"/>
        <w:gridCol w:w="109"/>
        <w:gridCol w:w="109"/>
        <w:gridCol w:w="227"/>
        <w:gridCol w:w="443"/>
        <w:gridCol w:w="117"/>
        <w:gridCol w:w="117"/>
        <w:gridCol w:w="117"/>
        <w:gridCol w:w="117"/>
        <w:gridCol w:w="227"/>
        <w:gridCol w:w="389"/>
        <w:gridCol w:w="177"/>
      </w:tblGrid>
      <w:tr>
        <w:trPr/>
        <w:tc>
          <w:tcPr>
            <w:tcW w:w="2165"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 and changes in accumulated OCI</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income attributable to noncontrolling interests and redeemable noncontrolling interests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Clearway Energy LLC</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7391" w:type="dxa"/>
        <w:jc w:val="center"/>
        <w:tblInd w:w="0" w:type="dxa"/>
        <w:tblLayout w:type="fixed"/>
        <w:tblCellMar>
          <w:top w:w="28" w:type="dxa"/>
          <w:left w:w="28" w:type="dxa"/>
          <w:bottom w:w="28" w:type="dxa"/>
          <w:right w:w="28" w:type="dxa"/>
        </w:tblCellMar>
      </w:tblPr>
      <w:tblGrid>
        <w:gridCol w:w="1596"/>
        <w:gridCol w:w="1396"/>
        <w:gridCol w:w="1403"/>
        <w:gridCol w:w="228"/>
        <w:gridCol w:w="779"/>
        <w:gridCol w:w="117"/>
        <w:gridCol w:w="109"/>
        <w:gridCol w:w="109"/>
        <w:gridCol w:w="109"/>
        <w:gridCol w:w="300"/>
        <w:gridCol w:w="1026"/>
        <w:gridCol w:w="219"/>
      </w:tblGrid>
      <w:tr>
        <w:trPr/>
        <w:tc>
          <w:tcPr>
            <w:tcW w:w="15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trade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affiliates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instruments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 affiliate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Property, plant and equipment, net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in affiliates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for power purchase agreements,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MEMBERS’ EQUITY</w:t>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 external</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 affiliate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affiliates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instruments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Liabilities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 external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Redeemable noncontrolling interest in subsidiaries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Members’ Equity</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Contributed capital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Members’ Equity</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Members’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267" w:type="dxa"/>
        <w:jc w:val="center"/>
        <w:tblInd w:w="0" w:type="dxa"/>
        <w:tblLayout w:type="fixed"/>
        <w:tblCellMar>
          <w:top w:w="28" w:type="dxa"/>
          <w:left w:w="28" w:type="dxa"/>
          <w:bottom w:w="28" w:type="dxa"/>
          <w:right w:w="28" w:type="dxa"/>
        </w:tblCellMar>
      </w:tblPr>
      <w:tblGrid>
        <w:gridCol w:w="2608"/>
        <w:gridCol w:w="2289"/>
        <w:gridCol w:w="2302"/>
        <w:gridCol w:w="224"/>
        <w:gridCol w:w="496"/>
        <w:gridCol w:w="116"/>
        <w:gridCol w:w="116"/>
        <w:gridCol w:w="116"/>
        <w:gridCol w:w="116"/>
        <w:gridCol w:w="224"/>
        <w:gridCol w:w="496"/>
        <w:gridCol w:w="164"/>
      </w:tblGrid>
      <w:tr>
        <w:trPr/>
        <w:tc>
          <w:tcPr>
            <w:tcW w:w="2608"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provided by operating activities:</w:t>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costs and debt discounts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debt extinguishment </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carrying amount of right-of-use assets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derivative instruments and amortization of accumulated OCI</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changes in other working capital:</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other working capital</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Drop Down Assets, net of cash acquired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unconsolidated affiliates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note receivable — affiliate</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 net of distributions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CEG, net of distributions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distributions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Tax-related distributions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long-term debt — external</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costs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long-term debt — external</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long-term debt — affiliate</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Period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MEMBERS’ EQUITY</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 2024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35"/>
        <w:gridCol w:w="809"/>
        <w:gridCol w:w="803"/>
        <w:gridCol w:w="278"/>
        <w:gridCol w:w="791"/>
        <w:gridCol w:w="156"/>
        <w:gridCol w:w="109"/>
        <w:gridCol w:w="109"/>
        <w:gridCol w:w="109"/>
        <w:gridCol w:w="245"/>
        <w:gridCol w:w="696"/>
        <w:gridCol w:w="136"/>
        <w:gridCol w:w="109"/>
        <w:gridCol w:w="109"/>
        <w:gridCol w:w="109"/>
        <w:gridCol w:w="439"/>
        <w:gridCol w:w="742"/>
        <w:gridCol w:w="246"/>
        <w:gridCol w:w="109"/>
        <w:gridCol w:w="109"/>
        <w:gridCol w:w="109"/>
        <w:gridCol w:w="323"/>
        <w:gridCol w:w="919"/>
        <w:gridCol w:w="181"/>
        <w:gridCol w:w="109"/>
        <w:gridCol w:w="109"/>
        <w:gridCol w:w="109"/>
        <w:gridCol w:w="235"/>
        <w:gridCol w:w="668"/>
        <w:gridCol w:w="195"/>
      </w:tblGrid>
      <w:tr>
        <w:trPr/>
        <w:tc>
          <w:tcPr>
            <w:tcW w:w="10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Contributed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Members’ Equity</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derivatives and changes in accumulated OCI</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Clearway, Inc.</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CEG Class B and Class D unit holders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2024</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CEG, net of distributions, cash</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to noncontrolling interests, net of distributions, cash</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 of contributions, non-cash</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Tax-related distributions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Clearway, Inc.</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CEG Class B and Class D unit holders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2024</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MEMBERS’ EQUITY</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 2023</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30"/>
        <w:gridCol w:w="806"/>
        <w:gridCol w:w="800"/>
        <w:gridCol w:w="279"/>
        <w:gridCol w:w="792"/>
        <w:gridCol w:w="157"/>
        <w:gridCol w:w="109"/>
        <w:gridCol w:w="109"/>
        <w:gridCol w:w="109"/>
        <w:gridCol w:w="245"/>
        <w:gridCol w:w="697"/>
        <w:gridCol w:w="136"/>
        <w:gridCol w:w="109"/>
        <w:gridCol w:w="109"/>
        <w:gridCol w:w="109"/>
        <w:gridCol w:w="440"/>
        <w:gridCol w:w="744"/>
        <w:gridCol w:w="247"/>
        <w:gridCol w:w="109"/>
        <w:gridCol w:w="109"/>
        <w:gridCol w:w="109"/>
        <w:gridCol w:w="324"/>
        <w:gridCol w:w="921"/>
        <w:gridCol w:w="181"/>
        <w:gridCol w:w="109"/>
        <w:gridCol w:w="109"/>
        <w:gridCol w:w="109"/>
        <w:gridCol w:w="236"/>
        <w:gridCol w:w="669"/>
        <w:gridCol w:w="193"/>
      </w:tblGrid>
      <w:tr>
        <w:trPr/>
        <w:tc>
          <w:tcPr>
            <w:tcW w:w="10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Contributed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Members’ Equity</w:t>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derivatives and changes in accumulated OCI</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Contributions from CEG, net of distributions, cash </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Contributions from noncontrolling interests, net of distributions, cash </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Clearway, Inc.</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CEG Class B and Class D unit holders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cash</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 of contributions, cash</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Tax-related distributions </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Clearway, Inc.</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CEG Class B and Class D unit holders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3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ans-serif" w:hAnsi="Times New Roman;sans-serif"/>
          <w:b/>
          <w:color w:val="000000"/>
          <w:sz w:val="20"/>
        </w:rPr>
        <w:t xml:space="preserve">Note 1 — </w:t>
      </w:r>
      <w:r>
        <w:rPr>
          <w:rFonts w:ascii="Times New Roman;sans-serif" w:hAnsi="Times New Roman;sans-serif"/>
          <w:b/>
          <w:i/>
          <w:color w:val="000000"/>
          <w:sz w:val="20"/>
        </w:rPr>
        <w:t>Nature of Business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6,500 net MW of installed wind, solar and battery energy storage system, or BESS, facilities. The Company’s approximately 9,000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Clearway, Inc. owned 58.10% of the economic interests of the Company, with CEG owning 41.90% of the economic interests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summarized structure of the Company as of June 30, 2024:</w:t>
      </w:r>
    </w:p>
    <w:p>
      <w:pPr>
        <w:pStyle w:val="TextBody"/>
        <w:bidi w:val="0"/>
        <w:spacing w:before="0" w:after="0"/>
        <w:jc w:val="both"/>
        <w:rPr/>
      </w:pPr>
      <w:r>
        <w:rPr/>
        <w:drawing>
          <wp:inline distT="0" distB="0" distL="0" distR="0">
            <wp:extent cx="6229350" cy="464820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6229350" cy="4648200"/>
                    </a:xfrm>
                    <a:prstGeom prst="rect">
                      <a:avLst/>
                    </a:prstGeom>
                  </pic:spPr>
                </pic:pic>
              </a:graphicData>
            </a:graphic>
          </wp:inline>
        </w:drawing>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2023 Form 10-K. Interim results are not necessarily indicative of results for a full year.</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interim consolidated financial statements contain all material adjustments consisting of normal and recurring accruals necessary to present fairly the Company’s consolidated financial position as of June 30, 2024, and results of operations, comprehensive income and cash flows for the three and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Summary of Significant Accounting Policies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highly liquid investments with an original maturity of three months or less at the time of purchase. Cash and cash equivalents held at subsidiary facilities was $191 million and $125 million as of June 30, 2024 and December 31, 2023, respectively.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613"/>
        <w:gridCol w:w="2288"/>
        <w:gridCol w:w="2301"/>
        <w:gridCol w:w="302"/>
        <w:gridCol w:w="669"/>
        <w:gridCol w:w="156"/>
        <w:gridCol w:w="109"/>
        <w:gridCol w:w="109"/>
        <w:gridCol w:w="109"/>
        <w:gridCol w:w="332"/>
        <w:gridCol w:w="971"/>
        <w:gridCol w:w="246"/>
      </w:tblGrid>
      <w:tr>
        <w:trPr/>
        <w:tc>
          <w:tcPr>
            <w:tcW w:w="2613"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72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2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shown in the consolidated statements of cash flows</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primarily of funds held to satisfy the requirements of certain debt agreements and funds held within the Company’s facilities that are restricted in their use. As of June 30, 2024, these restricted funds were comprised of $169 million designated to fund operating expenses, $42 million designated for current debt service payments and $89 million restricted for reserves including debt service, performance obligations and other reserves as well as capital expenditures. The remaining $44 million is held in distributions reserve accounts.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Supplemental Cash Flow Information</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disaggregation of the amounts classified as Acquisition of Drop Down Assets, net of cash acquired, shown in the consolidated statements of cash flows:</w:t>
      </w:r>
    </w:p>
    <w:tbl>
      <w:tblPr>
        <w:tblW w:w="7237" w:type="dxa"/>
        <w:jc w:val="left"/>
        <w:tblInd w:w="0" w:type="dxa"/>
        <w:tblLayout w:type="fixed"/>
        <w:tblCellMar>
          <w:top w:w="28" w:type="dxa"/>
          <w:left w:w="28" w:type="dxa"/>
          <w:bottom w:w="28" w:type="dxa"/>
          <w:right w:w="28" w:type="dxa"/>
        </w:tblCellMar>
      </w:tblPr>
      <w:tblGrid>
        <w:gridCol w:w="1700"/>
        <w:gridCol w:w="1491"/>
        <w:gridCol w:w="1504"/>
        <w:gridCol w:w="109"/>
        <w:gridCol w:w="109"/>
        <w:gridCol w:w="109"/>
        <w:gridCol w:w="235"/>
        <w:gridCol w:w="604"/>
        <w:gridCol w:w="121"/>
        <w:gridCol w:w="121"/>
        <w:gridCol w:w="121"/>
        <w:gridCol w:w="121"/>
        <w:gridCol w:w="235"/>
        <w:gridCol w:w="486"/>
        <w:gridCol w:w="171"/>
      </w:tblGrid>
      <w:tr>
        <w:trPr/>
        <w:tc>
          <w:tcPr>
            <w:tcW w:w="170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to acquire Drop Down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the acquisition of Drop Down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Drop Down Assets,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Accumulated Depreciation and Accumulated Amortization</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accumulated depreciation included in property, plant and equipment, net, and accumulated amortization included in intangible assets, net:</w:t>
      </w:r>
    </w:p>
    <w:tbl>
      <w:tblPr>
        <w:tblW w:w="7946" w:type="dxa"/>
        <w:jc w:val="left"/>
        <w:tblInd w:w="0" w:type="dxa"/>
        <w:tblLayout w:type="fixed"/>
        <w:tblCellMar>
          <w:top w:w="28" w:type="dxa"/>
          <w:left w:w="28" w:type="dxa"/>
          <w:bottom w:w="28" w:type="dxa"/>
          <w:right w:w="28" w:type="dxa"/>
        </w:tblCellMar>
      </w:tblPr>
      <w:tblGrid>
        <w:gridCol w:w="1766"/>
        <w:gridCol w:w="1550"/>
        <w:gridCol w:w="1559"/>
        <w:gridCol w:w="260"/>
        <w:gridCol w:w="760"/>
        <w:gridCol w:w="134"/>
        <w:gridCol w:w="109"/>
        <w:gridCol w:w="109"/>
        <w:gridCol w:w="109"/>
        <w:gridCol w:w="342"/>
        <w:gridCol w:w="999"/>
        <w:gridCol w:w="249"/>
      </w:tblGrid>
      <w:tr>
        <w:trPr/>
        <w:tc>
          <w:tcPr>
            <w:tcW w:w="176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Accumulated Depreciation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Accumulated Amortization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distributions paid on the Company's Class A, B, C and D units during the six months ended June 30, 2024:</w:t>
      </w:r>
    </w:p>
    <w:tbl>
      <w:tblPr>
        <w:tblW w:w="7685" w:type="dxa"/>
        <w:jc w:val="left"/>
        <w:tblInd w:w="0" w:type="dxa"/>
        <w:tblLayout w:type="fixed"/>
        <w:tblCellMar>
          <w:top w:w="28" w:type="dxa"/>
          <w:left w:w="28" w:type="dxa"/>
          <w:bottom w:w="28" w:type="dxa"/>
          <w:right w:w="28" w:type="dxa"/>
        </w:tblCellMar>
      </w:tblPr>
      <w:tblGrid>
        <w:gridCol w:w="1267"/>
        <w:gridCol w:w="1111"/>
        <w:gridCol w:w="1117"/>
        <w:gridCol w:w="109"/>
        <w:gridCol w:w="109"/>
        <w:gridCol w:w="109"/>
        <w:gridCol w:w="109"/>
        <w:gridCol w:w="109"/>
        <w:gridCol w:w="109"/>
        <w:gridCol w:w="337"/>
        <w:gridCol w:w="1153"/>
        <w:gridCol w:w="174"/>
        <w:gridCol w:w="109"/>
        <w:gridCol w:w="109"/>
        <w:gridCol w:w="109"/>
        <w:gridCol w:w="300"/>
        <w:gridCol w:w="1026"/>
        <w:gridCol w:w="219"/>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2024</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per Class A, B, C and D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2024, the Company declared a distribution on its Class A, Class B, Class C and Class D units of $0.4171 per unit payable on September 16, 2024 to unit holders of record as of September 3,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the Company’s disaggregation of revenue from contracts with customers along with the reportable segment for each category:</w:t>
      </w:r>
    </w:p>
    <w:tbl>
      <w:tblPr>
        <w:tblW w:w="8521" w:type="dxa"/>
        <w:jc w:val="left"/>
        <w:tblInd w:w="0" w:type="dxa"/>
        <w:tblLayout w:type="fixed"/>
        <w:tblCellMar>
          <w:top w:w="28" w:type="dxa"/>
          <w:left w:w="28" w:type="dxa"/>
          <w:bottom w:w="28" w:type="dxa"/>
          <w:right w:w="28" w:type="dxa"/>
        </w:tblCellMar>
      </w:tblPr>
      <w:tblGrid>
        <w:gridCol w:w="1345"/>
        <w:gridCol w:w="1179"/>
        <w:gridCol w:w="1180"/>
        <w:gridCol w:w="602"/>
        <w:gridCol w:w="1034"/>
        <w:gridCol w:w="314"/>
        <w:gridCol w:w="109"/>
        <w:gridCol w:w="109"/>
        <w:gridCol w:w="109"/>
        <w:gridCol w:w="253"/>
        <w:gridCol w:w="560"/>
        <w:gridCol w:w="133"/>
        <w:gridCol w:w="109"/>
        <w:gridCol w:w="109"/>
        <w:gridCol w:w="109"/>
        <w:gridCol w:w="211"/>
        <w:gridCol w:w="466"/>
        <w:gridCol w:w="109"/>
        <w:gridCol w:w="109"/>
        <w:gridCol w:w="109"/>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Energy revenue </w:t>
            </w:r>
            <w:r>
              <w:rPr>
                <w:rFonts w:ascii="Times New Roman;sans-serif" w:hAnsi="Times New Roman;sans-serif"/>
                <w:b w:val="false"/>
                <w:color w:val="000000"/>
                <w:sz w:val="13"/>
              </w:rPr>
              <w:t>(a)</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Capacity revenue </w:t>
            </w:r>
            <w:r>
              <w:rPr>
                <w:rFonts w:ascii="Times New Roman;sans-serif" w:hAnsi="Times New Roman;sans-serif"/>
                <w:b w:val="false"/>
                <w:color w:val="000000"/>
                <w:sz w:val="13"/>
              </w:rPr>
              <w:t>(a)</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1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amortization</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Mark-to-market for economic hedges</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revenue</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The following amounts of energy and capacity revenues relate to leases and are accounted for under ASC 842:</w:t>
      </w:r>
    </w:p>
    <w:tbl>
      <w:tblPr>
        <w:tblW w:w="5926" w:type="dxa"/>
        <w:jc w:val="left"/>
        <w:tblInd w:w="0" w:type="dxa"/>
        <w:tblLayout w:type="fixed"/>
        <w:tblCellMar>
          <w:top w:w="28" w:type="dxa"/>
          <w:left w:w="28" w:type="dxa"/>
          <w:bottom w:w="28" w:type="dxa"/>
          <w:right w:w="28" w:type="dxa"/>
        </w:tblCellMar>
      </w:tblPr>
      <w:tblGrid>
        <w:gridCol w:w="560"/>
        <w:gridCol w:w="492"/>
        <w:gridCol w:w="493"/>
        <w:gridCol w:w="566"/>
        <w:gridCol w:w="1090"/>
        <w:gridCol w:w="294"/>
        <w:gridCol w:w="109"/>
        <w:gridCol w:w="109"/>
        <w:gridCol w:w="109"/>
        <w:gridCol w:w="253"/>
        <w:gridCol w:w="560"/>
        <w:gridCol w:w="133"/>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21" w:type="dxa"/>
        <w:jc w:val="left"/>
        <w:tblInd w:w="0" w:type="dxa"/>
        <w:tblLayout w:type="fixed"/>
        <w:tblCellMar>
          <w:top w:w="28" w:type="dxa"/>
          <w:left w:w="28" w:type="dxa"/>
          <w:bottom w:w="28" w:type="dxa"/>
          <w:right w:w="28" w:type="dxa"/>
        </w:tblCellMar>
      </w:tblPr>
      <w:tblGrid>
        <w:gridCol w:w="1345"/>
        <w:gridCol w:w="1179"/>
        <w:gridCol w:w="1180"/>
        <w:gridCol w:w="602"/>
        <w:gridCol w:w="1034"/>
        <w:gridCol w:w="314"/>
        <w:gridCol w:w="109"/>
        <w:gridCol w:w="109"/>
        <w:gridCol w:w="109"/>
        <w:gridCol w:w="253"/>
        <w:gridCol w:w="560"/>
        <w:gridCol w:w="133"/>
        <w:gridCol w:w="109"/>
        <w:gridCol w:w="109"/>
        <w:gridCol w:w="109"/>
        <w:gridCol w:w="211"/>
        <w:gridCol w:w="466"/>
        <w:gridCol w:w="109"/>
        <w:gridCol w:w="109"/>
        <w:gridCol w:w="109"/>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Energy revenue </w:t>
            </w:r>
            <w:r>
              <w:rPr>
                <w:rFonts w:ascii="Times New Roman;sans-serif" w:hAnsi="Times New Roman;sans-serif"/>
                <w:b w:val="false"/>
                <w:color w:val="000000"/>
                <w:sz w:val="13"/>
              </w:rPr>
              <w:t>(a)</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Capacity revenue </w:t>
            </w:r>
            <w:r>
              <w:rPr>
                <w:rFonts w:ascii="Times New Roman;sans-serif" w:hAnsi="Times New Roman;sans-serif"/>
                <w:b w:val="false"/>
                <w:color w:val="000000"/>
                <w:sz w:val="13"/>
              </w:rPr>
              <w:t>(a)</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(a)</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1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115 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291 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amortization</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Mark-to-market for economic hedges</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revenue</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The following amounts of energy, capacity and other revenues relate to leases and are accounted for under ASC 842:</w:t>
      </w:r>
    </w:p>
    <w:tbl>
      <w:tblPr>
        <w:tblW w:w="5941" w:type="dxa"/>
        <w:jc w:val="left"/>
        <w:tblInd w:w="0" w:type="dxa"/>
        <w:tblLayout w:type="fixed"/>
        <w:tblCellMar>
          <w:top w:w="28" w:type="dxa"/>
          <w:left w:w="28" w:type="dxa"/>
          <w:bottom w:w="28" w:type="dxa"/>
          <w:right w:w="28" w:type="dxa"/>
        </w:tblCellMar>
      </w:tblPr>
      <w:tblGrid>
        <w:gridCol w:w="565"/>
        <w:gridCol w:w="497"/>
        <w:gridCol w:w="498"/>
        <w:gridCol w:w="523"/>
        <w:gridCol w:w="1155"/>
        <w:gridCol w:w="272"/>
        <w:gridCol w:w="109"/>
        <w:gridCol w:w="109"/>
        <w:gridCol w:w="109"/>
        <w:gridCol w:w="253"/>
        <w:gridCol w:w="560"/>
        <w:gridCol w:w="133"/>
        <w:gridCol w:w="109"/>
        <w:gridCol w:w="109"/>
        <w:gridCol w:w="109"/>
        <w:gridCol w:w="211"/>
        <w:gridCol w:w="46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revenues</w:t>
            </w:r>
            <w:r>
              <w:rPr>
                <w:color w:val="000000"/>
              </w:rPr>
              <w:t xml:space="preserve"> </w:t>
            </w:r>
            <w:r>
              <w:rPr>
                <w:rFonts w:ascii="Times New Roman;sans-serif" w:hAnsi="Times New Roman;sans-serif"/>
                <w:b w:val="false"/>
                <w:color w:val="000000"/>
                <w:sz w:val="13"/>
              </w:rPr>
              <w:t>(b)</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18"/>
        </w:rPr>
        <w:t>Includes sales-type lease revenue recognized for the Marsh Landing Black Start addition that reached commercial operations on May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730" w:type="dxa"/>
        <w:jc w:val="left"/>
        <w:tblInd w:w="0" w:type="dxa"/>
        <w:tblLayout w:type="fixed"/>
        <w:tblCellMar>
          <w:top w:w="28" w:type="dxa"/>
          <w:left w:w="28" w:type="dxa"/>
          <w:bottom w:w="28" w:type="dxa"/>
          <w:right w:w="28" w:type="dxa"/>
        </w:tblCellMar>
      </w:tblPr>
      <w:tblGrid>
        <w:gridCol w:w="1410"/>
        <w:gridCol w:w="1235"/>
        <w:gridCol w:w="1240"/>
        <w:gridCol w:w="523"/>
        <w:gridCol w:w="1155"/>
        <w:gridCol w:w="272"/>
        <w:gridCol w:w="113"/>
        <w:gridCol w:w="113"/>
        <w:gridCol w:w="113"/>
        <w:gridCol w:w="253"/>
        <w:gridCol w:w="560"/>
        <w:gridCol w:w="133"/>
        <w:gridCol w:w="113"/>
        <w:gridCol w:w="113"/>
        <w:gridCol w:w="113"/>
        <w:gridCol w:w="113"/>
        <w:gridCol w:w="109"/>
        <w:gridCol w:w="109"/>
        <w:gridCol w:w="109"/>
        <w:gridCol w:w="211"/>
        <w:gridCol w:w="466"/>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1158"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Energy revenue</w:t>
            </w:r>
            <w:r>
              <w:rPr>
                <w:rFonts w:ascii="Times New Roman;sans-serif" w:hAnsi="Times New Roman;sans-serif"/>
                <w:b w:val="false"/>
                <w:color w:val="000000"/>
                <w:sz w:val="13"/>
              </w:rPr>
              <w:t>(a)</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Capacity revenue</w:t>
            </w:r>
            <w:r>
              <w:rPr>
                <w:rFonts w:ascii="Times New Roman;sans-serif" w:hAnsi="Times New Roman;sans-serif"/>
                <w:b w:val="false"/>
                <w:color w:val="000000"/>
                <w:sz w:val="13"/>
              </w:rPr>
              <w:t>(a)</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1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164 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465 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amortization</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Mark-to-market for economic hedges</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revenue</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(57)</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(444)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108 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176 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The following amounts of energy and capacity revenues relate to leases and are accounted for under ASC 842:</w:t>
      </w:r>
    </w:p>
    <w:tbl>
      <w:tblPr>
        <w:tblW w:w="5926" w:type="dxa"/>
        <w:jc w:val="left"/>
        <w:tblInd w:w="0" w:type="dxa"/>
        <w:tblLayout w:type="fixed"/>
        <w:tblCellMar>
          <w:top w:w="28" w:type="dxa"/>
          <w:left w:w="28" w:type="dxa"/>
          <w:bottom w:w="28" w:type="dxa"/>
          <w:right w:w="28" w:type="dxa"/>
        </w:tblCellMar>
      </w:tblPr>
      <w:tblGrid>
        <w:gridCol w:w="560"/>
        <w:gridCol w:w="492"/>
        <w:gridCol w:w="493"/>
        <w:gridCol w:w="602"/>
        <w:gridCol w:w="1034"/>
        <w:gridCol w:w="314"/>
        <w:gridCol w:w="109"/>
        <w:gridCol w:w="109"/>
        <w:gridCol w:w="109"/>
        <w:gridCol w:w="253"/>
        <w:gridCol w:w="560"/>
        <w:gridCol w:w="133"/>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37" w:type="dxa"/>
        <w:jc w:val="left"/>
        <w:tblInd w:w="0" w:type="dxa"/>
        <w:tblLayout w:type="fixed"/>
        <w:tblCellMar>
          <w:top w:w="28" w:type="dxa"/>
          <w:left w:w="28" w:type="dxa"/>
          <w:bottom w:w="28" w:type="dxa"/>
          <w:right w:w="28" w:type="dxa"/>
        </w:tblCellMar>
      </w:tblPr>
      <w:tblGrid>
        <w:gridCol w:w="1410"/>
        <w:gridCol w:w="1237"/>
        <w:gridCol w:w="1238"/>
        <w:gridCol w:w="602"/>
        <w:gridCol w:w="1034"/>
        <w:gridCol w:w="314"/>
        <w:gridCol w:w="131"/>
        <w:gridCol w:w="131"/>
        <w:gridCol w:w="131"/>
        <w:gridCol w:w="265"/>
        <w:gridCol w:w="588"/>
        <w:gridCol w:w="136"/>
        <w:gridCol w:w="131"/>
        <w:gridCol w:w="131"/>
        <w:gridCol w:w="109"/>
        <w:gridCol w:w="109"/>
        <w:gridCol w:w="109"/>
        <w:gridCol w:w="211"/>
        <w:gridCol w:w="466"/>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158"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Renewables </w:t>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Energy revenue </w:t>
            </w:r>
            <w:r>
              <w:rPr>
                <w:rFonts w:ascii="Times New Roman;sans-serif" w:hAnsi="Times New Roman;sans-serif"/>
                <w:b w:val="false"/>
                <w:color w:val="000000"/>
                <w:sz w:val="13"/>
              </w:rPr>
              <w:t>(a)</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Capacity revenue </w:t>
            </w:r>
            <w:r>
              <w:rPr>
                <w:rFonts w:ascii="Times New Roman;sans-serif" w:hAnsi="Times New Roman;sans-serif"/>
                <w:b w:val="false"/>
                <w:color w:val="000000"/>
                <w:sz w:val="13"/>
              </w:rPr>
              <w:t>(a)</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(a)</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1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amortization</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Mark-to-market for economic hedges</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revenue</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The following amounts of energy, capacity and other revenues relate to leases and are accounted for under ASC 842:</w:t>
      </w:r>
    </w:p>
    <w:tbl>
      <w:tblPr>
        <w:tblW w:w="5941" w:type="dxa"/>
        <w:jc w:val="left"/>
        <w:tblInd w:w="0" w:type="dxa"/>
        <w:tblLayout w:type="fixed"/>
        <w:tblCellMar>
          <w:top w:w="28" w:type="dxa"/>
          <w:left w:w="28" w:type="dxa"/>
          <w:bottom w:w="28" w:type="dxa"/>
          <w:right w:w="28" w:type="dxa"/>
        </w:tblCellMar>
      </w:tblPr>
      <w:tblGrid>
        <w:gridCol w:w="565"/>
        <w:gridCol w:w="497"/>
        <w:gridCol w:w="498"/>
        <w:gridCol w:w="523"/>
        <w:gridCol w:w="1155"/>
        <w:gridCol w:w="272"/>
        <w:gridCol w:w="109"/>
        <w:gridCol w:w="109"/>
        <w:gridCol w:w="109"/>
        <w:gridCol w:w="253"/>
        <w:gridCol w:w="560"/>
        <w:gridCol w:w="133"/>
        <w:gridCol w:w="109"/>
        <w:gridCol w:w="109"/>
        <w:gridCol w:w="109"/>
        <w:gridCol w:w="211"/>
        <w:gridCol w:w="46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revenues</w:t>
            </w:r>
            <w:r>
              <w:rPr>
                <w:color w:val="000000"/>
              </w:rPr>
              <w:t xml:space="preserve"> </w:t>
            </w:r>
            <w:r>
              <w:rPr>
                <w:rFonts w:ascii="Times New Roman;sans-serif" w:hAnsi="Times New Roman;sans-serif"/>
                <w:b w:val="false"/>
                <w:color w:val="000000"/>
                <w:sz w:val="13"/>
              </w:rPr>
              <w:t>(b)</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18"/>
        </w:rPr>
        <w:t>Includes sales-type lease revenue recognized for the Marsh Landing Black Start addition that reached commercial operations on May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contract assets and liabilities included on the Company’s consolidated balance sheets:</w:t>
      </w:r>
    </w:p>
    <w:tbl>
      <w:tblPr>
        <w:tblW w:w="7377" w:type="dxa"/>
        <w:jc w:val="left"/>
        <w:tblInd w:w="0" w:type="dxa"/>
        <w:tblLayout w:type="fixed"/>
        <w:tblCellMar>
          <w:top w:w="28" w:type="dxa"/>
          <w:left w:w="28" w:type="dxa"/>
          <w:bottom w:w="28" w:type="dxa"/>
          <w:right w:w="28" w:type="dxa"/>
        </w:tblCellMar>
      </w:tblPr>
      <w:tblGrid>
        <w:gridCol w:w="1558"/>
        <w:gridCol w:w="1369"/>
        <w:gridCol w:w="1378"/>
        <w:gridCol w:w="310"/>
        <w:gridCol w:w="685"/>
        <w:gridCol w:w="160"/>
        <w:gridCol w:w="109"/>
        <w:gridCol w:w="109"/>
        <w:gridCol w:w="109"/>
        <w:gridCol w:w="402"/>
        <w:gridCol w:w="891"/>
        <w:gridCol w:w="297"/>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 Contracts with customers</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 Leases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pPr>
      <w:r>
        <w:rPr>
          <w:rFonts w:ascii="Times New Roman;sans-serif" w:hAnsi="Times New Roman;sans-serif"/>
          <w:b/>
          <w:color w:val="000000"/>
          <w:sz w:val="20"/>
        </w:rPr>
        <w:t xml:space="preserve">Note 3 — </w:t>
      </w:r>
      <w:r>
        <w:rPr>
          <w:rFonts w:ascii="Times New Roman;sans-serif" w:hAnsi="Times New Roman;sans-serif"/>
          <w:b/>
          <w:i/>
          <w:color w:val="000000"/>
          <w:sz w:val="20"/>
        </w:rPr>
        <w:t>Acquisitions</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Cedar Creek Drop Down — </w:t>
      </w:r>
      <w:r>
        <w:rPr>
          <w:rFonts w:ascii="Times New Roman;sans-serif" w:hAnsi="Times New Roman;sans-serif"/>
          <w:b w:val="false"/>
          <w:color w:val="000000"/>
          <w:sz w:val="20"/>
        </w:rPr>
        <w:t xml:space="preserve">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as further described in Note 4,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xml:space="preserve">. Cedar Creek has a 25-year PPA with an investment-grade utility that commenced in March 2024. The Cedar Creek operations are reflected in the Company’s Renewables segment and the acquisition was funded with existing sources of liquidity. The acquisition was determined to be an asset acquisition and the Company consolidates Cedar Creek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difference between the cash paid of $117 million and the historical cost of the Company’s net assets acquired of $17 million was recorded as an adjustment to contributed capital. In addition, the Company reflected the entire $117 million of the Company’s purchase price, which was contributed back to the Company by CEG to pay down the acquired long-term debt, in the line item contributions from CEG, net of distributions in the consolidated statements of members’ equity.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April 16, 2024:</w:t>
      </w:r>
    </w:p>
    <w:tbl>
      <w:tblPr>
        <w:tblW w:w="4812" w:type="dxa"/>
        <w:jc w:val="left"/>
        <w:tblInd w:w="0" w:type="dxa"/>
        <w:tblLayout w:type="fixed"/>
        <w:tblCellMar>
          <w:top w:w="28" w:type="dxa"/>
          <w:left w:w="28" w:type="dxa"/>
          <w:bottom w:w="28" w:type="dxa"/>
          <w:right w:w="28" w:type="dxa"/>
        </w:tblCellMar>
      </w:tblPr>
      <w:tblGrid>
        <w:gridCol w:w="1209"/>
        <w:gridCol w:w="1066"/>
        <w:gridCol w:w="1070"/>
        <w:gridCol w:w="109"/>
        <w:gridCol w:w="109"/>
        <w:gridCol w:w="109"/>
        <w:gridCol w:w="331"/>
        <w:gridCol w:w="567"/>
        <w:gridCol w:w="242"/>
      </w:tblGrid>
      <w:tr>
        <w:trP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Cedar Creek</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Includes a $112 million</w:t>
      </w:r>
      <w:r>
        <w:rPr>
          <w:color w:val="000000"/>
        </w:rPr>
        <w:t xml:space="preserve"> </w:t>
      </w:r>
      <w:r>
        <w:rPr>
          <w:rFonts w:ascii="Times New Roman;sans-serif" w:hAnsi="Times New Roman;sans-serif"/>
          <w:b w:val="false"/>
          <w:color w:val="000000"/>
          <w:sz w:val="16"/>
        </w:rPr>
        <w:t>construction loan, a $91 million cash equity bridge loan, and a $109 million tax equity bridge loan, offset by $3 million</w:t>
      </w:r>
      <w:r>
        <w:rPr>
          <w:color w:val="000000"/>
        </w:rPr>
        <w:t xml:space="preserve"> </w:t>
      </w:r>
      <w:r>
        <w:rPr>
          <w:rFonts w:ascii="Times New Roman;sans-serif" w:hAnsi="Times New Roman;sans-serif"/>
          <w:b w:val="false"/>
          <w:color w:val="000000"/>
          <w:sz w:val="16"/>
        </w:rPr>
        <w:t xml:space="preserve">in unamortized debt issuance costs. See Note 7,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Texas Solar Nova 2 Drop Down — </w:t>
      </w:r>
      <w:r>
        <w:rPr>
          <w:rFonts w:ascii="Times New Roman;sans-serif" w:hAnsi="Times New Roman;sans-serif"/>
          <w:b w:val="false"/>
          <w:color w:val="000000"/>
          <w:sz w:val="20"/>
        </w:rPr>
        <w:t xml:space="preserve">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as further described in Note 4, </w:t>
      </w:r>
      <w:r>
        <w:rPr>
          <w:rFonts w:ascii="Times New Roman;sans-serif" w:hAnsi="Times New Roman;sans-serif"/>
          <w:b w:val="false"/>
          <w:i/>
          <w:color w:val="000000"/>
          <w:sz w:val="20"/>
        </w:rPr>
        <w:t>Investments Accounted for by the Equity Method and Variable Interest Entities.</w:t>
      </w:r>
      <w:r>
        <w:rPr>
          <w:color w:val="000000"/>
        </w:rPr>
        <w:t xml:space="preserve"> </w:t>
      </w:r>
      <w:r>
        <w:rPr>
          <w:rFonts w:ascii="Times New Roman;sans-serif" w:hAnsi="Times New Roman;sans-serif"/>
          <w:b w:val="false"/>
          <w:color w:val="000000"/>
          <w:sz w:val="20"/>
        </w:rPr>
        <w:t xml:space="preserve">Texas Solar Nova 2 has an 18-year PPA with an investment-grade counterparty that commenced in February 2024. The Texas Solar Nova 2 operations are reflected in the Company’s Renewables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difference between the cash paid of $112 million and the historical cost of the Company’s net assets acquired of $72 million was recorded as an adjustment to contributed capital. In addition, the Company reflected $9 million of the Company’s purchase price, which was contributed back to the Company by CEG to pay down the acquired long-term debt, in the line item distributions to CEG, net of contributions in the consolidated statements of members’ equity.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March 15, 2024:</w:t>
      </w:r>
    </w:p>
    <w:tbl>
      <w:tblPr>
        <w:tblW w:w="5307" w:type="dxa"/>
        <w:jc w:val="left"/>
        <w:tblInd w:w="0" w:type="dxa"/>
        <w:tblLayout w:type="fixed"/>
        <w:tblCellMar>
          <w:top w:w="28" w:type="dxa"/>
          <w:left w:w="28" w:type="dxa"/>
          <w:bottom w:w="28" w:type="dxa"/>
          <w:right w:w="28" w:type="dxa"/>
        </w:tblCellMar>
      </w:tblPr>
      <w:tblGrid>
        <w:gridCol w:w="1209"/>
        <w:gridCol w:w="1066"/>
        <w:gridCol w:w="1070"/>
        <w:gridCol w:w="109"/>
        <w:gridCol w:w="109"/>
        <w:gridCol w:w="109"/>
        <w:gridCol w:w="475"/>
        <w:gridCol w:w="813"/>
        <w:gridCol w:w="347"/>
      </w:tblGrid>
      <w:tr>
        <w:trP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Texas Solar Nova 2</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an $80 million term loan and a $115 million tax equity bridge loan, offset by $1 million in unamortized debt issuance costs. See Note 7,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ans-serif" w:hAnsi="Times New Roman;sans-serif"/>
          <w:b/>
          <w:color w:val="000000"/>
          <w:sz w:val="20"/>
        </w:rPr>
        <w:t xml:space="preserve">Note 4 — </w:t>
      </w:r>
      <w:r>
        <w:rPr>
          <w:rFonts w:ascii="Times New Roman;sans-serif" w:hAnsi="Times New Roman;sans-serif"/>
          <w:b/>
          <w:i/>
          <w:color w:val="000000"/>
          <w:sz w:val="20"/>
        </w:rPr>
        <w:t>Investments Accounted for by the Equity Method and Variable Interest Entities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Entities that are not Consolidated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w:t>
      </w:r>
      <w:r>
        <w:rPr>
          <w:color w:val="000000"/>
        </w:rPr>
        <w:t xml:space="preserve"> </w:t>
      </w:r>
      <w:r>
        <w:rPr>
          <w:rFonts w:ascii="Times New Roman;sans-serif" w:hAnsi="Times New Roman;sans-serif"/>
          <w:b w:val="false"/>
          <w:i/>
          <w:color w:val="000000"/>
          <w:sz w:val="20"/>
        </w:rPr>
        <w:t xml:space="preserve">Investments Accounted for by the Equity Method and Variable Interest Entities, </w:t>
      </w:r>
      <w:r>
        <w:rPr>
          <w:rFonts w:ascii="Times New Roman;sans-serif" w:hAnsi="Times New Roman;sans-serif"/>
          <w:b w:val="false"/>
          <w:color w:val="231F20"/>
          <w:sz w:val="20"/>
        </w:rPr>
        <w:t xml:space="preserve">to the consolidated financial statements included in the Company’s </w:t>
      </w:r>
      <w:r>
        <w:rPr>
          <w:rFonts w:ascii="Times New Roman;sans-serif" w:hAnsi="Times New Roman;sans-serif"/>
          <w:b w:val="false"/>
          <w:color w:val="000000"/>
          <w:sz w:val="20"/>
        </w:rPr>
        <w:t>2023</w:t>
      </w:r>
      <w:r>
        <w:rPr>
          <w:color w:val="231F20"/>
        </w:rPr>
        <w:t xml:space="preserve"> </w:t>
      </w:r>
      <w:r>
        <w:rPr>
          <w:rFonts w:ascii="Times New Roman;sans-serif" w:hAnsi="Times New Roman;sans-serif"/>
          <w:b w:val="false"/>
          <w:color w:val="231F20"/>
          <w:sz w:val="20"/>
        </w:rPr>
        <w:t>Form 10</w:t>
      </w:r>
      <w:r>
        <w:rPr>
          <w:rFonts w:ascii="Times New Roman;sans-serif" w:hAnsi="Times New Roman;sans-serif"/>
          <w:b w:val="false"/>
          <w:color w:val="000000"/>
          <w:sz w:val="20"/>
        </w:rPr>
        <w:t>-K.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Company’s equity investments in unconsolidated affiliates as of June 30, 2024:</w:t>
      </w:r>
    </w:p>
    <w:tbl>
      <w:tblPr>
        <w:tblW w:w="4754" w:type="dxa"/>
        <w:jc w:val="left"/>
        <w:tblInd w:w="0" w:type="dxa"/>
        <w:tblLayout w:type="fixed"/>
        <w:tblCellMar>
          <w:top w:w="28" w:type="dxa"/>
          <w:left w:w="28" w:type="dxa"/>
          <w:bottom w:w="28" w:type="dxa"/>
          <w:right w:w="28" w:type="dxa"/>
        </w:tblCellMar>
      </w:tblPr>
      <w:tblGrid>
        <w:gridCol w:w="498"/>
        <w:gridCol w:w="434"/>
        <w:gridCol w:w="448"/>
        <w:gridCol w:w="499"/>
        <w:gridCol w:w="499"/>
        <w:gridCol w:w="501"/>
        <w:gridCol w:w="475"/>
        <w:gridCol w:w="1051"/>
        <w:gridCol w:w="349"/>
      </w:tblGrid>
      <w:tr>
        <w:trPr/>
        <w:tc>
          <w:tcPr>
            <w:tcW w:w="49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Economic Interest</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Investment Balance </w:t>
            </w:r>
            <w:r>
              <w:rPr>
                <w:rFonts w:ascii="Times New Roman;sans-serif" w:hAnsi="Times New Roman;sans-serif"/>
                <w:b/>
                <w:color w:val="000000"/>
                <w:sz w:val="13"/>
              </w:rPr>
              <w:t>(a)</w:t>
            </w:r>
          </w:p>
        </w:tc>
      </w:tr>
      <w:tr>
        <w:trPr/>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Avenal</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Desert Sunlight</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Elkhorn Ridge</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GenConn </w:t>
            </w:r>
            <w:r>
              <w:rPr>
                <w:rFonts w:ascii="Times New Roman;sans-serif" w:hAnsi="Times New Roman;sans-serif"/>
                <w:b w:val="false"/>
                <w:color w:val="000000"/>
                <w:sz w:val="13"/>
              </w:rPr>
              <w:t>(b)</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Juan Mesa</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The Company’s maximum exposure to loss is limited to its investment balances.</w:t>
      </w:r>
    </w:p>
    <w:p>
      <w:pPr>
        <w:pStyle w:val="TextBody"/>
        <w:bidi w:val="0"/>
        <w:spacing w:lineRule="auto" w:line="288" w:before="0" w:after="18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8"/>
        </w:rPr>
        <w:t>GenConn is a VIE.</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Rosie Central BESS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June 13, 2024, when the Rosamond Central BESS facility reached substantial completion, Clearway Renew redeemed Rosie Class B LLC’s entire investment of $28 million in Rosie Central BESS that was accounted for as an equity method investment, as further discussed in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Rosie Class B LLC’s equity investment in Rosie Central BESS was comprised of contributions from the Company and the cash equity investor in Rosie TargetCo LLC during the year ended December 31, 2023.</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Entities that are Consolidated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As further described under Item 15 — Note 5,</w:t>
      </w:r>
      <w:r>
        <w:rPr>
          <w:color w:val="000000"/>
        </w:rPr>
        <w:t xml:space="preserve"> </w:t>
      </w:r>
      <w:r>
        <w:rPr>
          <w:rFonts w:ascii="Times New Roman;sans-serif" w:hAnsi="Times New Roman;sans-serif"/>
          <w:b w:val="false"/>
          <w:i/>
          <w:color w:val="000000"/>
          <w:sz w:val="20"/>
        </w:rPr>
        <w:t xml:space="preserve">Investments Accounted for by the Equity Method and Variable Interest Entities, </w:t>
      </w:r>
      <w:r>
        <w:rPr>
          <w:rFonts w:ascii="Times New Roman;sans-serif" w:hAnsi="Times New Roman;sans-serif"/>
          <w:b w:val="false"/>
          <w:color w:val="000000"/>
          <w:sz w:val="20"/>
        </w:rPr>
        <w:t xml:space="preserve">to the consolidated financial statements included in the Company’s 2023 Form 10-K, the Company has a controlling financial interest in certain entities which have been identified as VIEs under ASC 810, </w:t>
      </w:r>
      <w:r>
        <w:rPr>
          <w:rFonts w:ascii="Times New Roman;sans-serif" w:hAnsi="Times New Roman;sans-serif"/>
          <w:b w:val="false"/>
          <w:i/>
          <w:color w:val="000000"/>
          <w:sz w:val="20"/>
        </w:rPr>
        <w:t>Consolidations</w:t>
      </w:r>
      <w:r>
        <w:rPr>
          <w:rFonts w:ascii="Times New Roman;sans-serif" w:hAnsi="Times New Roman;sans-serif"/>
          <w:b w:val="false"/>
          <w:color w:val="000000"/>
          <w:sz w:val="20"/>
        </w:rPr>
        <w:t xml:space="preserve">,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significant activity during the six months ended June 30, 2024 related to the Company’s consolidated VIEs: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Cedar Creek TE Holdco LLC</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on April 16, 2024, the Company, through its indirect subsidiary, Cedar Creek Wind Holdco LLC, acquired Cedar Creek Holdco LLC. Cedar Creek Holdco LLC consolidates as primary beneficiary, Cedar Creek TE Holdco LLC, a tax equity fund that owns the Cedar Creek wind facility. The Class A membership interests in Cedar Creek TE Holdco LLC are held by a tax equity investor and are reflected as noncontrolling interest on the Company’s consolidated balance sheet.</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Lighthouse Renewable Holdco 2 LLC</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on March 15, 2024, TSN1 TE Holdco LLC, an indirect subsidiary of the Company, acquired Texas Solar Nova 2. The Company, through Lighthouse Renewable Holdco 2 LLC, a partnership, consolidates TSN1 TE Holdco LLC, a tax equity fund that owns Texas Solar Nova 1 and Texas Solar Nova 2. The Company recorded the noncontrolling interest of the cash equity investor in Lighthouse Renewable Holdco 2 LLC at historical carrying amount, with the offset to contributed capital. The Class A membership interests in TSN1 TE Holdco LLC are held by a tax equity investor and are reflected as noncontrolling interest on the Company’s consolidated balance sheet.</w:t>
      </w:r>
    </w:p>
    <w:p>
      <w:pPr>
        <w:pStyle w:val="TextBody"/>
        <w:bidi w:val="0"/>
        <w:spacing w:before="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Daggett Renewable Holdco LLC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2024, the Company and the cash equity investor in Daggett Renewable HoldCo LLC and Daggett 2 TargetCo LLC, the indirect owner of the Daggett 2 solar and BESS facility, agreed to transfer Daggett 2 TargetCo LLC to Daggett Renewable Holdco LLC. As the transfer was among entities under common control, the transaction was recognized at historical cost and no gain or loss was recognized.</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for the Company’s consolidated VIEs consisted of the following as of June 30, 2024:</w:t>
      </w:r>
    </w:p>
    <w:tbl>
      <w:tblPr>
        <w:tblW w:w="10205" w:type="dxa"/>
        <w:jc w:val="left"/>
        <w:tblInd w:w="0" w:type="dxa"/>
        <w:tblLayout w:type="fixed"/>
        <w:tblCellMar>
          <w:top w:w="28" w:type="dxa"/>
          <w:left w:w="28" w:type="dxa"/>
          <w:bottom w:w="28" w:type="dxa"/>
          <w:right w:w="28" w:type="dxa"/>
        </w:tblCellMar>
      </w:tblPr>
      <w:tblGrid>
        <w:gridCol w:w="827"/>
        <w:gridCol w:w="527"/>
        <w:gridCol w:w="530"/>
        <w:gridCol w:w="275"/>
        <w:gridCol w:w="609"/>
        <w:gridCol w:w="142"/>
        <w:gridCol w:w="109"/>
        <w:gridCol w:w="109"/>
        <w:gridCol w:w="109"/>
        <w:gridCol w:w="288"/>
        <w:gridCol w:w="636"/>
        <w:gridCol w:w="148"/>
        <w:gridCol w:w="109"/>
        <w:gridCol w:w="109"/>
        <w:gridCol w:w="109"/>
        <w:gridCol w:w="315"/>
        <w:gridCol w:w="696"/>
        <w:gridCol w:w="162"/>
        <w:gridCol w:w="109"/>
        <w:gridCol w:w="109"/>
        <w:gridCol w:w="109"/>
        <w:gridCol w:w="229"/>
        <w:gridCol w:w="507"/>
        <w:gridCol w:w="118"/>
        <w:gridCol w:w="109"/>
        <w:gridCol w:w="109"/>
        <w:gridCol w:w="109"/>
        <w:gridCol w:w="379"/>
        <w:gridCol w:w="651"/>
        <w:gridCol w:w="198"/>
        <w:gridCol w:w="109"/>
        <w:gridCol w:w="109"/>
        <w:gridCol w:w="109"/>
        <w:gridCol w:w="336"/>
        <w:gridCol w:w="742"/>
        <w:gridCol w:w="255"/>
      </w:tblGrid>
      <w:tr>
        <w:trPr/>
        <w:tc>
          <w:tcPr>
            <w:tcW w:w="8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Buckthorn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Cedar Creek 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Daggett Renewable Holdco LLC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DGPV Funds </w:t>
            </w:r>
            <w:r>
              <w:rPr>
                <w:rFonts w:ascii="Times New Roman;sans-serif" w:hAnsi="Times New Roman;sans-serif"/>
                <w:b/>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Lighthouse Renewable Holdco LLC </w:t>
            </w:r>
            <w:r>
              <w:rPr>
                <w:rFonts w:ascii="Times New Roman;sans-serif" w:hAnsi="Times New Roman;sans-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14"/>
              </w:rPr>
              <w:t xml:space="preserve">Lighthouse Renewable Holdco 2 LLC </w:t>
            </w:r>
            <w:r>
              <w:rPr>
                <w:rFonts w:ascii="Times New Roman;sans-serif" w:hAnsi="Times New Roman;sans-serif"/>
                <w:b/>
                <w:color w:val="000000"/>
                <w:sz w:val="12"/>
              </w:rPr>
              <w:t>(d)</w:t>
            </w:r>
            <w:r>
              <w:rPr>
                <w:color w:val="000000"/>
              </w:rPr>
              <w:t xml:space="preserve"> </w:t>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2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less noncontrolling interest</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Daggett Renewable Holdco LLC consolidates Daggett TE Holdco LLC and Daggett 2 TE Holdco LLC, which are consolidated VIEs.</w:t>
      </w:r>
    </w:p>
    <w:p>
      <w:pPr>
        <w:pStyle w:val="TextBody"/>
        <w:bidi w:val="0"/>
        <w:spacing w:lineRule="auto" w:line="288" w:before="0" w:after="4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DGPV Funds is comprised of Clearway &amp; EFS Distributed Solar LLC, Golden Puma Fund LLC, Renew Solar CS4 Fund LLC and Chestnut Fund LLC, which are all tax equity funds.</w:t>
      </w:r>
    </w:p>
    <w:p>
      <w:pPr>
        <w:pStyle w:val="TextBody"/>
        <w:bidi w:val="0"/>
        <w:spacing w:lineRule="auto" w:line="288" w:before="0" w:after="40"/>
        <w:jc w:val="both"/>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6"/>
        </w:rPr>
        <w:t>Lighthouse Renewable Holdco LLC consolidates Black Rock TE Holdco LLC and Mililani TE Holdco LLC, which are consolidated VIEs.</w:t>
      </w:r>
    </w:p>
    <w:p>
      <w:pPr>
        <w:pStyle w:val="TextBody"/>
        <w:bidi w:val="0"/>
        <w:spacing w:lineRule="auto" w:line="288" w:before="0" w:after="180"/>
        <w:jc w:val="left"/>
        <w:rPr/>
      </w:pPr>
      <w:r>
        <w:rPr>
          <w:rFonts w:ascii="Times New Roman;sans-serif" w:hAnsi="Times New Roman;sans-serif"/>
          <w:b w:val="false"/>
          <w:color w:val="000000"/>
          <w:sz w:val="13"/>
        </w:rPr>
        <w:t>(d)</w:t>
      </w:r>
      <w:r>
        <w:rPr>
          <w:color w:val="000000"/>
        </w:rPr>
        <w:t xml:space="preserve"> </w:t>
      </w:r>
      <w:r>
        <w:rPr>
          <w:rFonts w:ascii="Times New Roman;sans-serif" w:hAnsi="Times New Roman;sans-serif"/>
          <w:b w:val="false"/>
          <w:color w:val="000000"/>
          <w:sz w:val="16"/>
        </w:rPr>
        <w:t>Lighthouse Renewable Holdco 2 LLC consolidates Mesquite Sky TE Holdco LLC, Mesquite Star Tax Equity Holdco LLC and TSN1 TE Holdco LLC, which are consolidated VIEs.</w:t>
      </w:r>
    </w:p>
    <w:tbl>
      <w:tblPr>
        <w:tblW w:w="10205" w:type="dxa"/>
        <w:jc w:val="left"/>
        <w:tblInd w:w="0" w:type="dxa"/>
        <w:tblLayout w:type="fixed"/>
        <w:tblCellMar>
          <w:top w:w="28" w:type="dxa"/>
          <w:left w:w="28" w:type="dxa"/>
          <w:bottom w:w="28" w:type="dxa"/>
          <w:right w:w="28" w:type="dxa"/>
        </w:tblCellMar>
      </w:tblPr>
      <w:tblGrid>
        <w:gridCol w:w="910"/>
        <w:gridCol w:w="651"/>
        <w:gridCol w:w="654"/>
        <w:gridCol w:w="249"/>
        <w:gridCol w:w="550"/>
        <w:gridCol w:w="128"/>
        <w:gridCol w:w="109"/>
        <w:gridCol w:w="109"/>
        <w:gridCol w:w="109"/>
        <w:gridCol w:w="390"/>
        <w:gridCol w:w="668"/>
        <w:gridCol w:w="203"/>
        <w:gridCol w:w="109"/>
        <w:gridCol w:w="109"/>
        <w:gridCol w:w="109"/>
        <w:gridCol w:w="304"/>
        <w:gridCol w:w="522"/>
        <w:gridCol w:w="157"/>
        <w:gridCol w:w="109"/>
        <w:gridCol w:w="109"/>
        <w:gridCol w:w="109"/>
        <w:gridCol w:w="328"/>
        <w:gridCol w:w="724"/>
        <w:gridCol w:w="169"/>
        <w:gridCol w:w="109"/>
        <w:gridCol w:w="109"/>
        <w:gridCol w:w="109"/>
        <w:gridCol w:w="329"/>
        <w:gridCol w:w="728"/>
        <w:gridCol w:w="170"/>
        <w:gridCol w:w="109"/>
        <w:gridCol w:w="109"/>
        <w:gridCol w:w="109"/>
        <w:gridCol w:w="211"/>
        <w:gridCol w:w="361"/>
        <w:gridCol w:w="164"/>
      </w:tblGrid>
      <w:tr>
        <w:trPr/>
        <w:tc>
          <w:tcPr>
            <w:tcW w:w="91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Oahu Solar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Rattlesnake 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Rosie TargetCo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VP-Arica TargetCo LLC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Wildorado 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14"/>
              </w:rPr>
              <w:t>Other</w:t>
            </w:r>
            <w:r>
              <w:rPr>
                <w:color w:val="000000"/>
              </w:rPr>
              <w:t xml:space="preserve"> </w:t>
            </w:r>
            <w:r>
              <w:rPr>
                <w:rFonts w:ascii="Times New Roman;sans-serif" w:hAnsi="Times New Roman;sans-serif"/>
                <w:b/>
                <w:color w:val="000000"/>
                <w:sz w:val="12"/>
              </w:rPr>
              <w:t>(b)</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less noncontrolling interest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VP-Arica TargetCo LLC consolidates VP-Arica TE Holdco LLC, a consolidated VIE that owns the Victory Pass and Arica solar and BESS facilities.</w:t>
      </w:r>
    </w:p>
    <w:p>
      <w:pPr>
        <w:pStyle w:val="TextBody"/>
        <w:bidi w:val="0"/>
        <w:spacing w:lineRule="auto" w:line="288" w:before="60" w:after="6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Other is comprised of Elbow Creek TE Holdco LLC, Langford TE Partnership LLC, Pinnacle Repowering TE Holdco LLC and the Spring Canyon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both"/>
        <w:rPr/>
      </w:pPr>
      <w:r>
        <w:rPr>
          <w:rFonts w:ascii="Times New Roman;sans-serif" w:hAnsi="Times New Roman;sans-serif"/>
          <w:b/>
          <w:color w:val="000000"/>
          <w:sz w:val="20"/>
        </w:rPr>
        <w:t xml:space="preserve">Note 5 — </w:t>
      </w:r>
      <w:r>
        <w:rPr>
          <w:rFonts w:ascii="Times New Roman;sans-serif" w:hAnsi="Times New Roman;sans-serif"/>
          <w:b/>
          <w:i/>
          <w:color w:val="000000"/>
          <w:sz w:val="20"/>
        </w:rPr>
        <w:t>Fair Value of Financial Instruments</w:t>
      </w:r>
      <w:r>
        <w:rPr>
          <w:color w:val="000000"/>
        </w:rPr>
        <w:t xml:space="preserv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Accounting under ASC 820</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ASC 820 establishes a fair value hierarchy that prioritizes the inputs to valuation techniques used to measure fair value into three levels as follows:</w:t>
      </w:r>
    </w:p>
    <w:p>
      <w:pPr>
        <w:pStyle w:val="TextBody"/>
        <w:bidi w:val="0"/>
        <w:spacing w:lineRule="auto" w:line="288" w:before="0" w:after="60"/>
        <w:ind w:left="0" w:right="0" w:hanging="270"/>
        <w:jc w:val="both"/>
        <w:rPr/>
      </w:pPr>
      <w:r>
        <w:rPr>
          <w:color w:val="000000"/>
        </w:rPr>
        <w:t>•</w:t>
      </w:r>
      <w:r>
        <w:rPr>
          <w:rFonts w:ascii="Times New Roman;sans-serif" w:hAnsi="Times New Roman;sans-serif"/>
          <w:b w:val="false"/>
          <w:color w:val="000000"/>
          <w:sz w:val="20"/>
        </w:rPr>
        <w:t>Level 1—quoted prices (unadjusted) in active markets for identical assets or liabilities that the Company has the ability to access as of the measurement date.</w:t>
      </w:r>
    </w:p>
    <w:p>
      <w:pPr>
        <w:pStyle w:val="TextBody"/>
        <w:bidi w:val="0"/>
        <w:spacing w:lineRule="auto" w:line="288" w:before="0" w:after="60"/>
        <w:ind w:left="0" w:right="0" w:hanging="270"/>
        <w:jc w:val="both"/>
        <w:rPr/>
      </w:pPr>
      <w:r>
        <w:rPr>
          <w:color w:val="000000"/>
        </w:rPr>
        <w:t>•</w:t>
      </w:r>
      <w:r>
        <w:rPr>
          <w:rFonts w:ascii="Times New Roman;sans-serif" w:hAnsi="Times New Roman;sans-serif"/>
          <w:b w:val="false"/>
          <w:color w:val="000000"/>
          <w:sz w:val="20"/>
        </w:rPr>
        <w:t>Level 2—inputs other than quoted prices included within Level 1 that are directly observable for the asset or liability or indirectly observable through corroboration with observable market data.</w:t>
      </w:r>
    </w:p>
    <w:p>
      <w:pPr>
        <w:pStyle w:val="TextBody"/>
        <w:bidi w:val="0"/>
        <w:spacing w:lineRule="auto" w:line="288" w:before="0" w:after="180"/>
        <w:ind w:left="0" w:right="0" w:hanging="270"/>
        <w:jc w:val="both"/>
        <w:rPr/>
      </w:pPr>
      <w:r>
        <w:rPr>
          <w:color w:val="000000"/>
        </w:rPr>
        <w:t>•</w:t>
      </w:r>
      <w:r>
        <w:rPr>
          <w:rFonts w:ascii="Times New Roman;sans-serif" w:hAnsi="Times New Roman;sans-serif"/>
          <w:b w:val="false"/>
          <w:color w:val="000000"/>
          <w:sz w:val="20"/>
        </w:rPr>
        <w:t>Level 3—unobservable inputs for the asset or liability only used when there is little, if any, market activity for the asset or liability at the measurement date.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820, the Company determines the level in the fair value hierarchy within which each fair value measurement in its entirety falls, based on the lowest level input that is significant to the fair value measurement.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and estimated fair value of the Company’s recorded financial instrument not carried at fair market value or that does not approximate fair value is as follows:</w:t>
      </w:r>
    </w:p>
    <w:tbl>
      <w:tblPr>
        <w:tblW w:w="10205" w:type="dxa"/>
        <w:jc w:val="left"/>
        <w:tblInd w:w="0" w:type="dxa"/>
        <w:tblLayout w:type="fixed"/>
        <w:tblCellMar>
          <w:top w:w="28" w:type="dxa"/>
          <w:left w:w="28" w:type="dxa"/>
          <w:bottom w:w="28" w:type="dxa"/>
          <w:right w:w="28" w:type="dxa"/>
        </w:tblCellMar>
      </w:tblPr>
      <w:tblGrid>
        <w:gridCol w:w="1649"/>
        <w:gridCol w:w="1446"/>
        <w:gridCol w:w="1455"/>
        <w:gridCol w:w="402"/>
        <w:gridCol w:w="776"/>
        <w:gridCol w:w="211"/>
        <w:gridCol w:w="109"/>
        <w:gridCol w:w="109"/>
        <w:gridCol w:w="109"/>
        <w:gridCol w:w="324"/>
        <w:gridCol w:w="389"/>
        <w:gridCol w:w="165"/>
        <w:gridCol w:w="109"/>
        <w:gridCol w:w="109"/>
        <w:gridCol w:w="109"/>
        <w:gridCol w:w="508"/>
        <w:gridCol w:w="617"/>
        <w:gridCol w:w="263"/>
        <w:gridCol w:w="139"/>
        <w:gridCol w:w="139"/>
        <w:gridCol w:w="139"/>
        <w:gridCol w:w="316"/>
        <w:gridCol w:w="381"/>
        <w:gridCol w:w="232"/>
      </w:tblGrid>
      <w:tr>
        <w:trPr/>
        <w:tc>
          <w:tcPr>
            <w:tcW w:w="164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4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 — affiliate</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including current portion — external </w:t>
            </w:r>
            <w:r>
              <w:rPr>
                <w:rFonts w:ascii="Times New Roman;sans-serif" w:hAnsi="Times New Roman;sans-serif"/>
                <w:b w:val="false"/>
                <w:color w:val="000000"/>
                <w:sz w:val="13"/>
              </w:rPr>
              <w:t>(a)</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9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Excludes net debt issuance costs, which are recorded as a reduction to long-term debt on the Company’s consolidated balance sheets.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tbl>
      <w:tblPr>
        <w:tblW w:w="8295" w:type="dxa"/>
        <w:jc w:val="left"/>
        <w:tblInd w:w="0" w:type="dxa"/>
        <w:tblLayout w:type="fixed"/>
        <w:tblCellMar>
          <w:top w:w="28" w:type="dxa"/>
          <w:left w:w="28" w:type="dxa"/>
          <w:bottom w:w="28" w:type="dxa"/>
          <w:right w:w="28" w:type="dxa"/>
        </w:tblCellMar>
      </w:tblPr>
      <w:tblGrid>
        <w:gridCol w:w="1275"/>
        <w:gridCol w:w="1123"/>
        <w:gridCol w:w="11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tbl>
      <w:tblPr>
        <w:tblW w:w="8843" w:type="dxa"/>
        <w:jc w:val="left"/>
        <w:tblInd w:w="0" w:type="dxa"/>
        <w:tblLayout w:type="fixed"/>
        <w:tblCellMar>
          <w:top w:w="28" w:type="dxa"/>
          <w:left w:w="28" w:type="dxa"/>
          <w:bottom w:w="28" w:type="dxa"/>
          <w:right w:w="28" w:type="dxa"/>
        </w:tblCellMar>
      </w:tblPr>
      <w:tblGrid>
        <w:gridCol w:w="1190"/>
        <w:gridCol w:w="1042"/>
        <w:gridCol w:w="1053"/>
        <w:gridCol w:w="109"/>
        <w:gridCol w:w="109"/>
        <w:gridCol w:w="221"/>
        <w:gridCol w:w="489"/>
        <w:gridCol w:w="114"/>
        <w:gridCol w:w="109"/>
        <w:gridCol w:w="109"/>
        <w:gridCol w:w="109"/>
        <w:gridCol w:w="211"/>
        <w:gridCol w:w="466"/>
        <w:gridCol w:w="109"/>
        <w:gridCol w:w="109"/>
        <w:gridCol w:w="171"/>
        <w:gridCol w:w="171"/>
        <w:gridCol w:w="171"/>
        <w:gridCol w:w="171"/>
        <w:gridCol w:w="331"/>
        <w:gridCol w:w="732"/>
        <w:gridCol w:w="171"/>
        <w:gridCol w:w="109"/>
        <w:gridCol w:w="109"/>
        <w:gridCol w:w="109"/>
        <w:gridCol w:w="211"/>
        <w:gridCol w:w="466"/>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Fair Value </w:t>
            </w:r>
            <w:r>
              <w:rPr>
                <w:rFonts w:ascii="Times New Roman;sans-serif" w:hAnsi="Times New Roman;sans-serif"/>
                <w:b/>
                <w:color w:val="000000"/>
                <w:sz w:val="12"/>
              </w:rPr>
              <w:t>(a)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Fair Value </w:t>
            </w:r>
            <w:r>
              <w:rPr>
                <w:rFonts w:ascii="Times New Roman;sans-serif" w:hAnsi="Times New Roman;sans-serif"/>
                <w:b/>
                <w:color w:val="000000"/>
                <w:sz w:val="12"/>
              </w:rPr>
              <w:t>(a)</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Level 2 </w:t>
            </w:r>
            <w:r>
              <w:rPr>
                <w:rFonts w:ascii="Times New Roman;sans-serif" w:hAnsi="Times New Roman;sans-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Level 2 </w:t>
            </w:r>
            <w:r>
              <w:rPr>
                <w:rFonts w:ascii="Times New Roman;sans-serif" w:hAnsi="Times New Roman;sans-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Energy-related commodity contracts </w:t>
            </w:r>
            <w:r>
              <w:rPr>
                <w:rFonts w:ascii="Times New Roman;sans-serif" w:hAnsi="Times New Roman;sans-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Other financial instruments </w:t>
            </w:r>
            <w:r>
              <w:rPr>
                <w:rFonts w:ascii="Times New Roman;sans-serif" w:hAnsi="Times New Roman;sans-serif"/>
                <w:b/>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Energy-related commodity contracts</w:t>
            </w:r>
            <w:r>
              <w:rPr>
                <w:color w:val="000000"/>
              </w:rPr>
              <w:t xml:space="preserve"> </w:t>
            </w:r>
            <w:r>
              <w:rPr>
                <w:rFonts w:ascii="Times New Roman;sans-serif" w:hAnsi="Times New Roman;sans-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There were no derivative assets or liabilities classified as Level 1 as of June 30, 2024 and December 31, 2023.</w:t>
      </w:r>
    </w:p>
    <w:p>
      <w:pPr>
        <w:pStyle w:val="TextBody"/>
        <w:bidi w:val="0"/>
        <w:spacing w:lineRule="auto" w:line="288" w:before="0" w:after="6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8"/>
        </w:rPr>
        <w:t>The Company’s interest rate swaps are measured at fair value using an income approach, which uses readily observable inputs, such as forward interest rates (e.g., SOFR) and contractual terms to estimate fair value.</w:t>
      </w:r>
    </w:p>
    <w:p>
      <w:pPr>
        <w:pStyle w:val="TextBody"/>
        <w:bidi w:val="0"/>
        <w:spacing w:lineRule="auto" w:line="288" w:before="0" w:after="60"/>
        <w:jc w:val="both"/>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8"/>
        </w:rPr>
        <w:t>Includes long-term backbone transportation service contracts classified as Level 2 and short-term heat rate call option contracts classified as Level 3.</w:t>
      </w:r>
    </w:p>
    <w:p>
      <w:pPr>
        <w:pStyle w:val="TextBody"/>
        <w:bidi w:val="0"/>
        <w:spacing w:lineRule="auto" w:line="288" w:before="0" w:after="60"/>
        <w:jc w:val="left"/>
        <w:rPr/>
      </w:pPr>
      <w:r>
        <w:rPr>
          <w:rFonts w:ascii="Times New Roman;sans-serif" w:hAnsi="Times New Roman;sans-serif"/>
          <w:b w:val="false"/>
          <w:color w:val="000000"/>
          <w:sz w:val="13"/>
        </w:rPr>
        <w:t>(d)</w:t>
      </w:r>
      <w:r>
        <w:rPr>
          <w:color w:val="000000"/>
        </w:rPr>
        <w:t xml:space="preserve"> </w:t>
      </w:r>
      <w:r>
        <w:rPr>
          <w:rFonts w:ascii="Times New Roman;sans-serif" w:hAnsi="Times New Roman;sans-serif"/>
          <w:b w:val="false"/>
          <w:color w:val="000000"/>
          <w:sz w:val="18"/>
        </w:rPr>
        <w:t>Includes SREC contract.</w:t>
      </w:r>
    </w:p>
    <w:p>
      <w:pPr>
        <w:pStyle w:val="TextBody"/>
        <w:bidi w:val="0"/>
        <w:spacing w:lineRule="auto" w:line="288" w:before="0" w:after="180"/>
        <w:jc w:val="both"/>
        <w:rPr/>
      </w:pPr>
      <w:r>
        <w:rPr>
          <w:rFonts w:ascii="Times New Roman;sans-serif" w:hAnsi="Times New Roman;sans-serif"/>
          <w:b w:val="false"/>
          <w:color w:val="000000"/>
          <w:sz w:val="13"/>
        </w:rPr>
        <w:t>(e)</w:t>
      </w:r>
      <w:r>
        <w:rPr>
          <w:color w:val="000000"/>
        </w:rPr>
        <w:t xml:space="preserve"> </w:t>
      </w:r>
      <w:r>
        <w:rPr>
          <w:rFonts w:ascii="Times New Roman;sans-serif" w:hAnsi="Times New Roman;sans-serif"/>
          <w:b w:val="false"/>
          <w:color w:val="000000"/>
          <w:sz w:val="18"/>
        </w:rPr>
        <w:t>Includes long-term backbone transportation contracts classified as Level 2 and long-term power commodity contracts and short-term heat rate call option contracts classified as Level 3. As of June 30, 2024 and December 31, 2023, Level 3 amounts include $394 million and $325 million related to long-term power commodity contracts and zero and $5 million related to short-term heat rate call option contracts, respectively.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beginning and ending balances for instruments that are recognized at fair value in the consolidated financial statements using significant unobservable inputs:</w:t>
      </w:r>
    </w:p>
    <w:tbl>
      <w:tblPr>
        <w:tblW w:w="10205" w:type="dxa"/>
        <w:jc w:val="left"/>
        <w:tblInd w:w="0" w:type="dxa"/>
        <w:tblLayout w:type="fixed"/>
        <w:tblCellMar>
          <w:top w:w="28" w:type="dxa"/>
          <w:left w:w="28" w:type="dxa"/>
          <w:bottom w:w="28" w:type="dxa"/>
          <w:right w:w="28" w:type="dxa"/>
        </w:tblCellMar>
      </w:tblPr>
      <w:tblGrid>
        <w:gridCol w:w="1349"/>
        <w:gridCol w:w="1137"/>
        <w:gridCol w:w="1143"/>
        <w:gridCol w:w="109"/>
        <w:gridCol w:w="109"/>
        <w:gridCol w:w="109"/>
        <w:gridCol w:w="311"/>
        <w:gridCol w:w="755"/>
        <w:gridCol w:w="160"/>
        <w:gridCol w:w="160"/>
        <w:gridCol w:w="160"/>
        <w:gridCol w:w="160"/>
        <w:gridCol w:w="311"/>
        <w:gridCol w:w="755"/>
        <w:gridCol w:w="160"/>
        <w:gridCol w:w="109"/>
        <w:gridCol w:w="109"/>
        <w:gridCol w:w="109"/>
        <w:gridCol w:w="309"/>
        <w:gridCol w:w="750"/>
        <w:gridCol w:w="159"/>
        <w:gridCol w:w="159"/>
        <w:gridCol w:w="159"/>
        <w:gridCol w:w="159"/>
        <w:gridCol w:w="309"/>
        <w:gridCol w:w="750"/>
        <w:gridCol w:w="236"/>
      </w:tblGrid>
      <w:tr>
        <w:trPr/>
        <w:tc>
          <w:tcPr>
            <w:tcW w:w="134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 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 Significant Unobservable Inputs (Level 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(losses) gains for the period included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Ending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losses included in earnings for derivatives and other financial instruments held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Derivative and Financial Instruments Fair Value Measurements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June 30, 2024, contracts valued with prices provided by models and other valuation techniques make up 2% of derivative assets and 100% of derivative liabilities and other financial instruments.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significant positions classified as Level 3 include physical and financial energy-related commodity contracts executed in illiquid markets. The significant unobservable inputs used in developing fair value include illiquid power tenors and location pricing, which is derived by extrapolating pricing as a basis to liquid locations. The tenor pricing and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spread are based on observable market data when available or derived from historic prices and forward market prices from similar observable markets when not available.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quantifies the significant unobservable inputs used in developing the fair value of the Company’s Level 3 positions:</w:t>
      </w:r>
    </w:p>
    <w:tbl>
      <w:tblPr>
        <w:tblW w:w="10205" w:type="dxa"/>
        <w:jc w:val="left"/>
        <w:tblInd w:w="0" w:type="dxa"/>
        <w:tblLayout w:type="fixed"/>
        <w:tblCellMar>
          <w:top w:w="28" w:type="dxa"/>
          <w:left w:w="28" w:type="dxa"/>
          <w:bottom w:w="28" w:type="dxa"/>
          <w:right w:w="28" w:type="dxa"/>
        </w:tblCellMar>
      </w:tblPr>
      <w:tblGrid>
        <w:gridCol w:w="680"/>
        <w:gridCol w:w="570"/>
        <w:gridCol w:w="572"/>
        <w:gridCol w:w="196"/>
        <w:gridCol w:w="406"/>
        <w:gridCol w:w="109"/>
        <w:gridCol w:w="263"/>
        <w:gridCol w:w="565"/>
        <w:gridCol w:w="148"/>
        <w:gridCol w:w="416"/>
        <w:gridCol w:w="416"/>
        <w:gridCol w:w="417"/>
        <w:gridCol w:w="739"/>
        <w:gridCol w:w="739"/>
        <w:gridCol w:w="741"/>
        <w:gridCol w:w="203"/>
        <w:gridCol w:w="614"/>
        <w:gridCol w:w="113"/>
        <w:gridCol w:w="199"/>
        <w:gridCol w:w="795"/>
        <w:gridCol w:w="111"/>
        <w:gridCol w:w="255"/>
        <w:gridCol w:w="726"/>
        <w:gridCol w:w="212"/>
      </w:tblGrid>
      <w:tr>
        <w:trPr/>
        <w:tc>
          <w:tcPr>
            <w:tcW w:w="68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Input/Range</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Low</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High</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Power Commodity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MWh)</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Heat Rate Call Option Commodity Contracts</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Option Model</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MWh)</w:t>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1,127.48 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Option Model</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MMBtu)</w:t>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Financial Instruments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Forecast annual generation levels of certain DG solar facilities</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59,425 MWh</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118,850 MWh</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111,091 MWh</w:t>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impact on the fair value measurements to increases/(decreases) in significant unobservable inputs as of June 30, 2024:</w:t>
      </w:r>
    </w:p>
    <w:tbl>
      <w:tblPr>
        <w:tblW w:w="10205" w:type="dxa"/>
        <w:jc w:val="left"/>
        <w:tblInd w:w="0" w:type="dxa"/>
        <w:tblLayout w:type="fixed"/>
        <w:tblCellMar>
          <w:top w:w="28" w:type="dxa"/>
          <w:left w:w="28" w:type="dxa"/>
          <w:bottom w:w="28" w:type="dxa"/>
          <w:right w:w="28" w:type="dxa"/>
        </w:tblCellMar>
      </w:tblPr>
      <w:tblGrid>
        <w:gridCol w:w="1014"/>
        <w:gridCol w:w="892"/>
        <w:gridCol w:w="901"/>
        <w:gridCol w:w="795"/>
        <w:gridCol w:w="795"/>
        <w:gridCol w:w="797"/>
        <w:gridCol w:w="265"/>
        <w:gridCol w:w="265"/>
        <w:gridCol w:w="266"/>
        <w:gridCol w:w="514"/>
        <w:gridCol w:w="482"/>
        <w:gridCol w:w="484"/>
        <w:gridCol w:w="798"/>
        <w:gridCol w:w="798"/>
        <w:gridCol w:w="1139"/>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w:t>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Input</w:t>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on Fair Value Measurement</w:t>
            </w:r>
          </w:p>
        </w:tc>
      </w:tr>
      <w:tr>
        <w:trPr/>
        <w:tc>
          <w:tcPr>
            <w:tcW w:w="2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Energy-Related Commodity Contracts</w:t>
            </w:r>
          </w:p>
        </w:tc>
        <w:tc>
          <w:tcPr>
            <w:tcW w:w="2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Forward Market Price Power</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Increase/(Decrease)</w:t>
            </w:r>
          </w:p>
        </w:tc>
        <w:tc>
          <w:tcPr>
            <w:tcW w:w="2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Lower/(Higher)</w:t>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Energy-Related Commodity Contracts</w:t>
            </w:r>
          </w:p>
        </w:tc>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Forward Market Price Gas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Increase/(Decrease)</w:t>
            </w:r>
          </w:p>
        </w:tc>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Higher/(Lower)</w:t>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Financial Instruments</w:t>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Forecast Generation Levels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Increase/(Decrease)</w:t>
            </w:r>
          </w:p>
        </w:tc>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Higher/(Lower)</w:t>
            </w:r>
          </w:p>
        </w:tc>
      </w:tr>
      <w:tr>
        <w:trPr/>
        <w:tc>
          <w:tcPr>
            <w:tcW w:w="2807"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27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2024, the non-performance reserve was a $14 million gain recorded primarily to total operating revenues in the consolidated statements of income. It is possible that future market prices could vary from those used in recording assets and liabilities and such variations could be material.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 addition to the credit risk discussion as disclosed under Item 15 —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 xml:space="preserve">to the </w:t>
      </w:r>
      <w:r>
        <w:rPr>
          <w:rFonts w:ascii="Times New Roman;sans-serif" w:hAnsi="Times New Roman;sans-serif"/>
          <w:b w:val="false"/>
          <w:color w:val="000000"/>
          <w:sz w:val="20"/>
        </w:rPr>
        <w:t xml:space="preserve">consolidated financial statements included in the </w:t>
      </w:r>
      <w:r>
        <w:rPr>
          <w:rFonts w:ascii="Times New Roman;sans-serif" w:hAnsi="Times New Roman;sans-serif"/>
          <w:b w:val="false"/>
          <w:color w:val="231F20"/>
          <w:sz w:val="20"/>
        </w:rPr>
        <w:t xml:space="preserve">Company’s </w:t>
      </w:r>
      <w:r>
        <w:rPr>
          <w:rFonts w:ascii="Times New Roman;sans-serif" w:hAnsi="Times New Roman;sans-serif"/>
          <w:b w:val="false"/>
          <w:color w:val="000000"/>
          <w:sz w:val="20"/>
        </w:rPr>
        <w:t>2023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pPr>
      <w:r>
        <w:rPr>
          <w:rFonts w:ascii="Times New Roman;sans-serif" w:hAnsi="Times New Roman;sans-serif"/>
          <w:b/>
          <w:color w:val="000000"/>
          <w:sz w:val="20"/>
        </w:rPr>
        <w:t xml:space="preserve">Note 6 — </w:t>
      </w:r>
      <w:r>
        <w:rPr>
          <w:rFonts w:ascii="Times New Roman;sans-serif" w:hAnsi="Times New Roman;sans-serif"/>
          <w:b/>
          <w:i/>
          <w:color w:val="000000"/>
          <w:sz w:val="20"/>
        </w:rPr>
        <w:t>Derivative Instruments and Hedging Activities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This footnote should be read in conjunction with the complete description under Item 15 — Note 7, </w:t>
      </w:r>
      <w:r>
        <w:rPr>
          <w:rFonts w:ascii="Times New Roman;sans-serif" w:hAnsi="Times New Roman;sans-serif"/>
          <w:b w:val="false"/>
          <w:i/>
          <w:color w:val="000000"/>
          <w:sz w:val="20"/>
        </w:rPr>
        <w:t>Accounting for Derivative Instruments and Hedging Activities</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 xml:space="preserve">to the consolidated financial statements included in the Company’s </w:t>
      </w:r>
      <w:r>
        <w:rPr>
          <w:rFonts w:ascii="Times New Roman;sans-serif" w:hAnsi="Times New Roman;sans-serif"/>
          <w:b w:val="false"/>
          <w:color w:val="000000"/>
          <w:sz w:val="20"/>
        </w:rPr>
        <w:t>2023 Form 10-K.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in order to hedge the variability of expected future cash interest payments. As of June 30, 2024,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Energy-Related Commodity Contracts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had energy-related derivative instruments extending through 2033. At June 30, 2024, these contracts were not designated as cash flow or fair value hedges. </w:t>
      </w:r>
    </w:p>
    <w:p>
      <w:pPr>
        <w:pStyle w:val="TextBody"/>
        <w:bidi w:val="0"/>
        <w:spacing w:lineRule="auto" w:line="288" w:before="0" w:after="18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Volumetric Underlying Derivative Transactions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notional volume buy/(sell) of the Company’s open derivative transactions broken out by commodity:</w:t>
      </w:r>
    </w:p>
    <w:tbl>
      <w:tblPr>
        <w:tblW w:w="5199" w:type="dxa"/>
        <w:jc w:val="left"/>
        <w:tblInd w:w="0" w:type="dxa"/>
        <w:tblLayout w:type="fixed"/>
        <w:tblCellMar>
          <w:top w:w="28" w:type="dxa"/>
          <w:left w:w="28" w:type="dxa"/>
          <w:bottom w:w="28" w:type="dxa"/>
          <w:right w:w="28" w:type="dxa"/>
        </w:tblCellMar>
      </w:tblPr>
      <w:tblGrid>
        <w:gridCol w:w="401"/>
        <w:gridCol w:w="354"/>
        <w:gridCol w:w="355"/>
        <w:gridCol w:w="253"/>
        <w:gridCol w:w="253"/>
        <w:gridCol w:w="260"/>
        <w:gridCol w:w="109"/>
        <w:gridCol w:w="109"/>
        <w:gridCol w:w="109"/>
        <w:gridCol w:w="253"/>
        <w:gridCol w:w="741"/>
        <w:gridCol w:w="131"/>
        <w:gridCol w:w="109"/>
        <w:gridCol w:w="109"/>
        <w:gridCol w:w="109"/>
        <w:gridCol w:w="332"/>
        <w:gridCol w:w="970"/>
        <w:gridCol w:w="242"/>
      </w:tblGrid>
      <w:tr>
        <w:trPr/>
        <w:tc>
          <w:tcPr>
            <w:tcW w:w="4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Volume</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Commodity</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Gas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of Derivative Instruments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within the derivative instrument valuation on the consolidated balance sheets:</w:t>
      </w:r>
    </w:p>
    <w:tbl>
      <w:tblPr>
        <w:tblW w:w="10205" w:type="dxa"/>
        <w:jc w:val="left"/>
        <w:tblInd w:w="0" w:type="dxa"/>
        <w:tblLayout w:type="fixed"/>
        <w:tblCellMar>
          <w:top w:w="28" w:type="dxa"/>
          <w:left w:w="28" w:type="dxa"/>
          <w:bottom w:w="28" w:type="dxa"/>
          <w:right w:w="28" w:type="dxa"/>
        </w:tblCellMar>
      </w:tblPr>
      <w:tblGrid>
        <w:gridCol w:w="1554"/>
        <w:gridCol w:w="1336"/>
        <w:gridCol w:w="1340"/>
        <w:gridCol w:w="288"/>
        <w:gridCol w:w="637"/>
        <w:gridCol w:w="149"/>
        <w:gridCol w:w="109"/>
        <w:gridCol w:w="109"/>
        <w:gridCol w:w="109"/>
        <w:gridCol w:w="374"/>
        <w:gridCol w:w="828"/>
        <w:gridCol w:w="196"/>
        <w:gridCol w:w="109"/>
        <w:gridCol w:w="109"/>
        <w:gridCol w:w="109"/>
        <w:gridCol w:w="288"/>
        <w:gridCol w:w="637"/>
        <w:gridCol w:w="149"/>
        <w:gridCol w:w="109"/>
        <w:gridCol w:w="109"/>
        <w:gridCol w:w="109"/>
        <w:gridCol w:w="366"/>
        <w:gridCol w:w="809"/>
        <w:gridCol w:w="273"/>
      </w:tblGrid>
      <w:tr>
        <w:trPr/>
        <w:tc>
          <w:tcPr>
            <w:tcW w:w="155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Derivative Assets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Liabilities</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current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Designated as Cash Flow Hedges</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Cash Flow Hedges:</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current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Energy-related commodity contracts current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Energy-related commodity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Cash Flow Hedges</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present derivative assets and liabilities on the balance sheet on a trade-by-trade basis and does not offset amounts at the counterparty level. As of June 30, 2024 and December 31, 2023, the amount of outstanding collateral paid or received was immaterial. The following tables summarize the offsetting of derivatives by counterparty:</w:t>
      </w:r>
    </w:p>
    <w:tbl>
      <w:tblPr>
        <w:tblW w:w="10205" w:type="dxa"/>
        <w:jc w:val="left"/>
        <w:tblInd w:w="0" w:type="dxa"/>
        <w:tblLayout w:type="fixed"/>
        <w:tblCellMar>
          <w:top w:w="28" w:type="dxa"/>
          <w:left w:w="28" w:type="dxa"/>
          <w:bottom w:w="28" w:type="dxa"/>
          <w:right w:w="28" w:type="dxa"/>
        </w:tblCellMar>
      </w:tblPr>
      <w:tblGrid>
        <w:gridCol w:w="1212"/>
        <w:gridCol w:w="1065"/>
        <w:gridCol w:w="1017"/>
        <w:gridCol w:w="763"/>
        <w:gridCol w:w="1902"/>
        <w:gridCol w:w="382"/>
        <w:gridCol w:w="156"/>
        <w:gridCol w:w="156"/>
        <w:gridCol w:w="156"/>
        <w:gridCol w:w="480"/>
        <w:gridCol w:w="908"/>
        <w:gridCol w:w="237"/>
        <w:gridCol w:w="156"/>
        <w:gridCol w:w="156"/>
        <w:gridCol w:w="156"/>
        <w:gridCol w:w="303"/>
        <w:gridCol w:w="770"/>
        <w:gridCol w:w="230"/>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Statement of Financial Position</w:t>
            </w:r>
          </w:p>
        </w:tc>
      </w:tr>
      <w:tr>
        <w:trPr/>
        <w:tc>
          <w:tcPr>
            <w:tcW w:w="3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June 30, 2024</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Energy-related commodity contracts</w:t>
            </w:r>
          </w:p>
        </w:tc>
        <w:tc>
          <w:tcPr>
            <w:tcW w:w="691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energy-related commodity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contracts</w:t>
            </w:r>
          </w:p>
        </w:tc>
        <w:tc>
          <w:tcPr>
            <w:tcW w:w="3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vAlign w:val="center"/>
          </w:tcPr>
          <w:p>
            <w:pPr>
              <w:pStyle w:val="TableContents"/>
              <w:bidi w:val="0"/>
              <w:spacing w:before="0" w:after="283"/>
              <w:jc w:val="left"/>
              <w:rPr>
                <w:sz w:val="4"/>
                <w:szCs w:val="4"/>
              </w:rPr>
            </w:pPr>
            <w:r>
              <w:rPr>
                <w:sz w:val="4"/>
                <w:szCs w:val="4"/>
              </w:rPr>
            </w:r>
          </w:p>
        </w:tc>
        <w:tc>
          <w:tcPr>
            <w:tcW w:w="304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rate contracts</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 instruments</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0"/>
        <w:gridCol w:w="1024"/>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Energy-related commodity contracts</w:t>
            </w:r>
          </w:p>
        </w:tc>
        <w:tc>
          <w:tcPr>
            <w:tcW w:w="691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energy-related commodity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contracts</w:t>
            </w:r>
          </w:p>
        </w:tc>
        <w:tc>
          <w:tcPr>
            <w:tcW w:w="6912" w:type="dxa"/>
            <w:gridSpan w:val="15"/>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rate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 instruments</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effects on the Company’s accumulated OCI balance attributable to interest rate swaps designated as cash flow hedge derivatives:</w:t>
      </w:r>
    </w:p>
    <w:tbl>
      <w:tblPr>
        <w:tblW w:w="10205" w:type="dxa"/>
        <w:jc w:val="left"/>
        <w:tblInd w:w="0" w:type="dxa"/>
        <w:tblLayout w:type="fixed"/>
        <w:tblCellMar>
          <w:top w:w="28" w:type="dxa"/>
          <w:left w:w="28" w:type="dxa"/>
          <w:bottom w:w="28" w:type="dxa"/>
          <w:right w:w="28" w:type="dxa"/>
        </w:tblCellMar>
      </w:tblPr>
      <w:tblGrid>
        <w:gridCol w:w="2161"/>
        <w:gridCol w:w="1844"/>
        <w:gridCol w:w="1854"/>
        <w:gridCol w:w="256"/>
        <w:gridCol w:w="438"/>
        <w:gridCol w:w="132"/>
        <w:gridCol w:w="132"/>
        <w:gridCol w:w="132"/>
        <w:gridCol w:w="132"/>
        <w:gridCol w:w="256"/>
        <w:gridCol w:w="438"/>
        <w:gridCol w:w="132"/>
        <w:gridCol w:w="109"/>
        <w:gridCol w:w="109"/>
        <w:gridCol w:w="109"/>
        <w:gridCol w:w="239"/>
        <w:gridCol w:w="409"/>
        <w:gridCol w:w="123"/>
        <w:gridCol w:w="123"/>
        <w:gridCol w:w="123"/>
        <w:gridCol w:w="123"/>
        <w:gridCol w:w="239"/>
        <w:gridCol w:w="409"/>
        <w:gridCol w:w="183"/>
      </w:tblGrid>
      <w:tr>
        <w:trPr/>
        <w:tc>
          <w:tcPr>
            <w:tcW w:w="2161"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beginning balance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accumulated OCI to income due to realization of previously deferred amounts</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of cash flow hedge accounting contracts</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ending balance</w:t>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attributable to noncontrolling interests</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attributable to Clearway Energy LLC</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expected to be realized from OCI during the next 12 months</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reclassified from accumulated OCI into income are recorded to interest expense.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Impact of Derivative Instruments on the Consolidated Statements of Income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Mark-to-market gains/(losses) related to the Company’s derivatives are recorded in the consolidated statements of income as follows:</w:t>
      </w:r>
    </w:p>
    <w:tbl>
      <w:tblPr>
        <w:tblW w:w="10205" w:type="dxa"/>
        <w:jc w:val="left"/>
        <w:tblInd w:w="0" w:type="dxa"/>
        <w:tblLayout w:type="fixed"/>
        <w:tblCellMar>
          <w:top w:w="28" w:type="dxa"/>
          <w:left w:w="28" w:type="dxa"/>
          <w:bottom w:w="28" w:type="dxa"/>
          <w:right w:w="28" w:type="dxa"/>
        </w:tblCellMar>
      </w:tblPr>
      <w:tblGrid>
        <w:gridCol w:w="2325"/>
        <w:gridCol w:w="1888"/>
        <w:gridCol w:w="1895"/>
        <w:gridCol w:w="254"/>
        <w:gridCol w:w="309"/>
        <w:gridCol w:w="131"/>
        <w:gridCol w:w="131"/>
        <w:gridCol w:w="131"/>
        <w:gridCol w:w="131"/>
        <w:gridCol w:w="254"/>
        <w:gridCol w:w="436"/>
        <w:gridCol w:w="131"/>
        <w:gridCol w:w="109"/>
        <w:gridCol w:w="109"/>
        <w:gridCol w:w="109"/>
        <w:gridCol w:w="240"/>
        <w:gridCol w:w="411"/>
        <w:gridCol w:w="124"/>
        <w:gridCol w:w="124"/>
        <w:gridCol w:w="124"/>
        <w:gridCol w:w="124"/>
        <w:gridCol w:w="240"/>
        <w:gridCol w:w="291"/>
        <w:gridCol w:w="184"/>
      </w:tblGrid>
      <w:tr>
        <w:trPr/>
        <w:tc>
          <w:tcPr>
            <w:tcW w:w="2325"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(Interest expense)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Energy-Related Commodity Contracts (Mark-to-market for economic hedging activities included in Total operating revenues) </w:t>
            </w:r>
            <w:r>
              <w:rPr>
                <w:rFonts w:ascii="Times New Roman;sans-serif" w:hAnsi="Times New Roman;sans-serif"/>
                <w:b w:val="false"/>
                <w:color w:val="000000"/>
                <w:sz w:val="13"/>
              </w:rPr>
              <w:t>(a)</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Energy-Related Commodity Contracts (Mark-to-market for economic hedging activities included in Cost of operations) </w:t>
            </w:r>
            <w:r>
              <w:rPr>
                <w:rFonts w:ascii="Times New Roman;sans-serif" w:hAnsi="Times New Roman;sans-serif"/>
                <w:b w:val="false"/>
                <w:color w:val="000000"/>
                <w:sz w:val="13"/>
              </w:rPr>
              <w:t>(b)</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Relates to long-term energy related commodity contracts at Elbow Creek, Mesquite Star, Mt. Storm, Langford and Mesquite Sky and short-term heat rate call option energy-related commodity contracts at El Segundo, Marsh Landing and Walnut Creek. </w:t>
      </w:r>
    </w:p>
    <w:p>
      <w:pPr>
        <w:pStyle w:val="TextBody"/>
        <w:bidi w:val="0"/>
        <w:spacing w:lineRule="auto" w:line="288" w:before="0" w:after="18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 xml:space="preserve">Relates to long-term backbone transportation service energy-related commodity contracts at El Segundo and Walnut Creek. </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See Note 5,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000000"/>
          <w:sz w:val="20"/>
        </w:rPr>
        <w:t>, for a discussion regarding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pPr>
      <w:r>
        <w:rPr>
          <w:rFonts w:ascii="Times New Roman;sans-serif" w:hAnsi="Times New Roman;sans-serif"/>
          <w:b/>
          <w:color w:val="000000"/>
          <w:sz w:val="20"/>
        </w:rPr>
        <w:t xml:space="preserve">Note 7 — </w:t>
      </w:r>
      <w:r>
        <w:rPr>
          <w:rFonts w:ascii="Times New Roman;sans-serif" w:hAnsi="Times New Roman;sans-serif"/>
          <w:b/>
          <w:i/>
          <w:color w:val="000000"/>
          <w:sz w:val="20"/>
        </w:rPr>
        <w:t>Long-term Debt</w:t>
      </w:r>
    </w:p>
    <w:p>
      <w:pPr>
        <w:pStyle w:val="TextBody"/>
        <w:bidi w:val="0"/>
        <w:spacing w:lineRule="auto" w:line="288" w:before="0" w:after="60"/>
        <w:ind w:left="0" w:right="0" w:firstLine="450"/>
        <w:jc w:val="both"/>
        <w:rPr/>
      </w:pPr>
      <w:r>
        <w:rPr>
          <w:rFonts w:ascii="Times New Roman;sans-serif" w:hAnsi="Times New Roman;sans-serif"/>
          <w:b w:val="false"/>
          <w:color w:val="000000"/>
          <w:sz w:val="20"/>
        </w:rPr>
        <w:t xml:space="preserve">This note should be read in conjunction with the complete description under Item 15 — Note 10,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231F20"/>
          <w:sz w:val="20"/>
        </w:rPr>
        <w:t xml:space="preserve">to the consolidated financial statements included in the Company’s </w:t>
      </w:r>
      <w:r>
        <w:rPr>
          <w:rFonts w:ascii="Times New Roman;sans-serif" w:hAnsi="Times New Roman;sans-serif"/>
          <w:b w:val="false"/>
          <w:color w:val="000000"/>
          <w:sz w:val="20"/>
        </w:rPr>
        <w:t>2023 Form 10-K. The Company’s borrowings, including short-term and long-term portions, consisted of the following:</w:t>
      </w:r>
    </w:p>
    <w:tbl>
      <w:tblPr>
        <w:tblW w:w="10205" w:type="dxa"/>
        <w:jc w:val="left"/>
        <w:tblInd w:w="0" w:type="dxa"/>
        <w:tblLayout w:type="fixed"/>
        <w:tblCellMar>
          <w:top w:w="28" w:type="dxa"/>
          <w:left w:w="28" w:type="dxa"/>
          <w:bottom w:w="28" w:type="dxa"/>
          <w:right w:w="28" w:type="dxa"/>
        </w:tblCellMar>
      </w:tblPr>
      <w:tblGrid>
        <w:gridCol w:w="1461"/>
        <w:gridCol w:w="1052"/>
        <w:gridCol w:w="1062"/>
        <w:gridCol w:w="220"/>
        <w:gridCol w:w="624"/>
        <w:gridCol w:w="122"/>
        <w:gridCol w:w="109"/>
        <w:gridCol w:w="109"/>
        <w:gridCol w:w="109"/>
        <w:gridCol w:w="254"/>
        <w:gridCol w:w="721"/>
        <w:gridCol w:w="141"/>
        <w:gridCol w:w="109"/>
        <w:gridCol w:w="109"/>
        <w:gridCol w:w="109"/>
        <w:gridCol w:w="515"/>
        <w:gridCol w:w="493"/>
        <w:gridCol w:w="495"/>
        <w:gridCol w:w="109"/>
        <w:gridCol w:w="109"/>
        <w:gridCol w:w="109"/>
        <w:gridCol w:w="523"/>
        <w:gridCol w:w="1122"/>
        <w:gridCol w:w="419"/>
      </w:tblGrid>
      <w:tr>
        <w:trPr/>
        <w:tc>
          <w:tcPr>
            <w:tcW w:w="146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rates)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June 30, 2024 interest rate %</w:t>
            </w:r>
            <w:r>
              <w:rPr>
                <w:color w:val="000000"/>
              </w:rPr>
              <w:t xml:space="preserve">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Letters of Credit Outstanding at June 30, 2024</w:t>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Intercompany Note with Clearway, Inc.</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 Senior Notes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2031 Senior Notes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2032 Senior Notes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Clearway Energy LLC and Clearway Energy Operating LLC Revolving Credit Facility, due 2028 </w:t>
            </w:r>
            <w:r>
              <w:rPr>
                <w:rFonts w:ascii="Times New Roman;sans-serif" w:hAnsi="Times New Roman;sans-serif"/>
                <w:b w:val="false"/>
                <w:color w:val="000000"/>
                <w:sz w:val="12"/>
              </w:rPr>
              <w:t>(b)</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205 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Non-recourse facility-level debt: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Agua Caliente Solar LLC, due 2037</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2.395-3.633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Asset Management LLC, due 2031</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I-V lease financing arrangements, due 2034 and 2035</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5.696-7.015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Realty Investments LLC, due 2031</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Borrego, due 2024 and 2038</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Broken Bow, due 2031</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Buckthorn Solar, due 2025</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 LLC, due 2027</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 LLC, due 2038</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Holdco, LLC, due 2038</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4.210 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Cedar Creek, due 2029</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19 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Cedro Hill, due 2024 and 2029</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S+1.250-1.375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Crofton Bluffs, due 2031</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due 2037</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2.339-3.775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Holdco Notes, due 2037</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2, due 2028</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3, due 2028</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DG-CS Master Borrower LLC, due 2040</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Mililani Class B Member Holdco LLC, due 2028</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18 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NIMH Solar, due 2031 and 2033</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S+2.000-2.125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Oahu Solar Holdings LLC, due 2026</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Rosie Class B LLC, due 2029</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Texas Solar Nova 1, due 2028 </w:t>
            </w:r>
            <w:r>
              <w:rPr>
                <w:rFonts w:ascii="Times New Roman;sans-serif" w:hAnsi="Times New Roman;sans-serif"/>
                <w:b w:val="false"/>
                <w:color w:val="000000"/>
                <w:sz w:val="12"/>
              </w:rPr>
              <w:t>(c)</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TSN1 Class B Member LLC, due 2029 </w:t>
            </w:r>
            <w:r>
              <w:rPr>
                <w:rFonts w:ascii="Times New Roman;sans-serif" w:hAnsi="Times New Roman;sans-serif"/>
                <w:b w:val="false"/>
                <w:color w:val="000000"/>
                <w:sz w:val="12"/>
              </w:rPr>
              <w:t>(c)</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53 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 Solar Holdings, due 2036</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Viento Funding II, LLC, due 2029 </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Victory Pass and Arica, due 2024</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 non-recourse facility-level debt</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debt issuance costs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Add premiums </w:t>
            </w:r>
            <w:r>
              <w:rPr>
                <w:rFonts w:ascii="Times New Roman;sans-serif" w:hAnsi="Times New Roman;sans-serif"/>
                <w:b w:val="false"/>
                <w:color w:val="000000"/>
                <w:sz w:val="12"/>
              </w:rPr>
              <w:t>(d)</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6"/>
        </w:rPr>
        <w:t>As of June 30, 2024, S+ equals SOFR plus x%.</w:t>
      </w:r>
    </w:p>
    <w:p>
      <w:pPr>
        <w:pStyle w:val="TextBody"/>
        <w:bidi w:val="0"/>
        <w:spacing w:lineRule="auto" w:line="288" w:before="0" w:after="40"/>
        <w:jc w:val="both"/>
        <w:rPr/>
      </w:pPr>
      <w:r>
        <w:rPr>
          <w:rFonts w:ascii="Times New Roman;sans-serif" w:hAnsi="Times New Roman;sans-serif"/>
          <w:b w:val="false"/>
          <w:color w:val="000000"/>
          <w:sz w:val="12"/>
        </w:rPr>
        <w:t>(b)</w:t>
      </w:r>
      <w:r>
        <w:rPr>
          <w:color w:val="000000"/>
        </w:rPr>
        <w:t xml:space="preserve"> </w:t>
      </w:r>
      <w:r>
        <w:rPr>
          <w:rFonts w:ascii="Times New Roman;sans-serif" w:hAnsi="Times New Roman;sans-serif"/>
          <w:b w:val="false"/>
          <w:color w:val="000000"/>
          <w:sz w:val="16"/>
        </w:rPr>
        <w:t>Applicable rate is determined by the borrower leverage ratio, as defined in the credit agreement, and only applies to outstanding borrowings.</w:t>
      </w:r>
    </w:p>
    <w:p>
      <w:pPr>
        <w:pStyle w:val="TextBody"/>
        <w:bidi w:val="0"/>
        <w:spacing w:lineRule="auto" w:line="288" w:before="0" w:after="40"/>
        <w:jc w:val="both"/>
        <w:rPr/>
      </w:pPr>
      <w:r>
        <w:rPr>
          <w:rFonts w:ascii="Times New Roman;sans-serif" w:hAnsi="Times New Roman;sans-serif"/>
          <w:b w:val="false"/>
          <w:color w:val="000000"/>
          <w:sz w:val="12"/>
        </w:rPr>
        <w:t>(c)</w:t>
      </w:r>
      <w:r>
        <w:rPr>
          <w:color w:val="000000"/>
        </w:rPr>
        <w:t xml:space="preserve"> </w:t>
      </w:r>
      <w:r>
        <w:rPr>
          <w:rFonts w:ascii="Times New Roman;sans-serif" w:hAnsi="Times New Roman;sans-serif"/>
          <w:b w:val="false"/>
          <w:color w:val="000000"/>
          <w:sz w:val="16"/>
        </w:rPr>
        <w:t>On March 15, 2024, Texas Solar Nova 1’s financing agreement was amended to merge the facility-level debt of Texas Solar Nova 1 and Texas Solar Nova 2 as a combined term loan under TSN1 Class B Member LLC.</w:t>
      </w:r>
    </w:p>
    <w:p>
      <w:pPr>
        <w:pStyle w:val="TextBody"/>
        <w:bidi w:val="0"/>
        <w:spacing w:lineRule="auto" w:line="288" w:before="0" w:after="180"/>
        <w:jc w:val="both"/>
        <w:rPr/>
      </w:pPr>
      <w:r>
        <w:rPr>
          <w:rFonts w:ascii="Times New Roman;sans-serif" w:hAnsi="Times New Roman;sans-serif"/>
          <w:b w:val="false"/>
          <w:color w:val="000000"/>
          <w:sz w:val="12"/>
        </w:rPr>
        <w:t>(d)</w:t>
      </w:r>
      <w:r>
        <w:rPr>
          <w:color w:val="000000"/>
        </w:rPr>
        <w:t xml:space="preserve"> </w:t>
      </w:r>
      <w:r>
        <w:rPr>
          <w:rFonts w:ascii="Times New Roman;sans-serif" w:hAnsi="Times New Roman;sans-serif"/>
          <w:b w:val="false"/>
          <w:color w:val="000000"/>
          <w:sz w:val="16"/>
        </w:rPr>
        <w:t>Premiums relate to the 2028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financing arrangements listed above contain certain covenants, including financial covenants that the Company is required to be in compliance with during the term of the respective arrangement. As of June 30, 2024, the Company was in compliance with all of the required covenants.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below describes material changes to or additions of long-term debt for the six months ended June 30, 2024.</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Clearway Energy LLC and Clearway Energy Operating LLC Revolving Credit Facility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no outstanding borrowings under the revolving credit facility and $205 million in letters of credit outstanding.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Facility-level Debt</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Natural Gas Holdco LC Facility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2024, the Company, through its indirect subsidiary, Natural Gas Holdco, entered into a financing agreement that provides for a $200 million letter of credit facility, which will be utilized to support the collateral needs of the Company’s merchant conventional facilities. The letter of credit facility has an initial term of three years and the option for two additional one-year extensions.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Rosamond Central (Rosie Class B LLC)</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June 13, 2024, when the Rosamond Central BESS facility reached substantial completion, the Company paid $279 million to Clearway Renew as additional purchase price to complete its acquisition of the facility, which occurred on December 1, 2023. The Company’s entire additional purchase price was recorded as an adjustment to CEG’s noncontrolling interest balance. The additional purchase price consisted of $64 million that was funded by the Company from existing sources of liquidity and $215 million funded through contributions from the cash equity investor in Rosie TargetCo LLC and the tax equity investor in Rosie TE Holdco LLC. Clearway Renew utilized the proceeds to repay the balance of $184 million on the loan previously issued to its consolidated subsidiary by Rosie Class B LLC and to redeem Rosie Class B LLC’s entire equity investment in Rosie Central BESS of $28 million, as further discussed in Note 4,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The Company utilized proceeds from Clearway Renew, along with $39 million held previously in escrow and $56 million of the Company’s additional purchase price that was contributed back by CEG, to repay the $186 million tax equity bridge loan, to distribute $44 million to the cash equity investor, to fund $21 million in construction completion reserves, which is included in restricted cash on the Company’s consolidated balance sheet, and to pay $11 million in associated fees.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June 13, 2024, the outstanding construction loans were converted to a term loan in the amount of $115 million.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NIMH Solar</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June 11, 2024, NIMH Solar LLC </w:t>
      </w:r>
      <w:r>
        <w:rPr>
          <w:rFonts w:ascii="Times New Roman;sans-serif" w:hAnsi="Times New Roman;sans-serif"/>
          <w:b w:val="false"/>
          <w:color w:val="212529"/>
          <w:sz w:val="20"/>
        </w:rPr>
        <w:t xml:space="preserve">refinanced its amended and restated credit agreement, which was scheduled to mature in September 2024, resulting in the issuance of a $137 million term loan facility, as well as $17 million in letters of credit in support of debt service and facility obligations. </w:t>
      </w:r>
      <w:r>
        <w:rPr>
          <w:rFonts w:ascii="Times New Roman;sans-serif" w:hAnsi="Times New Roman;sans-serif"/>
          <w:b w:val="false"/>
          <w:color w:val="000000"/>
          <w:sz w:val="20"/>
        </w:rPr>
        <w:t>The obligations under the new financing arrangement are supported by the Company’s interests in the Alpine, Blythe and Roadrunner solar facilities. The Company utilized the proceeds from the term loan and existing sources of liquidity to pay off the existing debt in the amount of $146 million.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Victory Pass and Arica</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which was funded with existing sources of liquidity. The Company’s entire additional purchase price was recorded as an adjustment to CEG’s noncontrolling interest balance. Also on May 1, 2024, the cash equity investor contributed an additional $347 million, the tax equity investor contributed an additional $410 million and CEG contributed $52 million, which were utilized, along with $103 million held previously in escrow, to repay the $351 million cash equity bridge loan, to repay the $468 million tax equity bridge loan, to fund $75 million in construction completion reserves, which is included in restricted cash on the Company’s consolidated balance sheet, and to pay $18 million in associated fees. Prior to the repayment of the tax equity bridge loan, the Company borrowed an additional $62 million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Cedar Creek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April 16, 2024, as part of the acquisition of Cedar Creek, as further described in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the Company assumed the facility’s financing agreement, which included a $112 million construction loan, a $91 million cash equity bridge loan and a $109 million tax equity bridge loan, offset by $3 million in unamortized debt issuance costs. At acquisition date, the tax equity investor contributed $108 million, which was utilized, along with the Company’s entire purchase price that was contributed back by CEG, to repay the tax equity bridge loan, to repay the cash equity bridge loan, to partially repay $2 million in construction loans, to fund $16 million in construction completion reserves, which is included in restricted cash on the Company’s consolidated balance sheet, and to pay $6 million in associated fees. Also at acquisition date, the outstanding construction loans were converted to a term loan in the amount of $110 million.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Texas Solar Nova 1 and Texas Solar Nova 2</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March 15, 2024, as part of the acquisition of Texas Solar Nova 2, as further described in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the Company assumed the facility’s financing agreement, which included an $80 million term loan and a $115 million tax equity bridge loan, offset by $1 million in unamortized debt issuance costs. At acquisition date, the tax equity investor contributed $130 million, which was utilized, along with $9 million of the Company’s purchase price that was contributed back by CEG, to repay the $115 million tax equity bridge loan, to fund $19 million in construction completion reserves, which is included in restricted cash on the Company’s consolidated balance sheet, and to pay $4 million in associated fees.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March 15, 2024, Texas Solar Nova 1’s financing agreement was amended to merge the Texas Solar Nova 1 and Texas Solar Nova 2 term loans as a combined term loan under TSN1 Class B Member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pPr>
      <w:r>
        <w:rPr>
          <w:rFonts w:ascii="Times New Roman;sans-serif" w:hAnsi="Times New Roman;sans-serif"/>
          <w:b/>
          <w:color w:val="000000"/>
          <w:sz w:val="20"/>
        </w:rPr>
        <w:t xml:space="preserve">Note 8 — </w:t>
      </w:r>
      <w:r>
        <w:rPr>
          <w:rFonts w:ascii="Times New Roman;sans-serif" w:hAnsi="Times New Roman;sans-serif"/>
          <w:b/>
          <w:i/>
          <w:color w:val="000000"/>
          <w:sz w:val="20"/>
        </w:rPr>
        <w:t>Segment Reporting</w:t>
      </w:r>
      <w:r>
        <w:rPr>
          <w:color w:val="000000"/>
        </w:rPr>
        <w:t xml:space="preserv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segment structure reflects how management currently operates and allocates resources. The Company’s businesses are segregated based on conventional power generation and renewable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tbl>
      <w:tblPr>
        <w:tblW w:w="10205" w:type="dxa"/>
        <w:jc w:val="left"/>
        <w:tblInd w:w="0" w:type="dxa"/>
        <w:tblLayout w:type="fixed"/>
        <w:tblCellMar>
          <w:top w:w="28" w:type="dxa"/>
          <w:left w:w="28" w:type="dxa"/>
          <w:bottom w:w="28" w:type="dxa"/>
          <w:right w:w="28" w:type="dxa"/>
        </w:tblCellMar>
      </w:tblPr>
      <w:tblGrid>
        <w:gridCol w:w="1838"/>
        <w:gridCol w:w="1402"/>
        <w:gridCol w:w="1377"/>
        <w:gridCol w:w="338"/>
        <w:gridCol w:w="990"/>
        <w:gridCol w:w="176"/>
        <w:gridCol w:w="109"/>
        <w:gridCol w:w="109"/>
        <w:gridCol w:w="109"/>
        <w:gridCol w:w="211"/>
        <w:gridCol w:w="721"/>
        <w:gridCol w:w="109"/>
        <w:gridCol w:w="109"/>
        <w:gridCol w:w="109"/>
        <w:gridCol w:w="109"/>
        <w:gridCol w:w="282"/>
        <w:gridCol w:w="544"/>
        <w:gridCol w:w="146"/>
        <w:gridCol w:w="109"/>
        <w:gridCol w:w="109"/>
        <w:gridCol w:w="109"/>
        <w:gridCol w:w="211"/>
        <w:gridCol w:w="721"/>
        <w:gridCol w:w="158"/>
      </w:tblGrid>
      <w:tr>
        <w:trPr/>
        <w:tc>
          <w:tcPr>
            <w:tcW w:w="183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4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Corporate</w:t>
            </w:r>
            <w:r>
              <w:rPr>
                <w:color w:val="000000"/>
              </w:rPr>
              <w:t xml:space="preserve">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9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Includes eliminations.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28"/>
        <w:gridCol w:w="1506"/>
        <w:gridCol w:w="1484"/>
        <w:gridCol w:w="414"/>
        <w:gridCol w:w="915"/>
        <w:gridCol w:w="215"/>
        <w:gridCol w:w="109"/>
        <w:gridCol w:w="109"/>
        <w:gridCol w:w="109"/>
        <w:gridCol w:w="253"/>
        <w:gridCol w:w="560"/>
        <w:gridCol w:w="133"/>
        <w:gridCol w:w="109"/>
        <w:gridCol w:w="109"/>
        <w:gridCol w:w="109"/>
        <w:gridCol w:w="285"/>
        <w:gridCol w:w="549"/>
        <w:gridCol w:w="147"/>
        <w:gridCol w:w="109"/>
        <w:gridCol w:w="109"/>
        <w:gridCol w:w="109"/>
        <w:gridCol w:w="211"/>
        <w:gridCol w:w="466"/>
        <w:gridCol w:w="158"/>
      </w:tblGrid>
      <w:tr>
        <w:trPr/>
        <w:tc>
          <w:tcPr>
            <w:tcW w:w="192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4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Corporate</w:t>
            </w:r>
            <w:r>
              <w:rPr>
                <w:color w:val="000000"/>
              </w:rPr>
              <w:t xml:space="preserve">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9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Includes eliminations.</w:t>
      </w:r>
    </w:p>
    <w:tbl>
      <w:tblPr>
        <w:tblW w:w="10205" w:type="dxa"/>
        <w:jc w:val="left"/>
        <w:tblInd w:w="0" w:type="dxa"/>
        <w:tblLayout w:type="fixed"/>
        <w:tblCellMar>
          <w:top w:w="28" w:type="dxa"/>
          <w:left w:w="28" w:type="dxa"/>
          <w:bottom w:w="28" w:type="dxa"/>
          <w:right w:w="28" w:type="dxa"/>
        </w:tblCellMar>
      </w:tblPr>
      <w:tblGrid>
        <w:gridCol w:w="1933"/>
        <w:gridCol w:w="1504"/>
        <w:gridCol w:w="1482"/>
        <w:gridCol w:w="414"/>
        <w:gridCol w:w="915"/>
        <w:gridCol w:w="215"/>
        <w:gridCol w:w="109"/>
        <w:gridCol w:w="109"/>
        <w:gridCol w:w="109"/>
        <w:gridCol w:w="253"/>
        <w:gridCol w:w="560"/>
        <w:gridCol w:w="133"/>
        <w:gridCol w:w="109"/>
        <w:gridCol w:w="109"/>
        <w:gridCol w:w="109"/>
        <w:gridCol w:w="285"/>
        <w:gridCol w:w="549"/>
        <w:gridCol w:w="147"/>
        <w:gridCol w:w="109"/>
        <w:gridCol w:w="109"/>
        <w:gridCol w:w="109"/>
        <w:gridCol w:w="211"/>
        <w:gridCol w:w="466"/>
        <w:gridCol w:w="157"/>
      </w:tblGrid>
      <w:tr>
        <w:trPr/>
        <w:tc>
          <w:tcPr>
            <w:tcW w:w="193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Corporate</w:t>
            </w:r>
            <w:r>
              <w:rPr>
                <w:color w:val="000000"/>
              </w:rPr>
              <w:t xml:space="preserve">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Includes eliminations.</w:t>
      </w:r>
    </w:p>
    <w:p>
      <w:pPr>
        <w:pStyle w:val="TextBody"/>
        <w:bidi w:val="0"/>
        <w:spacing w:before="0" w:after="0"/>
        <w:ind w:left="0" w:right="0" w:firstLine="90"/>
        <w:jc w:val="both"/>
        <w:rPr/>
      </w:pPr>
      <w:r>
        <w:rPr/>
      </w:r>
    </w:p>
    <w:tbl>
      <w:tblPr>
        <w:tblW w:w="10205" w:type="dxa"/>
        <w:jc w:val="left"/>
        <w:tblInd w:w="0" w:type="dxa"/>
        <w:tblLayout w:type="fixed"/>
        <w:tblCellMar>
          <w:top w:w="28" w:type="dxa"/>
          <w:left w:w="28" w:type="dxa"/>
          <w:bottom w:w="28" w:type="dxa"/>
          <w:right w:w="28" w:type="dxa"/>
        </w:tblCellMar>
      </w:tblPr>
      <w:tblGrid>
        <w:gridCol w:w="1928"/>
        <w:gridCol w:w="1506"/>
        <w:gridCol w:w="1484"/>
        <w:gridCol w:w="414"/>
        <w:gridCol w:w="915"/>
        <w:gridCol w:w="215"/>
        <w:gridCol w:w="109"/>
        <w:gridCol w:w="109"/>
        <w:gridCol w:w="109"/>
        <w:gridCol w:w="253"/>
        <w:gridCol w:w="560"/>
        <w:gridCol w:w="133"/>
        <w:gridCol w:w="109"/>
        <w:gridCol w:w="109"/>
        <w:gridCol w:w="109"/>
        <w:gridCol w:w="285"/>
        <w:gridCol w:w="549"/>
        <w:gridCol w:w="147"/>
        <w:gridCol w:w="109"/>
        <w:gridCol w:w="109"/>
        <w:gridCol w:w="109"/>
        <w:gridCol w:w="211"/>
        <w:gridCol w:w="466"/>
        <w:gridCol w:w="158"/>
      </w:tblGrid>
      <w:tr>
        <w:trPr/>
        <w:tc>
          <w:tcPr>
            <w:tcW w:w="192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4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Corporate</w:t>
            </w:r>
            <w:r>
              <w:rPr>
                <w:color w:val="000000"/>
              </w:rPr>
              <w:t xml:space="preserve">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(losses) of unconsolidated affiliates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90"/>
        <w:jc w:val="left"/>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Includes eliminations.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both"/>
        <w:rPr/>
      </w:pPr>
      <w:r>
        <w:rPr>
          <w:rFonts w:ascii="Times New Roman;sans-serif" w:hAnsi="Times New Roman;sans-serif"/>
          <w:b/>
          <w:color w:val="000000"/>
          <w:sz w:val="20"/>
        </w:rPr>
        <w:t xml:space="preserve">Note 9 — </w:t>
      </w:r>
      <w:r>
        <w:rPr>
          <w:rFonts w:ascii="Times New Roman;sans-serif" w:hAnsi="Times New Roman;sans-serif"/>
          <w:b/>
          <w:i/>
          <w:color w:val="000000"/>
          <w:sz w:val="20"/>
        </w:rPr>
        <w:t>Related Party Transactions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transactions and relationships described elsewhere in the notes to the consolidated financial statements, certain subsidiaries of CEG provide services to the Company and its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O&amp;M Services Agreements by and between the Company and Clearway Renewable Operation &amp; Maintenance LLC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$18 million and $19 million for the three months ended June 30, 2024 and 2023, respectively. The Company incurred total expenses for these services of $37 million and $36 million for the six months ended June 30, 2024 and 2023, respectively. There was a balance of $8 million and $13 million due to RENOM as of June 30, 2024 and December 31, 2023, respectively.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Administrative Services Agreements by and between the Company and CEG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$6 million for each of the three months ended June 30, 2024 and 2023. The Company incurred expenses under these agreements of $12 million and $10 million for the six months ended June 30, 2024 and 2023, respectively. There was a balance of $3 million and $2 million due to CEG as of June 30, 2024 and December 31, 2023, respectively.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CEG Master Services Agreement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w:t>
      </w:r>
      <w:r>
        <w:rPr>
          <w:color w:val="000000"/>
        </w:rPr>
        <w:t xml:space="preserve"> </w:t>
      </w:r>
      <w:r>
        <w:rPr>
          <w:rFonts w:ascii="Times New Roman;sans-serif" w:hAnsi="Times New Roman;sans-serif"/>
          <w:b w:val="false"/>
          <w:color w:val="000000"/>
          <w:sz w:val="20"/>
        </w:rPr>
        <w:t>and the Company provides certain services to CEG, including accounting, internal audit, tax and treasury services, in exchange for the payment of fees in respect of such services. The Company incurred net expenses under these agreements of $2 million for each of the three months ended June 30, 2024 and 2023. The Company incurred net expenses under these agreements of $3 million for each of the six months ended June 30, 2024 and 2023.</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2024, the CEG Master Services Agreement was amended and restated as a result of a reorganization effected by the Company pursuant to which all of the employees and operations of the Company will transfer to CEG as of January 1, 2025. Under the amended and restated agreement, CEG and certain of its affiliates or third-party service providers will continue to provide the operational and administrative services outlined above, and, effective January 1, 2025, CEG will also provide accounting, internal audit, tax, legal and treasury services, in exchange for payment of fees in respect of such services. Certain independent functions will be directed by the Company’s Governance, Conflicts and Nominating Committee and paid for by the Company, while being administered by CEG.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 Management’s Discussion and Analysis of Financial Condition and the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analyzes the Company’s historical financial condition and results of operations.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you read this discussion and analysis, refer to the Company’s consolidated financial statements to this Form 10-Q, which present the results of operations for the three and six months ended June 30, 2024 and 2023. Also refer to the Company’s 2023 Form 10-K, which includes detailed discussions of various items impacting the Company’s business, results of operations and financial condition.</w:t>
      </w:r>
    </w:p>
    <w:p>
      <w:pPr>
        <w:pStyle w:val="TextBody"/>
        <w:bidi w:val="0"/>
        <w:spacing w:lineRule="auto" w:line="288" w:before="0" w:after="12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discussion and analysis below has been organized as follows:</w:t>
      </w:r>
    </w:p>
    <w:p>
      <w:pPr>
        <w:pStyle w:val="TextBody"/>
        <w:bidi w:val="0"/>
        <w:spacing w:lineRule="auto" w:line="288" w:before="0" w:after="60"/>
        <w:jc w:val="both"/>
        <w:rPr/>
      </w:pPr>
      <w:r>
        <w:rPr>
          <w:color w:val="231F20"/>
        </w:rPr>
        <w:t>•</w:t>
      </w:r>
      <w:r>
        <w:rPr>
          <w:rFonts w:ascii="Times New Roman;sans-serif" w:hAnsi="Times New Roman;sans-serif"/>
          <w:b w:val="false"/>
          <w:color w:val="231F20"/>
          <w:sz w:val="20"/>
        </w:rPr>
        <w:t>Executive Summary, including a description of the business and significant events that are important to understanding the results of operations and financial condition;</w:t>
      </w:r>
    </w:p>
    <w:p>
      <w:pPr>
        <w:pStyle w:val="TextBody"/>
        <w:bidi w:val="0"/>
        <w:spacing w:lineRule="auto" w:line="288" w:before="0" w:after="60"/>
        <w:jc w:val="both"/>
        <w:rPr/>
      </w:pPr>
      <w:r>
        <w:rPr>
          <w:color w:val="000000"/>
        </w:rPr>
        <w:t>•</w:t>
      </w:r>
      <w:r>
        <w:rPr>
          <w:rFonts w:ascii="Times New Roman;sans-serif" w:hAnsi="Times New Roman;sans-serif"/>
          <w:b w:val="false"/>
          <w:color w:val="231F20"/>
          <w:sz w:val="20"/>
        </w:rPr>
        <w:t>Results of operations, including an explanation of significant differences between the periods in the specific line items of the consolidated statements of income;</w:t>
      </w:r>
    </w:p>
    <w:p>
      <w:pPr>
        <w:pStyle w:val="TextBody"/>
        <w:bidi w:val="0"/>
        <w:spacing w:lineRule="auto" w:line="288" w:before="0" w:after="60"/>
        <w:jc w:val="both"/>
        <w:rPr/>
      </w:pPr>
      <w:r>
        <w:rPr>
          <w:color w:val="231F20"/>
        </w:rPr>
        <w:t>•</w:t>
      </w:r>
      <w:r>
        <w:rPr>
          <w:rFonts w:ascii="Times New Roman;sans-serif" w:hAnsi="Times New Roman;sans-serif"/>
          <w:b w:val="false"/>
          <w:color w:val="231F20"/>
          <w:sz w:val="20"/>
        </w:rPr>
        <w:t xml:space="preserve">Financial condition addressing liquidity position, sources and uses of cash, capital resources and requirements, commitments and off-balance sheet arrangements; </w:t>
      </w:r>
    </w:p>
    <w:p>
      <w:pPr>
        <w:pStyle w:val="TextBody"/>
        <w:bidi w:val="0"/>
        <w:spacing w:lineRule="auto" w:line="288" w:before="0" w:after="60"/>
        <w:jc w:val="both"/>
        <w:rPr/>
      </w:pPr>
      <w:r>
        <w:rPr>
          <w:color w:val="231F20"/>
        </w:rPr>
        <w:t>•</w:t>
      </w:r>
      <w:r>
        <w:rPr>
          <w:rFonts w:ascii="Times New Roman;sans-serif" w:hAnsi="Times New Roman;sans-serif"/>
          <w:b w:val="false"/>
          <w:color w:val="000000"/>
          <w:sz w:val="20"/>
        </w:rPr>
        <w:t>Known trends that may affect the Company’s results of operations and financial condition in the future; and</w:t>
      </w:r>
    </w:p>
    <w:p>
      <w:pPr>
        <w:pStyle w:val="TextBody"/>
        <w:bidi w:val="0"/>
        <w:spacing w:lineRule="auto" w:line="288" w:before="0" w:after="60"/>
        <w:jc w:val="both"/>
        <w:rPr/>
      </w:pPr>
      <w:r>
        <w:rPr>
          <w:color w:val="000000"/>
        </w:rPr>
        <w:t>•</w:t>
      </w:r>
      <w:r>
        <w:rPr>
          <w:rFonts w:ascii="Times New Roman;sans-serif" w:hAnsi="Times New Roman;sans-serif"/>
          <w:b w:val="false"/>
          <w:color w:val="000000"/>
          <w:sz w:val="20"/>
        </w:rPr>
        <w:t>Critical accounting policies which are most important to both the portrayal of the Company’s financial condition and results of operations, and which require management's most difficult, subjective or complex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Introduction and Overview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 BlackRock is a publicly-traded global investment management firm.</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6,500 net MW of installed wind, solar and battery energy storage system, or BESS, facilities. The Company’s approximately 9,000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 The weighted average remaining contract duration of these offtake agreements was approximately 10 years</w:t>
      </w:r>
      <w:r>
        <w:rPr>
          <w:color w:val="231F20"/>
        </w:rPr>
        <w:t xml:space="preserve"> </w:t>
      </w: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June 30, 2024</w:t>
      </w:r>
      <w:r>
        <w:rPr>
          <w:color w:val="231F20"/>
        </w:rPr>
        <w:t xml:space="preserve"> </w:t>
      </w:r>
      <w:r>
        <w:rPr>
          <w:rFonts w:ascii="Times New Roman;sans-serif" w:hAnsi="Times New Roman;sans-serif"/>
          <w:b w:val="false"/>
          <w:color w:val="231F20"/>
          <w:sz w:val="20"/>
        </w:rPr>
        <w:t>based on CAFD.</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Company’s operating assets are comprised of the following facilities:</w:t>
      </w:r>
    </w:p>
    <w:tbl>
      <w:tblPr>
        <w:tblW w:w="9728" w:type="dxa"/>
        <w:jc w:val="left"/>
        <w:tblInd w:w="0" w:type="dxa"/>
        <w:tblLayout w:type="fixed"/>
        <w:tblCellMar>
          <w:top w:w="28" w:type="dxa"/>
          <w:left w:w="28" w:type="dxa"/>
          <w:bottom w:w="28" w:type="dxa"/>
          <w:right w:w="28" w:type="dxa"/>
        </w:tblCellMar>
      </w:tblPr>
      <w:tblGrid>
        <w:gridCol w:w="601"/>
        <w:gridCol w:w="529"/>
        <w:gridCol w:w="535"/>
        <w:gridCol w:w="109"/>
        <w:gridCol w:w="109"/>
        <w:gridCol w:w="109"/>
        <w:gridCol w:w="412"/>
        <w:gridCol w:w="412"/>
        <w:gridCol w:w="916"/>
        <w:gridCol w:w="109"/>
        <w:gridCol w:w="109"/>
        <w:gridCol w:w="109"/>
        <w:gridCol w:w="579"/>
        <w:gridCol w:w="579"/>
        <w:gridCol w:w="581"/>
        <w:gridCol w:w="109"/>
        <w:gridCol w:w="109"/>
        <w:gridCol w:w="109"/>
        <w:gridCol w:w="679"/>
        <w:gridCol w:w="679"/>
        <w:gridCol w:w="681"/>
        <w:gridCol w:w="109"/>
        <w:gridCol w:w="109"/>
        <w:gridCol w:w="109"/>
        <w:gridCol w:w="324"/>
        <w:gridCol w:w="324"/>
        <w:gridCol w:w="326"/>
        <w:gridCol w:w="109"/>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Net Capacity (MW)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Carlsbad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Diego Gas &amp;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Segundo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2026 - 2027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GenConn Devon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Connecticut Light &amp;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GenConn Middletown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Connecticut Light &amp;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 Landing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2026 - 2030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Walnut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2026-2027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Conventional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Agua Caliente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Alpine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Arica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Avra Valley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Tucson Electric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Blythe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Borrego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Diego Gas and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Buckthorn Solar</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City of Georgetown,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CVSR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2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3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2033 - 2038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Desert Sunlight 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Desert Sunlight 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Kansas 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Mililani I</w:t>
            </w:r>
            <w:r>
              <w:rPr>
                <w:color w:val="000000"/>
              </w:rPr>
              <w:t xml:space="preserve"> </w:t>
            </w:r>
            <w:r>
              <w:rPr>
                <w:rFonts w:ascii="Times New Roman;sans-serif" w:hAnsi="Times New Roman;sans-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Oahu Solar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Roadrunner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Paso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Rosamond Central</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2035 - 2047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 High Desert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9"/>
        <w:gridCol w:w="573"/>
        <w:gridCol w:w="576"/>
        <w:gridCol w:w="109"/>
        <w:gridCol w:w="109"/>
        <w:gridCol w:w="109"/>
        <w:gridCol w:w="386"/>
        <w:gridCol w:w="381"/>
        <w:gridCol w:w="847"/>
        <w:gridCol w:w="109"/>
        <w:gridCol w:w="109"/>
        <w:gridCol w:w="109"/>
        <w:gridCol w:w="535"/>
        <w:gridCol w:w="528"/>
        <w:gridCol w:w="529"/>
        <w:gridCol w:w="109"/>
        <w:gridCol w:w="109"/>
        <w:gridCol w:w="109"/>
        <w:gridCol w:w="877"/>
        <w:gridCol w:w="877"/>
        <w:gridCol w:w="879"/>
        <w:gridCol w:w="109"/>
        <w:gridCol w:w="109"/>
        <w:gridCol w:w="109"/>
        <w:gridCol w:w="319"/>
        <w:gridCol w:w="319"/>
        <w:gridCol w:w="321"/>
        <w:gridCol w:w="109"/>
        <w:gridCol w:w="162"/>
      </w:tblGrid>
      <w:tr>
        <w:trPr/>
        <w:tc>
          <w:tcPr>
            <w:tcW w:w="67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Net Capacity (MW)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Texas Solar Nova 1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Verizon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Texas Solar Nova 2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Verizon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Utah Solar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Victory Pass</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Waiawa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Utility Scale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Arica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2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3 </w:t>
            </w:r>
            <w:r>
              <w:rPr>
                <w:rFonts w:ascii="Times New Roman;sans-serif" w:hAnsi="Times New Roman;sans-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2033 - 2038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Mililani I</w:t>
            </w:r>
            <w:r>
              <w:rPr>
                <w:color w:val="000000"/>
              </w:rPr>
              <w:t xml:space="preserve"> </w:t>
            </w:r>
            <w:r>
              <w:rPr>
                <w:rFonts w:ascii="Times New Roman;sans-serif" w:hAnsi="Times New Roman;sans-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Rosamond Central</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Victory Pass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Waiawa </w:t>
            </w:r>
            <w:r>
              <w:rPr>
                <w:rFonts w:ascii="Times New Roman;sans-serif" w:hAnsi="Times New Roman;sans-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DGPV Funds</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2030 - 2044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 Power Partners (SPP)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2026 - 2037</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DG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2025 - 2039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Alta X</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Alta XI</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Black Rock</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Toyota and AEP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Broken Bow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Buffalo Bear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Farmers Electric Co-operative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Cedar Creek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Cedro Hill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CPS 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Crofton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Elbow Creek</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Elkhorn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Constellation NewEnergy,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Goat 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Dow Pipeline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Langford</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Goldman Sachs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Laredo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Lookout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Southern Maryland Electric Cooperative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Mesquite Sky</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2033 - 2036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Mesquite Star</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2032 - 2035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Mountain Wind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Mountain Wind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Mt. Storm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Citigroup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Ocotillo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3"/>
        <w:gridCol w:w="526"/>
        <w:gridCol w:w="520"/>
        <w:gridCol w:w="109"/>
        <w:gridCol w:w="109"/>
        <w:gridCol w:w="109"/>
        <w:gridCol w:w="333"/>
        <w:gridCol w:w="317"/>
        <w:gridCol w:w="706"/>
        <w:gridCol w:w="109"/>
        <w:gridCol w:w="109"/>
        <w:gridCol w:w="109"/>
        <w:gridCol w:w="444"/>
        <w:gridCol w:w="422"/>
        <w:gridCol w:w="424"/>
        <w:gridCol w:w="109"/>
        <w:gridCol w:w="109"/>
        <w:gridCol w:w="109"/>
        <w:gridCol w:w="1144"/>
        <w:gridCol w:w="1144"/>
        <w:gridCol w:w="1148"/>
        <w:gridCol w:w="109"/>
        <w:gridCol w:w="109"/>
        <w:gridCol w:w="109"/>
        <w:gridCol w:w="295"/>
        <w:gridCol w:w="295"/>
        <w:gridCol w:w="296"/>
        <w:gridCol w:w="109"/>
        <w:gridCol w:w="161"/>
      </w:tblGrid>
      <w:tr>
        <w:trPr/>
        <w:tc>
          <w:tcPr>
            <w:tcW w:w="61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Net Capacity (MW)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Pinnacle</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Maryland Department of General Services and University System of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Rattlesnake </w:t>
            </w:r>
            <w:r>
              <w:rPr>
                <w:rFonts w:ascii="Times New Roman;sans-serif" w:hAnsi="Times New Roman;sans-serif"/>
                <w:b w:val="false"/>
                <w:color w:val="000000"/>
                <w:sz w:val="12"/>
              </w:rPr>
              <w:t>(b)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Avista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Juan Mesa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Southwestern Public Service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Sleeping Bear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Public Service Company of 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 Trent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AEP Energy Partners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Spanish Fork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Spring Canyon II</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Platte River Power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Spring Canyon III</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Platte River Power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Taloga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Oklahoma Gas &amp;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Wildorado</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Southwestern Public Service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3,797 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generation capacity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9,040 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Net capacity represents the maximum, or rated, generating or storage capacity of the facility multiplied by the Company’s percentage ownership in the facility as of June 30, 2024.</w:t>
      </w:r>
    </w:p>
    <w:p>
      <w:pPr>
        <w:pStyle w:val="TextBody"/>
        <w:bidi w:val="0"/>
        <w:spacing w:lineRule="auto" w:line="288" w:before="0" w:after="6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16"/>
        </w:rPr>
        <w:t xml:space="preserve">Facilities are part of tax equity arrangements, as further described in Note 4, </w:t>
      </w:r>
      <w:r>
        <w:rPr>
          <w:rFonts w:ascii="Times New Roman;sans-serif" w:hAnsi="Times New Roman;sans-serif"/>
          <w:b w:val="false"/>
          <w:i/>
          <w:color w:val="000000"/>
          <w:sz w:val="16"/>
        </w:rPr>
        <w:t>Investments Accounted for by the Equity Method and Variable Interest Entities</w:t>
      </w:r>
      <w:r>
        <w:rPr>
          <w:rFonts w:ascii="Times New Roman;sans-serif" w:hAnsi="Times New Roman;sans-serif"/>
          <w:b w:val="false"/>
          <w:color w:val="000000"/>
          <w:sz w:val="16"/>
        </w:rPr>
        <w:t>.</w:t>
      </w:r>
    </w:p>
    <w:p>
      <w:pPr>
        <w:pStyle w:val="TextBody"/>
        <w:bidi w:val="0"/>
        <w:spacing w:lineRule="auto" w:line="288" w:before="0" w:after="60"/>
        <w:jc w:val="both"/>
        <w:rPr/>
      </w:pPr>
      <w:r>
        <w:rPr>
          <w:rFonts w:ascii="Times New Roman;sans-serif" w:hAnsi="Times New Roman;sans-serif"/>
          <w:b w:val="false"/>
          <w:color w:val="000000"/>
          <w:sz w:val="13"/>
        </w:rPr>
        <w:t xml:space="preserve">(c) </w:t>
      </w:r>
      <w:r>
        <w:rPr>
          <w:rFonts w:ascii="Times New Roman;sans-serif" w:hAnsi="Times New Roman;sans-serif"/>
          <w:b w:val="false"/>
          <w:color w:val="000000"/>
          <w:sz w:val="16"/>
        </w:rPr>
        <w:t>Rattlesnake has a deliverable capacity of 144 MW.</w:t>
      </w:r>
    </w:p>
    <w:p>
      <w:pPr>
        <w:pStyle w:val="TextBody"/>
        <w:bidi w:val="0"/>
        <w:spacing w:before="0" w:after="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Significant Events</w:t>
      </w:r>
    </w:p>
    <w:p>
      <w:pPr>
        <w:pStyle w:val="TextBody"/>
        <w:bidi w:val="0"/>
        <w:spacing w:lineRule="auto" w:line="288" w:before="0" w:after="180"/>
        <w:jc w:val="both"/>
        <w:rPr/>
      </w:pPr>
      <w:r>
        <w:rPr>
          <w:rFonts w:ascii="Times New Roman;sans-serif" w:hAnsi="Times New Roman;sans-serif"/>
          <w:b w:val="false"/>
          <w:i/>
          <w:color w:val="000000"/>
          <w:sz w:val="20"/>
        </w:rPr>
        <w:t>Drop Down Transactions</w:t>
      </w:r>
      <w:r>
        <w:rPr>
          <w:color w:val="000000"/>
        </w:rPr>
        <w:t xml:space="preserve"> </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June 27, 2024, the Company, through an indirect subsidiary, entered into an agreement with Clearway Renew to acquire the Class A membership interests in Luna Valley, a 200 MW solar facility currently under construction in Fresno County, California, and Daggett 1, a 114 MW BESS facility currently under construction in San Bernardino, California, for $143 million in cash consideration, subject to closing adjustments. The consummation of the transaction is subject to customary closing conditions and certain third-party approvals and is expected in the second half of 2025.</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May 7, 2024, the Company, through an indirect subsidiary, entered into an agreement with Clearway Renew to acquire the Class A membership interests in Rosamond South I, a 140 MW solar facility that will be paired with a 117 MW BESS facility currently under construction in Rosamond, California, for $21 million in cash consideration, subject to closing adjustments. The consummation of the transaction is subject to customary closing conditions and certain third-party approvals and is expected in the first half of 2025.</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May 3, 2024, the Company, through an indirect subsidiary, entered into an agreement with Clearway Renew to acquire the Class A membership interests in Dan’s Mountain, a 55 MW wind facility currently under construction in Allegany County, Maryland, for $44 million in cash consideration, subject to closing adjustments. The consummation of the transaction is subject to customary closing conditions and certain third-party approvals and is expected in the first half of 2025.</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rPr>
        <w:t xml:space="preserve">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See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for further discussion of the transaction.</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rPr>
        <w:t xml:space="preserve">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See Note 3, </w:t>
      </w:r>
      <w:r>
        <w:rPr>
          <w:rFonts w:ascii="Times New Roman;sans-serif" w:hAnsi="Times New Roman;sans-serif"/>
          <w:b w:val="false"/>
          <w:i/>
          <w:color w:val="000000"/>
          <w:sz w:val="20"/>
        </w:rPr>
        <w:t>Acquisitions</w:t>
      </w:r>
      <w:r>
        <w:rPr>
          <w:rFonts w:ascii="Times New Roman;sans-serif" w:hAnsi="Times New Roman;sans-serif"/>
          <w:b w:val="false"/>
          <w:color w:val="000000"/>
          <w:sz w:val="20"/>
        </w:rPr>
        <w:t>, for further discussion of the transaction.</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RA Agreements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On May 6, 2024, the Company contracted with a load serving entity to sell approximately 97 MW of Walnut Creek’s RA commencing in January 2027 and ending in December 2027. Walnut Creek is contracted for 100% of its capacity through 2026 and is now contracted for approximately 20% of its capacity through 2027.</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On March 28, 2024, the Company contracted with a load serving entity to sell approximately 90 MW of Marsh Landing’s RA commencing in September 2026 and ending in December 2030. On July 31, 2024, the Company contracted with an additional load serving entity to sell approximately 195 MW of Marsh Landing’s RA commencing in October 2026 and ending in December 2028. Marsh Landing is now contracted for approximately 99% of its capacity through 2027 and approximately 49% of its capacity through 2028.</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Facility-level Financing Activities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 connection with the 2024 Drop Downs of Texas Solar Nova 2 and Cedar Creek, the Company assumed non-recourse facility-level debt. See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non-recourse facility-level debt associated with each facility.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On July 25, 2024, the Company, through its indirect subsidiary, Natural Gas Holdco, entered into a financing agreement that provides for a $200 million letter of credit facility, which will be utilized to support the collateral needs of the Company’s merchant conventional facilities and will free up capacity on the Company’s corporate revolving credit facility. See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for further discussion of the letter of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On June 13, 2024, when the Rosamond Central BESS facility reached substantial completion, the Company paid $279 million 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Clearway Renew utilized the proceeds to repay the loan that was previously issued to its consolidated subsidiary by Rosie Class B LLC and to redeem Rosie Class B LLC’s entire equity investment in Rosie Central BESS. The Company utilized proceeds from Clearway Renew, along with $39 million held previously in escrow and $56 million of the Company’s additional purchase price contributed back by CEG, to repay the tax equity bridge loan, to make a distribution to the cash equity investor, to fund construction completion reserves and to pay associated fees. See Note 4,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xml:space="preserve">, and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transactions.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On June 11, 2024, NIMH Solar LLC refinanced its amended and restated credit agreement, which was scheduled to mature in September 2024, resulting in the issuance of a $137 million term loan facility, as well as $17 million in letters of credit in support of debt service and facility obligations. The Company utilized the proceeds from the term loan and existing sources of liquidity to pay off the existing debt. See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refinanced credit agreement.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See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transactions.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Environmental Matters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Company’s environmental matters are further described in the Company’s 2023 Form 10-K in Item 1, </w:t>
      </w:r>
      <w:r>
        <w:rPr>
          <w:rFonts w:ascii="Times New Roman;sans-serif" w:hAnsi="Times New Roman;sans-serif"/>
          <w:b w:val="false"/>
          <w:i/>
          <w:color w:val="000000"/>
          <w:sz w:val="20"/>
        </w:rPr>
        <w:t xml:space="preserve">Business </w:t>
      </w:r>
      <w:r>
        <w:rPr>
          <w:color w:val="000000"/>
        </w:rPr>
        <w:t xml:space="preserve">— </w:t>
      </w:r>
      <w:r>
        <w:rPr>
          <w:rFonts w:ascii="Times New Roman;sans-serif" w:hAnsi="Times New Roman;sans-serif"/>
          <w:b w:val="false"/>
          <w:i/>
          <w:color w:val="000000"/>
          <w:sz w:val="20"/>
        </w:rPr>
        <w:t>Environmental Matters</w:t>
      </w:r>
      <w:r>
        <w:rPr>
          <w:color w:val="000000"/>
        </w:rPr>
        <w:t xml:space="preserve"> </w:t>
      </w:r>
      <w:r>
        <w:rPr>
          <w:rFonts w:ascii="Times New Roman;sans-serif" w:hAnsi="Times New Roman;sans-serif"/>
          <w:b w:val="false"/>
          <w:color w:val="000000"/>
          <w:sz w:val="20"/>
        </w:rPr>
        <w:t xml:space="preserve">and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following disclosures about the Company’s regulatory matters provide an update to, and should be read in conjunction with, Item 1, </w:t>
      </w:r>
      <w:r>
        <w:rPr>
          <w:rFonts w:ascii="Times New Roman;sans-serif" w:hAnsi="Times New Roman;sans-serif"/>
          <w:b w:val="false"/>
          <w:i/>
          <w:color w:val="000000"/>
          <w:sz w:val="20"/>
        </w:rPr>
        <w:t xml:space="preserve">Business </w:t>
      </w:r>
      <w:r>
        <w:rPr>
          <w:color w:val="000000"/>
        </w:rPr>
        <w:t xml:space="preserve">— </w:t>
      </w:r>
      <w:r>
        <w:rPr>
          <w:rFonts w:ascii="Times New Roman;sans-serif" w:hAnsi="Times New Roman;sans-serif"/>
          <w:b w:val="false"/>
          <w:i/>
          <w:color w:val="000000"/>
          <w:sz w:val="20"/>
        </w:rPr>
        <w:t>Regulatory Matters</w:t>
      </w:r>
      <w:r>
        <w:rPr>
          <w:color w:val="000000"/>
        </w:rPr>
        <w:t xml:space="preserve"> </w:t>
      </w:r>
      <w:r>
        <w:rPr>
          <w:rFonts w:ascii="Times New Roman;sans-serif" w:hAnsi="Times New Roman;sans-serif"/>
          <w:b w:val="false"/>
          <w:color w:val="000000"/>
          <w:sz w:val="20"/>
        </w:rPr>
        <w:t xml:space="preserve">and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of the Company’s 2023 Form 10-K</w:t>
      </w:r>
      <w:r>
        <w:rPr>
          <w:rFonts w:ascii="Times New Roman;sans-serif" w:hAnsi="Times New Roman;sans-serif"/>
          <w:b w:val="false"/>
          <w:i/>
          <w:color w:val="000000"/>
          <w:sz w:val="20"/>
        </w:rPr>
        <w: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Consolidated Results of Operations </w:t>
      </w:r>
    </w:p>
    <w:p>
      <w:pPr>
        <w:pStyle w:val="TextBody"/>
        <w:bidi w:val="0"/>
        <w:spacing w:lineRule="auto" w:line="288" w:before="0" w:after="6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selected financial information:</w:t>
      </w:r>
    </w:p>
    <w:tbl>
      <w:tblPr>
        <w:tblW w:w="10205" w:type="dxa"/>
        <w:jc w:val="left"/>
        <w:tblInd w:w="0" w:type="dxa"/>
        <w:tblLayout w:type="fixed"/>
        <w:tblCellMar>
          <w:top w:w="28" w:type="dxa"/>
          <w:left w:w="28" w:type="dxa"/>
          <w:bottom w:w="28" w:type="dxa"/>
          <w:right w:w="28" w:type="dxa"/>
        </w:tblCellMar>
      </w:tblPr>
      <w:tblGrid>
        <w:gridCol w:w="1607"/>
        <w:gridCol w:w="1202"/>
        <w:gridCol w:w="1209"/>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09"/>
        <w:gridCol w:w="109"/>
        <w:gridCol w:w="211"/>
        <w:gridCol w:w="361"/>
        <w:gridCol w:w="155"/>
      </w:tblGrid>
      <w:tr>
        <w:trPr/>
        <w:tc>
          <w:tcPr>
            <w:tcW w:w="160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 Revenues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Energy and capacity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revenues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fuels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 of operations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Transaction and integration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interest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 and redeemable noncontrolling interests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LLC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12" w:type="dxa"/>
        <w:jc w:val="left"/>
        <w:tblInd w:w="0" w:type="dxa"/>
        <w:tblLayout w:type="fixed"/>
        <w:tblCellMar>
          <w:top w:w="28" w:type="dxa"/>
          <w:left w:w="28" w:type="dxa"/>
          <w:bottom w:w="28" w:type="dxa"/>
          <w:right w:w="28" w:type="dxa"/>
        </w:tblCellMar>
      </w:tblPr>
      <w:tblGrid>
        <w:gridCol w:w="1534"/>
        <w:gridCol w:w="1352"/>
        <w:gridCol w:w="1358"/>
        <w:gridCol w:w="308"/>
        <w:gridCol w:w="308"/>
        <w:gridCol w:w="461"/>
        <w:gridCol w:w="185"/>
        <w:gridCol w:w="185"/>
        <w:gridCol w:w="185"/>
        <w:gridCol w:w="308"/>
        <w:gridCol w:w="308"/>
        <w:gridCol w:w="461"/>
        <w:gridCol w:w="109"/>
        <w:gridCol w:w="109"/>
        <w:gridCol w:w="109"/>
        <w:gridCol w:w="308"/>
        <w:gridCol w:w="308"/>
        <w:gridCol w:w="415"/>
        <w:gridCol w:w="167"/>
        <w:gridCol w:w="167"/>
        <w:gridCol w:w="167"/>
        <w:gridCol w:w="308"/>
        <w:gridCol w:w="308"/>
        <w:gridCol w:w="484"/>
      </w:tblGrid>
      <w:tr>
        <w:trPr/>
        <w:tc>
          <w:tcPr>
            <w:tcW w:w="153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metrics:</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Solar MWh generated/sold (in thousands) </w:t>
            </w:r>
            <w:r>
              <w:rPr>
                <w:rFonts w:ascii="Times New Roman;sans-serif" w:hAnsi="Times New Roman;sans-serif"/>
                <w:b w:val="false"/>
                <w:color w:val="000000"/>
                <w:sz w:val="13"/>
              </w:rPr>
              <w:t>(a)</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Wind MWh generated/sold (in thousands) </w:t>
            </w:r>
            <w:r>
              <w:rPr>
                <w:rFonts w:ascii="Times New Roman;sans-serif" w:hAnsi="Times New Roman;sans-serif"/>
                <w:b w:val="false"/>
                <w:color w:val="000000"/>
                <w:sz w:val="13"/>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Renewables MWh generated/sold (in thousands) </w:t>
            </w:r>
            <w:r>
              <w:rPr>
                <w:rFonts w:ascii="Times New Roman;sans-serif" w:hAnsi="Times New Roman;sans-serif"/>
                <w:b w:val="false"/>
                <w:color w:val="000000"/>
                <w:sz w:val="13"/>
              </w:rPr>
              <w:t>(a)</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Solar weighted-average capacity factor </w:t>
            </w:r>
            <w:r>
              <w:rPr>
                <w:rFonts w:ascii="Times New Roman;sans-serif" w:hAnsi="Times New Roman;sans-serif"/>
                <w:b w:val="false"/>
                <w:color w:val="000000"/>
                <w:sz w:val="13"/>
              </w:rPr>
              <w:t>(b)</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4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4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4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4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Wind weighted-average capacity factor </w:t>
            </w:r>
            <w:r>
              <w:rPr>
                <w:rFonts w:ascii="Times New Roman;sans-serif" w:hAnsi="Times New Roman;sans-serif"/>
                <w:b w:val="false"/>
                <w:color w:val="000000"/>
                <w:sz w:val="13"/>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Conventional MWh generated (in thousands)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equivalent availability factor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shd w:fill="FFFFFF" w:val="clear"/>
        </w:rPr>
      </w:pPr>
      <w:r>
        <w:rPr>
          <w:rFonts w:ascii="Times New Roman;sans-serif" w:hAnsi="Times New Roman;sans-serif"/>
          <w:b w:val="false"/>
          <w:color w:val="000000"/>
          <w:sz w:val="13"/>
          <w:shd w:fill="FFFFFF" w:val="clear"/>
        </w:rPr>
        <w:t xml:space="preserve">(a) </w:t>
      </w:r>
      <w:r>
        <w:rPr>
          <w:rFonts w:ascii="Times New Roman;sans-serif" w:hAnsi="Times New Roman;sans-serif"/>
          <w:b w:val="false"/>
          <w:color w:val="000000"/>
          <w:sz w:val="16"/>
          <w:shd w:fill="FFFFFF" w:val="clear"/>
        </w:rPr>
        <w:t>Volumes do not include the MWh generated/sold by the Company’s equity method investments.</w:t>
      </w:r>
    </w:p>
    <w:p>
      <w:pPr>
        <w:pStyle w:val="TextBody"/>
        <w:bidi w:val="0"/>
        <w:spacing w:lineRule="auto" w:line="288" w:before="0" w:after="20"/>
        <w:jc w:val="both"/>
        <w:rPr>
          <w:shd w:fill="FFFFFF" w:val="clear"/>
        </w:rPr>
      </w:pPr>
      <w:r>
        <w:rPr>
          <w:rFonts w:ascii="Times New Roman;sans-serif" w:hAnsi="Times New Roman;sans-serif"/>
          <w:b w:val="false"/>
          <w:color w:val="000000"/>
          <w:sz w:val="13"/>
          <w:shd w:fill="FFFFFF" w:val="clear"/>
        </w:rPr>
        <w:t>(b)</w:t>
      </w:r>
      <w:r>
        <w:rPr>
          <w:color w:val="000000"/>
          <w:shd w:fill="FFFFFF" w:val="clear"/>
        </w:rPr>
        <w:t xml:space="preserve"> </w:t>
      </w:r>
      <w:r>
        <w:rPr>
          <w:rFonts w:ascii="Times New Roman;sans-serif" w:hAnsi="Times New Roman;sans-serif"/>
          <w:b w:val="false"/>
          <w:color w:val="000000"/>
          <w:sz w:val="16"/>
          <w:shd w:fill="FFFFFF" w:val="clear"/>
        </w:rPr>
        <w:t>Typical average capacity factors for solar facilities is 25%. The weighted-average capacity factors can vary based on seasonality and weather.</w:t>
      </w:r>
    </w:p>
    <w:p>
      <w:pPr>
        <w:pStyle w:val="TextBody"/>
        <w:bidi w:val="0"/>
        <w:spacing w:lineRule="auto" w:line="288" w:before="0" w:after="20"/>
        <w:jc w:val="both"/>
        <w:rPr>
          <w:shd w:fill="FFFFFF" w:val="clear"/>
        </w:rPr>
      </w:pPr>
      <w:r>
        <w:rPr>
          <w:rFonts w:ascii="Times New Roman;sans-serif" w:hAnsi="Times New Roman;sans-serif"/>
          <w:b w:val="false"/>
          <w:color w:val="000000"/>
          <w:sz w:val="13"/>
          <w:shd w:fill="FFFFFF" w:val="clear"/>
        </w:rPr>
        <w:t>(c)</w:t>
      </w:r>
      <w:r>
        <w:rPr>
          <w:color w:val="000000"/>
          <w:shd w:fill="FFFFFF" w:val="clear"/>
        </w:rPr>
        <w:t xml:space="preserve"> </w:t>
      </w:r>
      <w:r>
        <w:rPr>
          <w:rFonts w:ascii="Times New Roman;sans-serif" w:hAnsi="Times New Roman;sans-serif"/>
          <w:b w:val="false"/>
          <w:color w:val="000000"/>
          <w:sz w:val="16"/>
          <w:shd w:fill="FFFFFF" w:val="clear"/>
        </w:rPr>
        <w:t>Typical average capacity factors for wind facilities is 25-45%. The weighted-average capacity factors can vary based on seasonality and weather.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Management’s Discussion of the Results of Operations for the Three Months Ended June 30, 2024 and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Operating Revenues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decreased by $40 million during the three months ended June 30, 2024, compared to the same period in 2023, due to a combination of the drivers summarized in the table below: </w:t>
      </w:r>
    </w:p>
    <w:tbl>
      <w:tblPr>
        <w:tblW w:w="10205" w:type="dxa"/>
        <w:jc w:val="left"/>
        <w:tblInd w:w="0" w:type="dxa"/>
        <w:tblLayout w:type="fixed"/>
        <w:tblCellMar>
          <w:top w:w="28" w:type="dxa"/>
          <w:left w:w="28" w:type="dxa"/>
          <w:bottom w:w="28" w:type="dxa"/>
          <w:right w:w="28" w:type="dxa"/>
        </w:tblCellMar>
      </w:tblPr>
      <w:tblGrid>
        <w:gridCol w:w="858"/>
        <w:gridCol w:w="590"/>
        <w:gridCol w:w="593"/>
        <w:gridCol w:w="2406"/>
        <w:gridCol w:w="2406"/>
        <w:gridCol w:w="2412"/>
        <w:gridCol w:w="229"/>
        <w:gridCol w:w="435"/>
        <w:gridCol w:w="118"/>
        <w:gridCol w:w="158"/>
      </w:tblGrid>
      <w:tr>
        <w:trPr/>
        <w:tc>
          <w:tcPr>
            <w:tcW w:w="85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Conventional Segment</w:t>
            </w:r>
          </w:p>
        </w:tc>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lower prices for capacity revenue due to the expiration of PPAs and commencement of RA capacity revenue at the Walnut Creek and Marsh Landing facilities during the second quarter of 2023 and the El Segundo facility during the third quarter of 2023.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by the sales-type lease revenue recognition of the Marsh Landing Black Start addition recognized in the second quarter of 2023.</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energy revenue due to the commencement of merchant operations following the expiration of PPAs at the Walnut Creek, Marsh Landing and El Segundo facilities during 2023.</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Renewables Segment</w:t>
            </w:r>
          </w:p>
        </w:tc>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the Daggett 2, Daggett 3, Victory Pass and Arica solar and BESS acquisitions, which reached commercial operations in December 2023, July 2023, March 2024 and April 2024, respectively, and the acquisition of Texas Solar Nova 1 and Texas Solar Nova 2 in December 2023 and March 2024, respectively.</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wind production at the Alta wind facilities.</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acquisition of the Cedar Creek wind facility in April 2024.</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amortization</w:t>
            </w:r>
          </w:p>
        </w:tc>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Driven by the Walnut Creek PPA, which was fully amortized during the second quarter of 2023.</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Mark-to-market economic hedging activities</w:t>
            </w:r>
          </w:p>
        </w:tc>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by increases in forward power prices in the ERCOT and PJM markets.</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due to heat rate call option contracts entered into by El Segundo, Marsh Landing and Walnut Creek during the fourth quarter of 2023.</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7224"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Cost of Fuels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fuels decreased by $14 million during the three months ended June 30, 2024, compared to the same period in 2023, primarily due to the associated costs of the sales-type lease recognition of the Marsh Landing Black Start addition during the second quarter of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Operations and Maintenance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expense increased by $10 million during the three months ended June 30, 2024, compared to the same period in 2023, primarily due to solar and BESS acquisitions.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$33 million during the three months ended June 30, 2024, compared to the same period in 2023, primarily due to the following:</w:t>
      </w:r>
    </w:p>
    <w:tbl>
      <w:tblPr>
        <w:tblW w:w="10205" w:type="dxa"/>
        <w:jc w:val="left"/>
        <w:tblInd w:w="0" w:type="dxa"/>
        <w:tblLayout w:type="fixed"/>
        <w:tblCellMar>
          <w:top w:w="28" w:type="dxa"/>
          <w:left w:w="28" w:type="dxa"/>
          <w:bottom w:w="28" w:type="dxa"/>
          <w:right w:w="28" w:type="dxa"/>
        </w:tblCellMar>
      </w:tblPr>
      <w:tblGrid>
        <w:gridCol w:w="3377"/>
        <w:gridCol w:w="2894"/>
        <w:gridCol w:w="2916"/>
        <w:gridCol w:w="295"/>
        <w:gridCol w:w="505"/>
        <w:gridCol w:w="218"/>
      </w:tblGrid>
      <w:tr>
        <w:trPr/>
        <w:tc>
          <w:tcPr>
            <w:tcW w:w="3377"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swaps due to changes in interest rates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interest expense due to an increase in principal balances for the Renewables segment primarily due to solar and BESS acquisitions</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Noncontrolling Interests and Redeemable Noncontrolling Interests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the Company had a net loss of $92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27"/>
        <w:gridCol w:w="2921"/>
        <w:gridCol w:w="2937"/>
        <w:gridCol w:w="241"/>
        <w:gridCol w:w="600"/>
        <w:gridCol w:w="179"/>
      </w:tblGrid>
      <w:tr>
        <w:trPr/>
        <w:tc>
          <w:tcPr>
            <w:tcW w:w="3327"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9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 (primarily due to VP-Arica TE Holdco LLC HLBV losses)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attributable to third-party partnerships (primarily due to VP-Arica TE Holdco LLC HLBV losses) </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net income (loss) attributable to noncontrolling interests and redeemable noncontrolling interests was comprised of the following:</w:t>
      </w:r>
    </w:p>
    <w:tbl>
      <w:tblPr>
        <w:tblW w:w="9133" w:type="dxa"/>
        <w:jc w:val="left"/>
        <w:tblInd w:w="0" w:type="dxa"/>
        <w:tblLayout w:type="fixed"/>
        <w:tblCellMar>
          <w:top w:w="28" w:type="dxa"/>
          <w:left w:w="28" w:type="dxa"/>
          <w:bottom w:w="28" w:type="dxa"/>
          <w:right w:w="28" w:type="dxa"/>
        </w:tblCellMar>
      </w:tblPr>
      <w:tblGrid>
        <w:gridCol w:w="2909"/>
        <w:gridCol w:w="2562"/>
        <w:gridCol w:w="2568"/>
        <w:gridCol w:w="299"/>
        <w:gridCol w:w="577"/>
        <w:gridCol w:w="218"/>
      </w:tblGrid>
      <w:tr>
        <w:trPr/>
        <w:tc>
          <w:tcPr>
            <w:tcW w:w="2909"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third-party partnerships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Management’s Discussion of the Results of Operations for the Six Months Ended June 30, 2024 and 2023</w:t>
      </w:r>
    </w:p>
    <w:p>
      <w:pPr>
        <w:pStyle w:val="TextBody"/>
        <w:bidi w:val="0"/>
        <w:spacing w:lineRule="auto" w:line="288" w:before="300" w:after="180"/>
        <w:jc w:val="both"/>
        <w:rPr>
          <w:rFonts w:ascii="Times New Roman;sans-serif" w:hAnsi="Times New Roman;sans-serif"/>
          <w:b/>
          <w:i/>
          <w:color w:val="000000"/>
          <w:sz w:val="20"/>
        </w:rPr>
      </w:pPr>
      <w:r>
        <w:rPr>
          <w:rFonts w:ascii="Times New Roman;sans-serif" w:hAnsi="Times New Roman;sans-serif"/>
          <w:b/>
          <w:i/>
          <w:color w:val="000000"/>
          <w:sz w:val="20"/>
        </w:rPr>
        <w:t>Operating Revenues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decreased by $65 million during the six months ended June 30, 2024, compared to the same period in 2023,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865"/>
        <w:gridCol w:w="598"/>
        <w:gridCol w:w="601"/>
        <w:gridCol w:w="2434"/>
        <w:gridCol w:w="2434"/>
        <w:gridCol w:w="2439"/>
        <w:gridCol w:w="229"/>
        <w:gridCol w:w="435"/>
        <w:gridCol w:w="170"/>
      </w:tblGrid>
      <w:tr>
        <w:trPr/>
        <w:tc>
          <w:tcPr>
            <w:tcW w:w="86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Conventional Segment</w:t>
            </w:r>
          </w:p>
        </w:tc>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lower prices for capacity revenue due to the expiration of PPAs and commencement of RA capacity revenue at the Walnut Creek and Marsh Landing facilities during the second quarter of 2023 and the El Segundo facility during the third quarter of 2023.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by the sales-type lease revenue recognition of the Marsh Landing Black Start addition during the second quarter of 2023.</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energy revenue due to the commencement of merchant operations following the expiration of PPAs at the Walnut Creek, Marsh Landing and El Segundo facilities during 2023.</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Renewables Segment</w:t>
            </w:r>
          </w:p>
        </w:tc>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Daggett 2, Daggett 3, Victory Pass and Arica solar and BESS acquisitions, which reached commercial operations in December 2023, July 2023, March 2024 and April 2024, respectively, and the acquisition of Texas Solar Nova 1 and Texas Solar Nova 2 in December 2023 and March 2024, respectively.</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wind production at the Alta wind facilities.</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acquisition of the Cedar Creek wind facility in April 2024.</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amortization</w:t>
            </w:r>
          </w:p>
        </w:tc>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Driven by the Walnut Creek PPA, which was fully amortized during the second quarter of 2023.</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Mark-to-market economic hedging activities</w:t>
            </w:r>
          </w:p>
        </w:tc>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by increases in forward power prices in the ERCOT and PJM markets.</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due to heat rate call option contracts entered into by El Segundo, Marsh Landing and Walnut Creek during the fourth quarter of 2023.</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Operations and Maintenance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expense increased by $10 million during the six months ended June 30, 2024, compared to the same period in 2023, primarily due to solar and BESS acquisitions.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increased $51 million during the six months ended June 30, 2024, compared to the same period in 2023, primarily due to the acquisitions of the Daggett 2, Daggett 3, Victory Pass and Arica solar and BESS facilities, as well as Texas Solar Nova 1 and Texas Solar Nova 2.</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Equity in Earnings of Unconsolidated Affiliates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 increased by $20 million during six months ended June 30, 2024, compared to the same period in 2023, due to changes in the fair value of interest rate swaps, lower depreciation expense and higher wind production.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$9 million during the six months ended June 30, 2024, compared to the same period in 2023, primarily due to the following:</w:t>
      </w:r>
    </w:p>
    <w:tbl>
      <w:tblPr>
        <w:tblW w:w="10205" w:type="dxa"/>
        <w:jc w:val="left"/>
        <w:tblInd w:w="0" w:type="dxa"/>
        <w:tblLayout w:type="fixed"/>
        <w:tblCellMar>
          <w:top w:w="28" w:type="dxa"/>
          <w:left w:w="28" w:type="dxa"/>
          <w:bottom w:w="28" w:type="dxa"/>
          <w:right w:w="28" w:type="dxa"/>
        </w:tblCellMar>
      </w:tblPr>
      <w:tblGrid>
        <w:gridCol w:w="3377"/>
        <w:gridCol w:w="2894"/>
        <w:gridCol w:w="2916"/>
        <w:gridCol w:w="270"/>
        <w:gridCol w:w="548"/>
        <w:gridCol w:w="200"/>
      </w:tblGrid>
      <w:tr>
        <w:trPr/>
        <w:tc>
          <w:tcPr>
            <w:tcW w:w="3377"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swaps due to changes in interest rates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interest expense due to an increase in principal balances for the Renewables segment primarily due to solar and BESS acquisitions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91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9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Net Loss Attributable to Noncontrolling Interests and Redeemable Noncontrolling Interests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the Company had a net loss of $125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44"/>
        <w:gridCol w:w="2937"/>
        <w:gridCol w:w="2952"/>
        <w:gridCol w:w="232"/>
        <w:gridCol w:w="567"/>
        <w:gridCol w:w="173"/>
      </w:tblGrid>
      <w:tr>
        <w:trPr/>
        <w:tc>
          <w:tcPr>
            <w:tcW w:w="3344"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9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 (primarily due to VP-Arica TE Holdco LLC, Daggett TE Holdco LLC and Daggett 2 TE Holdco LLC HLBV losses)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third-party partnerships (primarily due to VP-Arica TE Holdco LLC, Daggett TE Holdco LLC and Daggett 2 TE Holdco LLC HLBV losses)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3"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9233"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9233"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9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Company had a net loss of $30 million attributable to noncontrolling interests and redeemable noncontrolling interests comprised of the following:</w:t>
      </w:r>
    </w:p>
    <w:tbl>
      <w:tblPr>
        <w:tblW w:w="9133" w:type="dxa"/>
        <w:jc w:val="left"/>
        <w:tblInd w:w="0" w:type="dxa"/>
        <w:tblLayout w:type="fixed"/>
        <w:tblCellMar>
          <w:top w:w="28" w:type="dxa"/>
          <w:left w:w="28" w:type="dxa"/>
          <w:bottom w:w="28" w:type="dxa"/>
          <w:right w:w="28" w:type="dxa"/>
        </w:tblCellMar>
      </w:tblPr>
      <w:tblGrid>
        <w:gridCol w:w="2912"/>
        <w:gridCol w:w="2557"/>
        <w:gridCol w:w="2570"/>
        <w:gridCol w:w="288"/>
        <w:gridCol w:w="596"/>
        <w:gridCol w:w="210"/>
      </w:tblGrid>
      <w:tr>
        <w:trPr/>
        <w:tc>
          <w:tcPr>
            <w:tcW w:w="2912"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third-party partnerships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sans-serif" w:hAnsi="Times New Roman;sans-serif"/>
          <w:b w:val="false"/>
          <w:color w:val="000000"/>
          <w:sz w:val="20"/>
        </w:rPr>
        <w:t xml:space="preserve">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Current Liquidity Position</w:t>
      </w:r>
    </w:p>
    <w:p>
      <w:pPr>
        <w:pStyle w:val="TextBody"/>
        <w:bidi w:val="0"/>
        <w:spacing w:lineRule="auto" w:line="288" w:before="0" w:after="60"/>
        <w:ind w:left="0" w:right="0" w:firstLine="45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June 30, 2024</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the Company’s liquidity was approximately $1.07 billion and $1.51 billion, respectively, comprised of cash, restricted cash and availability under the Company’s revolving credit facility.</w:t>
      </w:r>
    </w:p>
    <w:tbl>
      <w:tblPr>
        <w:tblW w:w="10205" w:type="dxa"/>
        <w:jc w:val="left"/>
        <w:tblInd w:w="0" w:type="dxa"/>
        <w:tblLayout w:type="fixed"/>
        <w:tblCellMar>
          <w:top w:w="28" w:type="dxa"/>
          <w:left w:w="28" w:type="dxa"/>
          <w:bottom w:w="28" w:type="dxa"/>
          <w:right w:w="28" w:type="dxa"/>
        </w:tblCellMar>
      </w:tblPr>
      <w:tblGrid>
        <w:gridCol w:w="2515"/>
        <w:gridCol w:w="2203"/>
        <w:gridCol w:w="2226"/>
        <w:gridCol w:w="109"/>
        <w:gridCol w:w="109"/>
        <w:gridCol w:w="109"/>
        <w:gridCol w:w="249"/>
        <w:gridCol w:w="730"/>
        <w:gridCol w:w="129"/>
        <w:gridCol w:w="109"/>
        <w:gridCol w:w="109"/>
        <w:gridCol w:w="109"/>
        <w:gridCol w:w="321"/>
        <w:gridCol w:w="940"/>
        <w:gridCol w:w="238"/>
      </w:tblGrid>
      <w:tr>
        <w:trPr/>
        <w:tc>
          <w:tcPr>
            <w:tcW w:w="2515"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Company’s liquidity includes $344 million and $516 million of restricted cash balances as of June 30, 2024 and December 31, </w:t>
      </w:r>
      <w:r>
        <w:rPr>
          <w:rFonts w:ascii="Times New Roman;sans-serif" w:hAnsi="Times New Roman;sans-serif"/>
          <w:b w:val="false"/>
          <w:color w:val="000000"/>
          <w:sz w:val="20"/>
        </w:rPr>
        <w:t>2023</w:t>
      </w:r>
      <w:r>
        <w:rPr>
          <w:rFonts w:ascii="Times New Roman;sans-serif" w:hAnsi="Times New Roman;sans-serif"/>
          <w:b w:val="false"/>
          <w:color w:val="231F20"/>
          <w:sz w:val="20"/>
        </w:rPr>
        <w:t xml:space="preserve">, respectively. Restricted cash consists primarily of funds to satisfy the requirements of certain debt arrangements and funds held within the Company’s facilities that are restricted in their use. As of </w:t>
      </w:r>
      <w:r>
        <w:rPr>
          <w:rFonts w:ascii="Times New Roman;sans-serif" w:hAnsi="Times New Roman;sans-serif"/>
          <w:b w:val="false"/>
          <w:color w:val="000000"/>
          <w:sz w:val="20"/>
        </w:rPr>
        <w:t>June 30, 2024, these restricted funds were comprised of $169 million designated to fund operating expenses, approximately $42 million designated for current debt service payments and $89 million restricted for reserves including debt service, performance obligations and other reserves, as well as capital expenditures. The remaining $44 million is held in distribution reserve accounts.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Clearway Energy LLC and Clearway Energy Operating LLC Revolving Credit Facility </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of June 30, 2024, the Company had no outstanding borrowings under the revolving credit facility and $205 million in letters of credit outstanding. </w:t>
      </w:r>
      <w:r>
        <w:rPr>
          <w:rFonts w:ascii="Times New Roman;sans-serif" w:hAnsi="Times New Roman;sans-serif"/>
          <w:b w:val="false"/>
          <w:color w:val="231F20"/>
          <w:sz w:val="20"/>
        </w:rPr>
        <w:t>The facility will continue to be used for general corporate purposes including financing of future acquisitions and posting letters of credit.</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Credit Ratings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June 30, 2024, the Company’s 2028 Senior Notes, 2031 Senior Notes and 2032 Senior Notes were rated BB by S&amp;P and Ba2 by Moody’s.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231F20"/>
          <w:sz w:val="20"/>
        </w:rPr>
      </w:pPr>
      <w:r>
        <w:rPr>
          <w:rFonts w:ascii="Times New Roman;sans-serif" w:hAnsi="Times New Roman;sans-serif"/>
          <w:b/>
          <w:i/>
          <w:color w:val="231F20"/>
          <w:sz w:val="20"/>
        </w:rPr>
        <w:t>Sources of Liquidity</w:t>
      </w:r>
    </w:p>
    <w:p>
      <w:pPr>
        <w:pStyle w:val="TextBody"/>
        <w:bidi w:val="0"/>
        <w:spacing w:lineRule="auto" w:line="276" w:before="0" w:after="180"/>
        <w:ind w:left="0" w:right="0" w:firstLine="450"/>
        <w:jc w:val="both"/>
        <w:rPr/>
      </w:pPr>
      <w:r>
        <w:rPr>
          <w:rFonts w:ascii="Times New Roman;sans-serif" w:hAnsi="Times New Roman;sans-serif"/>
          <w:b w:val="false"/>
          <w:color w:val="231F20"/>
          <w:sz w:val="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Times New Roman;sans-serif" w:hAnsi="Times New Roman;sans-serif"/>
          <w:b w:val="false"/>
          <w:i/>
          <w:color w:val="231F20"/>
          <w:sz w:val="20"/>
        </w:rPr>
        <w:t>Long-term Debt</w:t>
      </w:r>
      <w:r>
        <w:rPr>
          <w:rFonts w:ascii="Times New Roman;sans-serif" w:hAnsi="Times New Roman;sans-serif"/>
          <w:b w:val="false"/>
          <w:color w:val="231F20"/>
          <w:sz w:val="20"/>
        </w:rPr>
        <w:t xml:space="preserve">, to this Form 10-Q and Item 15 — Note 10, </w:t>
      </w:r>
      <w:r>
        <w:rPr>
          <w:rFonts w:ascii="Times New Roman;sans-serif" w:hAnsi="Times New Roman;sans-serif"/>
          <w:b w:val="false"/>
          <w:i/>
          <w:color w:val="231F20"/>
          <w:sz w:val="20"/>
        </w:rPr>
        <w:t>Long-term Debt</w:t>
      </w:r>
      <w:r>
        <w:rPr>
          <w:rFonts w:ascii="Times New Roman;sans-serif" w:hAnsi="Times New Roman;sans-serif"/>
          <w:b w:val="false"/>
          <w:color w:val="231F20"/>
          <w:sz w:val="20"/>
        </w:rPr>
        <w:t xml:space="preserve">, to the consolidated financial statements included in the Company’s </w:t>
      </w:r>
      <w:r>
        <w:rPr>
          <w:rFonts w:ascii="Times New Roman;sans-serif" w:hAnsi="Times New Roman;sans-serif"/>
          <w:b w:val="false"/>
          <w:color w:val="000000"/>
          <w:sz w:val="20"/>
        </w:rPr>
        <w:t>2023 Form 10-K</w:t>
      </w:r>
      <w:r>
        <w:rPr>
          <w:rFonts w:ascii="Times New Roman;sans-serif" w:hAnsi="Times New Roman;sans-serif"/>
          <w:b w:val="false"/>
          <w:color w:val="231F20"/>
          <w:sz w:val="20"/>
        </w:rPr>
        <w:t xml:space="preserve">, the Company’s financing arrangements consist of </w:t>
      </w:r>
      <w:r>
        <w:rPr>
          <w:rFonts w:ascii="Times New Roman;sans-serif" w:hAnsi="Times New Roman;sans-serif"/>
          <w:b w:val="false"/>
          <w:color w:val="000000"/>
          <w:sz w:val="20"/>
        </w:rPr>
        <w:t>corporate level debt, which includes Senior Notes, intercompany borrowings with Clearway, Inc. and the revolving credit facility; the ATM Program; and facility-level financings for its various assets.</w:t>
      </w:r>
    </w:p>
    <w:p>
      <w:pPr>
        <w:pStyle w:val="TextBody"/>
        <w:bidi w:val="0"/>
        <w:spacing w:lineRule="auto" w:line="276"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Natural Gas Holdco LC Facility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2024, the Company, through its indirect subsidiary, Natural Gas Holdco, entered into a financing agreement that provides for a $200 million letter of credit facility, which will be utilized to support the collateral needs of the Company’s merchant conventional facilities and will free up capacity on the Company’s corporate revolving credit facility. The letter of credit facility has an initial term of three years and the option for two additional one-year extensions.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231F20"/>
          <w:sz w:val="20"/>
        </w:rPr>
      </w:pPr>
      <w:r>
        <w:rPr>
          <w:rFonts w:ascii="Times New Roman;sans-serif" w:hAnsi="Times New Roman;sans-serif"/>
          <w:b/>
          <w:i/>
          <w:color w:val="231F20"/>
          <w:sz w:val="20"/>
        </w:rPr>
        <w:t>Uses of Liquidity</w:t>
      </w:r>
    </w:p>
    <w:p>
      <w:pPr>
        <w:pStyle w:val="TextBody"/>
        <w:bidi w:val="0"/>
        <w:spacing w:lineRule="auto" w:line="288" w:before="0" w:after="0"/>
        <w:ind w:left="0" w:right="0" w:firstLine="450"/>
        <w:jc w:val="both"/>
        <w:rPr/>
      </w:pPr>
      <w:r>
        <w:rPr>
          <w:rFonts w:ascii="Times New Roman;sans-serif" w:hAnsi="Times New Roman;sans-serif"/>
          <w:b w:val="false"/>
          <w:color w:val="231F20"/>
          <w:sz w:val="20"/>
        </w:rPr>
        <w:t xml:space="preserve">The Company’s requirements for liquidity and capital resources, other than for operating its facilities, are categorized as: (i) debt service obligations, as described more fully in </w:t>
      </w:r>
      <w:r>
        <w:rPr>
          <w:rFonts w:ascii="Times New Roman;sans-serif" w:hAnsi="Times New Roman;sans-serif"/>
          <w:b w:val="false"/>
          <w:color w:val="000000"/>
          <w:sz w:val="20"/>
        </w:rPr>
        <w:t>Note 7</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w:t>
      </w:r>
      <w:r>
        <w:rPr>
          <w:color w:val="231F20"/>
        </w:rPr>
        <w:t xml:space="preserve"> </w:t>
      </w:r>
      <w:r>
        <w:rPr>
          <w:rFonts w:ascii="Times New Roman;sans-serif" w:hAnsi="Times New Roman;sans-serif"/>
          <w:b w:val="false"/>
          <w:color w:val="231F20"/>
          <w:sz w:val="20"/>
        </w:rPr>
        <w:t xml:space="preserve">(ii) capital expenditures; (iii) off-balance sheet arrangements; (iv) acquisitions and investments, as described more fully in </w:t>
      </w:r>
      <w:r>
        <w:rPr>
          <w:rFonts w:ascii="Times New Roman;sans-serif" w:hAnsi="Times New Roman;sans-serif"/>
          <w:b w:val="false"/>
          <w:color w:val="000000"/>
          <w:sz w:val="20"/>
        </w:rPr>
        <w:t xml:space="preserve">Note 3, </w:t>
      </w:r>
      <w:r>
        <w:rPr>
          <w:rFonts w:ascii="Times New Roman;sans-serif" w:hAnsi="Times New Roman;sans-serif"/>
          <w:b w:val="false"/>
          <w:i/>
          <w:color w:val="000000"/>
          <w:sz w:val="20"/>
        </w:rPr>
        <w:t xml:space="preserve">Acquisitions </w:t>
      </w:r>
      <w:r>
        <w:rPr>
          <w:rFonts w:ascii="Times New Roman;sans-serif" w:hAnsi="Times New Roman;sans-serif"/>
          <w:b w:val="false"/>
          <w:color w:val="000000"/>
          <w:sz w:val="20"/>
        </w:rPr>
        <w:t xml:space="preserve">and Note 4,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231F20"/>
          <w:sz w:val="20"/>
        </w:rPr>
        <w:t>; and (v) distributions.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For the six months ended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the Company used approximately $202 million to fund capital expenditures, including growth </w:t>
      </w:r>
      <w:r>
        <w:rPr>
          <w:rFonts w:ascii="Times New Roman;sans-serif" w:hAnsi="Times New Roman;sans-serif"/>
          <w:b w:val="false"/>
          <w:color w:val="000000"/>
          <w:sz w:val="20"/>
        </w:rPr>
        <w:t>expenditures of $198 million, primarily in the Renewables segment, funded through construction-related financing. Growth capital expenditures included $103 million incurred in connection with the Victory Pass and Arica solar and BESS facilities, $37 million incurred in connection with the Rosamond Central BESS facility, $18 million incurred in connection with the Texas Solar Nova 1 and Texas Solar Nova 2 facilities, $14 million incurred in connection with the Daggett 2 solar and BESS facility, $11 million incurred in connection with the repowering of the Cedro Hill wind facility, $8 million incurred in connection with the Daggett 3 solar and BESS facility and $7 million incurred by other facilities. In addition, the Company incurred $4 million in maintenance capital expenditures.</w:t>
      </w:r>
    </w:p>
    <w:p>
      <w:pPr>
        <w:pStyle w:val="TextBody"/>
        <w:bidi w:val="0"/>
        <w:spacing w:lineRule="auto" w:line="276" w:before="0" w:after="18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Obligations under Certain Guarantee Contracts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may enter into guarantee arrangements in the normal course of business to facilitate commercial transactions with third parties.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Retained or Contingent Interests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material retained or contingent interests in assets transferred to an unconsolidated entity.</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Obligations Arising Out of a Variable Interest in an Unconsolidated Entity</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Variable interest in equity investments</w:t>
      </w:r>
      <w:r>
        <w:rPr>
          <w:color w:val="000000"/>
        </w:rPr>
        <w:t> — </w:t>
      </w:r>
      <w:r>
        <w:rPr>
          <w:rFonts w:ascii="Times New Roman;sans-serif" w:hAnsi="Times New Roman;sans-serif"/>
          <w:b w:val="false"/>
          <w:color w:val="000000"/>
          <w:sz w:val="20"/>
        </w:rPr>
        <w:t>As of June 30, 2024, the Company has several investments with an ownership interest percentage of 50% or less. GenConn is a VIE for which the Company is not the primary beneficiary. The Company’s pro-rata share of non-recourse debt held by unconsolidated affiliates was approximately $295 million as of June 30, 2024. This indebtedness may restrict the ability of these subsidiaries to issue dividends or distributions to the Company.</w:t>
      </w:r>
    </w:p>
    <w:p>
      <w:pPr>
        <w:pStyle w:val="TextBody"/>
        <w:bidi w:val="0"/>
        <w:spacing w:lineRule="auto" w:line="288" w:before="0" w:after="18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Contractual Obligations and Commercial Commitments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sans-serif" w:hAnsi="Times New Roman;sans-serif"/>
          <w:b w:val="false"/>
          <w:color w:val="231F20"/>
          <w:sz w:val="20"/>
        </w:rPr>
        <w:t>2023</w:t>
      </w:r>
      <w:r>
        <w:rPr>
          <w:color w:val="000000"/>
        </w:rPr>
        <w:t xml:space="preserve"> </w:t>
      </w:r>
      <w:r>
        <w:rPr>
          <w:rFonts w:ascii="Times New Roman;sans-serif" w:hAnsi="Times New Roman;sans-serif"/>
          <w:b w:val="false"/>
          <w:color w:val="000000"/>
          <w:sz w:val="20"/>
        </w:rPr>
        <w:t>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Acquisitions and Investments</w:t>
      </w:r>
    </w:p>
    <w:p>
      <w:pPr>
        <w:pStyle w:val="TextBody"/>
        <w:bidi w:val="0"/>
        <w:spacing w:lineRule="auto" w:line="276"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pStyle w:val="TextBody"/>
        <w:bidi w:val="0"/>
        <w:spacing w:lineRule="auto" w:line="276" w:before="0" w:after="180"/>
        <w:ind w:left="0" w:right="0" w:firstLine="450"/>
        <w:jc w:val="both"/>
        <w:rPr/>
      </w:pPr>
      <w:r>
        <w:rPr>
          <w:rFonts w:ascii="Times New Roman;sans-serif" w:hAnsi="Times New Roman;sans-serif"/>
          <w:b w:val="false"/>
          <w:i/>
          <w:color w:val="000000"/>
          <w:sz w:val="20"/>
        </w:rPr>
        <w:t>Rosamond Central BESS Drop Down and Financing Activities</w:t>
      </w:r>
      <w:r>
        <w:rPr>
          <w:color w:val="000000"/>
        </w:rPr>
        <w:t xml:space="preserve"> — </w:t>
      </w:r>
      <w:r>
        <w:rPr>
          <w:rFonts w:ascii="Times New Roman;sans-serif" w:hAnsi="Times New Roman;sans-serif"/>
          <w:b w:val="false"/>
          <w:color w:val="000000"/>
          <w:sz w:val="20"/>
        </w:rPr>
        <w:t>On June 13, 2024, when the Rosamond Central BESS facility reached substantial completion, the Company paid $279 million 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Including the additional purchase price, the Company’s total purchase price was $349 million, $80 million of which was funded by the Company with the remaining $269 million funded through contributions from third-party investors. Clearway Renew utilized the additional proceeds to repay the balance of $184 million on the loan previously issued to its consolidated subsidiary by Rosie Class B LLC and to redeem Rosie Class B LLC’s entire equity investment in Rosie Central BESS of $28 million. The Company utilized proceeds from Clearway Renew, along with $39 million held previously in escrow and $56 million of the Company’s additional purchase price that was contributed back by CEG, to repay the tax equity bridge loan, to make a distribution to the cash equity investor, to fund construction completion reserves and to pay associated fees. Additionally, on June 13, 2024, the outstanding construction loans were converted to a term loan.</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Victory Pass and Arica Drop Down</w:t>
      </w:r>
      <w:r>
        <w:rPr>
          <w:color w:val="000000"/>
        </w:rPr>
        <w:t xml:space="preserve"> — </w:t>
      </w:r>
      <w:r>
        <w:rPr>
          <w:rFonts w:ascii="Times New Roman;sans-serif" w:hAnsi="Times New Roman;sans-serif"/>
          <w:b w:val="false"/>
          <w:color w:val="000000"/>
          <w:sz w:val="20"/>
        </w:rPr>
        <w:t>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which was funded with existing sources of liquidity.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Prior to the repayment of the tax equity bridge loan, the Company borrowed an additional $62 million during 2024.</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Cedar Creek Drop Down</w:t>
      </w:r>
      <w:r>
        <w:rPr>
          <w:color w:val="000000"/>
        </w:rPr>
        <w:t xml:space="preserve"> — </w:t>
      </w:r>
      <w:r>
        <w:rPr>
          <w:rFonts w:ascii="Times New Roman;sans-serif" w:hAnsi="Times New Roman;sans-serif"/>
          <w:b w:val="false"/>
          <w:color w:val="000000"/>
          <w:sz w:val="20"/>
        </w:rPr>
        <w:t>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Cedar Creek has a 25-year PPA with an investment-grade utility that commenced in March 2024. The acquisition was funded with existing sources of liquidity. Additionally, the Company assumed the facility’s financing agreement, which included a construction loan that converted to a term loan at acquisition date along with a cash equity bridge loan and tax equity bridge loan that were both repaid at acquisition date.</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Texas Solar Nova 2 Drop Down</w:t>
      </w:r>
      <w:r>
        <w:rPr>
          <w:color w:val="000000"/>
        </w:rPr>
        <w:t xml:space="preserve"> — </w:t>
      </w:r>
      <w:r>
        <w:rPr>
          <w:rFonts w:ascii="Times New Roman;sans-serif" w:hAnsi="Times New Roman;sans-serif"/>
          <w:b w:val="false"/>
          <w:color w:val="000000"/>
          <w:sz w:val="20"/>
        </w:rPr>
        <w:t>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Texas Solar Nova 2 has an 18-year PPA with an investment-grade counterparty that commenced in February 2024. The Company’s portion of the purchase price was funded with existing sources of liquidity. Additionally, the Company assumed the facility’s financing agreement, which included a tax equity bridge loan that was repaid at acquisition date and a term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Cash Distributions to Clearway, Inc. and CEG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Company’s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distributions paid on the Company’s Class A, B, C and D units during the six months ended June 30, 2024:</w:t>
      </w:r>
    </w:p>
    <w:tbl>
      <w:tblPr>
        <w:tblW w:w="7685" w:type="dxa"/>
        <w:jc w:val="left"/>
        <w:tblInd w:w="0" w:type="dxa"/>
        <w:tblLayout w:type="fixed"/>
        <w:tblCellMar>
          <w:top w:w="28" w:type="dxa"/>
          <w:left w:w="28" w:type="dxa"/>
          <w:bottom w:w="28" w:type="dxa"/>
          <w:right w:w="28" w:type="dxa"/>
        </w:tblCellMar>
      </w:tblPr>
      <w:tblGrid>
        <w:gridCol w:w="1267"/>
        <w:gridCol w:w="1111"/>
        <w:gridCol w:w="1117"/>
        <w:gridCol w:w="109"/>
        <w:gridCol w:w="109"/>
        <w:gridCol w:w="109"/>
        <w:gridCol w:w="109"/>
        <w:gridCol w:w="109"/>
        <w:gridCol w:w="109"/>
        <w:gridCol w:w="337"/>
        <w:gridCol w:w="1153"/>
        <w:gridCol w:w="174"/>
        <w:gridCol w:w="109"/>
        <w:gridCol w:w="109"/>
        <w:gridCol w:w="109"/>
        <w:gridCol w:w="300"/>
        <w:gridCol w:w="1026"/>
        <w:gridCol w:w="219"/>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2024</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per Class A, B, C and D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2024, the Company declared a distribution on its Class A, Class B, Class C and Class D units of $0.4171 per unit payable on September 16, 2024 to unit holders of record as of September 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Cash Flow Discussion</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the changes in cash flows for the comparative periods:</w:t>
      </w:r>
    </w:p>
    <w:tbl>
      <w:tblPr>
        <w:tblW w:w="6542" w:type="dxa"/>
        <w:jc w:val="left"/>
        <w:tblInd w:w="0" w:type="dxa"/>
        <w:tblLayout w:type="fixed"/>
        <w:tblCellMar>
          <w:top w:w="28" w:type="dxa"/>
          <w:left w:w="28" w:type="dxa"/>
          <w:bottom w:w="28" w:type="dxa"/>
          <w:right w:w="28" w:type="dxa"/>
        </w:tblCellMar>
      </w:tblPr>
      <w:tblGrid>
        <w:gridCol w:w="1254"/>
        <w:gridCol w:w="1104"/>
        <w:gridCol w:w="1107"/>
        <w:gridCol w:w="225"/>
        <w:gridCol w:w="497"/>
        <w:gridCol w:w="116"/>
        <w:gridCol w:w="116"/>
        <w:gridCol w:w="116"/>
        <w:gridCol w:w="116"/>
        <w:gridCol w:w="225"/>
        <w:gridCol w:w="497"/>
        <w:gridCol w:w="116"/>
        <w:gridCol w:w="109"/>
        <w:gridCol w:w="109"/>
        <w:gridCol w:w="109"/>
        <w:gridCol w:w="211"/>
        <w:gridCol w:w="36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Provided by Operating Activities</w:t>
      </w:r>
    </w:p>
    <w:tbl>
      <w:tblPr>
        <w:tblW w:w="10205" w:type="dxa"/>
        <w:jc w:val="left"/>
        <w:tblInd w:w="0" w:type="dxa"/>
        <w:tblLayout w:type="fixed"/>
        <w:tblCellMar>
          <w:top w:w="28" w:type="dxa"/>
          <w:left w:w="28" w:type="dxa"/>
          <w:bottom w:w="28" w:type="dxa"/>
          <w:right w:w="28" w:type="dxa"/>
        </w:tblCellMar>
      </w:tblPr>
      <w:tblGrid>
        <w:gridCol w:w="3397"/>
        <w:gridCol w:w="2891"/>
        <w:gridCol w:w="2902"/>
        <w:gridCol w:w="294"/>
        <w:gridCol w:w="503"/>
        <w:gridCol w:w="218"/>
      </w:tblGrid>
      <w:tr>
        <w:trPr/>
        <w:tc>
          <w:tcPr>
            <w:tcW w:w="3397"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ind w:left="0" w:right="0" w:hanging="180"/>
              <w:jc w:val="left"/>
              <w:rPr>
                <w:sz w:val="4"/>
                <w:szCs w:val="4"/>
              </w:rPr>
            </w:pPr>
            <w:r>
              <w:rPr>
                <w:sz w:val="4"/>
                <w:szCs w:val="4"/>
              </w:rPr>
            </w:r>
          </w:p>
        </w:tc>
      </w:tr>
      <w:tr>
        <w:trPr/>
        <w:tc>
          <w:tcPr>
            <w:tcW w:w="9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net cash provided by operating activities were driven by:</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operating income after adjusting for non-cash items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from changes in working capital primarily driven by the timing of accounts receivable collections and payments of accounts payable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distributions from unconsolidated affiliates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9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91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tbl>
      <w:tblPr>
        <w:tblW w:w="6540" w:type="dxa"/>
        <w:jc w:val="left"/>
        <w:tblInd w:w="0" w:type="dxa"/>
        <w:tblLayout w:type="fixed"/>
        <w:tblCellMar>
          <w:top w:w="28" w:type="dxa"/>
          <w:left w:w="28" w:type="dxa"/>
          <w:bottom w:w="28" w:type="dxa"/>
          <w:right w:w="28" w:type="dxa"/>
        </w:tblCellMar>
      </w:tblPr>
      <w:tblGrid>
        <w:gridCol w:w="1973"/>
        <w:gridCol w:w="1733"/>
        <w:gridCol w:w="1739"/>
        <w:gridCol w:w="255"/>
        <w:gridCol w:w="654"/>
        <w:gridCol w:w="186"/>
      </w:tblGrid>
      <w:tr>
        <w:trPr/>
        <w:tc>
          <w:tcPr>
            <w:tcW w:w="197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net cash used in investing activities were driven by:</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paid for Drop Down Assets, net of cash acquired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capital expenditures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note receivable – affiliate in 2024</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the return of investment from unconsolidated affiliates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investments in unconsolidated affiliates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Used in Financing Activities</w:t>
      </w:r>
    </w:p>
    <w:tbl>
      <w:tblPr>
        <w:tblW w:w="9509" w:type="dxa"/>
        <w:jc w:val="left"/>
        <w:tblInd w:w="0" w:type="dxa"/>
        <w:tblLayout w:type="fixed"/>
        <w:tblCellMar>
          <w:top w:w="28" w:type="dxa"/>
          <w:left w:w="28" w:type="dxa"/>
          <w:bottom w:w="28" w:type="dxa"/>
          <w:right w:w="28" w:type="dxa"/>
        </w:tblCellMar>
      </w:tblPr>
      <w:tblGrid>
        <w:gridCol w:w="3046"/>
        <w:gridCol w:w="2679"/>
        <w:gridCol w:w="2689"/>
        <w:gridCol w:w="235"/>
        <w:gridCol w:w="688"/>
        <w:gridCol w:w="172"/>
      </w:tblGrid>
      <w:tr>
        <w:trPr/>
        <w:tc>
          <w:tcPr>
            <w:tcW w:w="3046"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ind w:left="0" w:right="0" w:hanging="180"/>
              <w:jc w:val="left"/>
              <w:rPr>
                <w:sz w:val="4"/>
                <w:szCs w:val="4"/>
              </w:rPr>
            </w:pPr>
            <w:r>
              <w:rPr>
                <w:sz w:val="4"/>
                <w:szCs w:val="4"/>
              </w:rPr>
            </w:r>
          </w:p>
        </w:tc>
      </w:tr>
      <w:tr>
        <w:trPr/>
        <w:tc>
          <w:tcPr>
            <w:tcW w:w="8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cash used in financing activities were driven by:</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contributions from noncontrolling interests and CEG, net of distributions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tax-related distributions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payments of debt issuance costs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payments for long-term debt, net of an increase in proceeds from issuance of long-term debt</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distributions paid to unit holders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8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Fair Value of Derivative Instruments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pStyle w:val="TextBody"/>
        <w:bidi w:val="0"/>
        <w:spacing w:lineRule="auto" w:line="288" w:before="0" w:after="180"/>
        <w:ind w:left="0" w:right="0" w:firstLine="540"/>
        <w:jc w:val="both"/>
        <w:rPr/>
      </w:pPr>
      <w:r>
        <w:rPr>
          <w:rFonts w:ascii="Times New Roman;sans-serif" w:hAnsi="Times New Roman;sans-serif"/>
          <w:b w:val="false"/>
          <w:color w:val="231F20"/>
          <w:sz w:val="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based on their level within the fair value hierarchy defined in ASC 820; and indicate the maturities of contracts at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For a full discussion of the Company’s valuation methodology of its contracts, see </w:t>
      </w:r>
      <w:r>
        <w:rPr>
          <w:rFonts w:ascii="Times New Roman;sans-serif" w:hAnsi="Times New Roman;sans-serif"/>
          <w:b w:val="false"/>
          <w:i/>
          <w:color w:val="231F20"/>
          <w:sz w:val="20"/>
        </w:rPr>
        <w:t xml:space="preserve">Derivative Fair Value Measurements </w:t>
      </w:r>
      <w:r>
        <w:rPr>
          <w:rFonts w:ascii="Times New Roman;sans-serif" w:hAnsi="Times New Roman;sans-serif"/>
          <w:b w:val="false"/>
          <w:color w:val="231F20"/>
          <w:sz w:val="20"/>
        </w:rPr>
        <w:t xml:space="preserve">in </w:t>
      </w:r>
      <w:r>
        <w:rPr>
          <w:rFonts w:ascii="Times New Roman;sans-serif" w:hAnsi="Times New Roman;sans-serif"/>
          <w:b w:val="false"/>
          <w:color w:val="000000"/>
          <w:sz w:val="20"/>
        </w:rPr>
        <w:t>Note 5</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231F20"/>
          <w:sz w:val="20"/>
        </w:rPr>
        <w:t>.</w:t>
      </w:r>
    </w:p>
    <w:tbl>
      <w:tblPr>
        <w:tblW w:w="5759" w:type="dxa"/>
        <w:jc w:val="left"/>
        <w:tblInd w:w="0" w:type="dxa"/>
        <w:tblLayout w:type="fixed"/>
        <w:tblCellMar>
          <w:top w:w="28" w:type="dxa"/>
          <w:left w:w="28" w:type="dxa"/>
          <w:bottom w:w="28" w:type="dxa"/>
          <w:right w:w="28" w:type="dxa"/>
        </w:tblCellMar>
      </w:tblPr>
      <w:tblGrid>
        <w:gridCol w:w="1690"/>
        <w:gridCol w:w="1485"/>
        <w:gridCol w:w="1489"/>
        <w:gridCol w:w="255"/>
        <w:gridCol w:w="654"/>
        <w:gridCol w:w="186"/>
      </w:tblGrid>
      <w:tr>
        <w:trPr/>
        <w:tc>
          <w:tcPr>
            <w:tcW w:w="169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Derivative Activity (Losses) Gains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contracts as of December 31, 2023</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realized or otherwise settled during the period</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contracts as of June 30, 2024</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02" w:type="dxa"/>
        <w:jc w:val="left"/>
        <w:tblInd w:w="0" w:type="dxa"/>
        <w:tblLayout w:type="fixed"/>
        <w:tblCellMar>
          <w:top w:w="28" w:type="dxa"/>
          <w:left w:w="28" w:type="dxa"/>
          <w:bottom w:w="28" w:type="dxa"/>
          <w:right w:w="28" w:type="dxa"/>
        </w:tblCellMar>
      </w:tblPr>
      <w:tblGrid>
        <w:gridCol w:w="1003"/>
        <w:gridCol w:w="882"/>
        <w:gridCol w:w="889"/>
        <w:gridCol w:w="358"/>
        <w:gridCol w:w="612"/>
        <w:gridCol w:w="185"/>
        <w:gridCol w:w="109"/>
        <w:gridCol w:w="109"/>
        <w:gridCol w:w="109"/>
        <w:gridCol w:w="389"/>
        <w:gridCol w:w="805"/>
        <w:gridCol w:w="201"/>
        <w:gridCol w:w="109"/>
        <w:gridCol w:w="109"/>
        <w:gridCol w:w="109"/>
        <w:gridCol w:w="406"/>
        <w:gridCol w:w="839"/>
        <w:gridCol w:w="209"/>
        <w:gridCol w:w="109"/>
        <w:gridCol w:w="109"/>
        <w:gridCol w:w="109"/>
        <w:gridCol w:w="272"/>
        <w:gridCol w:w="698"/>
        <w:gridCol w:w="140"/>
        <w:gridCol w:w="109"/>
        <w:gridCol w:w="109"/>
        <w:gridCol w:w="109"/>
        <w:gridCol w:w="211"/>
        <w:gridCol w:w="541"/>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contracts as of June 30, 2024</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16"/>
                <w:u w:val="single"/>
              </w:rPr>
            </w:pPr>
            <w:r>
              <w:rPr>
                <w:rFonts w:ascii="Times New Roman;sans-serif" w:hAnsi="Times New Roman;sans-serif"/>
                <w:b/>
                <w:color w:val="000000"/>
                <w:sz w:val="16"/>
                <w:u w:val="single"/>
              </w:rPr>
              <w:t>Fair Value Hierarchy (Losses) Gains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 Year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 Years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Fair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has elected to disclose derivative assets and liabilities on a trade-by-trade basis and does not offset amounts at the counterparty master agreement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HLBV, acquisition accounting and determining the fair value of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 Accounting Developments</w:t>
      </w:r>
    </w:p>
    <w:p>
      <w:pPr>
        <w:pStyle w:val="TextBody"/>
        <w:bidi w:val="0"/>
        <w:spacing w:lineRule="auto" w:line="288" w:before="0" w:after="180"/>
        <w:ind w:left="0" w:right="0" w:firstLine="495"/>
        <w:jc w:val="both"/>
        <w:rPr/>
      </w:pPr>
      <w:r>
        <w:rPr>
          <w:rFonts w:ascii="Times New Roman;sans-serif" w:hAnsi="Times New Roman;sans-serif"/>
          <w:b w:val="false"/>
          <w:color w:val="000000"/>
          <w:sz w:val="20"/>
        </w:rPr>
        <w:t xml:space="preserve">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for a discussion of recent accounting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 Quantitative and Qualitative Disclosures About Market Risk</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sans-serif" w:hAnsi="Times New Roman;sans-serif"/>
          <w:b w:val="false"/>
          <w:color w:val="000000"/>
          <w:sz w:val="20"/>
        </w:rPr>
        <w:t>The following disclosures about market risk provide an update to, and should be read in conjunction with, Item 7A —</w:t>
      </w:r>
      <w:r>
        <w:rPr>
          <w:color w:val="000000"/>
        </w:rPr>
        <w:t xml:space="preserve"> </w:t>
      </w:r>
      <w:r>
        <w:rPr>
          <w:rFonts w:ascii="Times New Roman;sans-serif" w:hAnsi="Times New Roman;sans-serif"/>
          <w:b w:val="false"/>
          <w:i/>
          <w:color w:val="000000"/>
          <w:sz w:val="20"/>
        </w:rPr>
        <w:t xml:space="preserve">Quantitative and Qualitative Disclosures About Market Risk, </w:t>
      </w:r>
      <w:r>
        <w:rPr>
          <w:rFonts w:ascii="Times New Roman;sans-serif" w:hAnsi="Times New Roman;sans-serif"/>
          <w:b w:val="false"/>
          <w:color w:val="000000"/>
          <w:sz w:val="20"/>
        </w:rPr>
        <w:t>of the Company’s 2023 Form 10-K.</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Commodity Price Risk</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June 30, 2024.</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Interest Rate Risk</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sans-serif" w:hAnsi="Times New Roman;sans-serif"/>
          <w:b w:val="false"/>
          <w:color w:val="000000"/>
          <w:sz w:val="20"/>
        </w:rPr>
        <w:t>Note 6</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Derivative Instruments and Hedging Activities</w:t>
      </w:r>
      <w:r>
        <w:rPr>
          <w:rFonts w:ascii="Times New Roman;sans-serif" w:hAnsi="Times New Roman;sans-serif"/>
          <w:b w:val="false"/>
          <w:color w:val="231F20"/>
          <w:sz w:val="20"/>
        </w:rPr>
        <w:t>, for more information.</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Most of the Company’s subsidiaries enter into interest rate swaps intended to hedge the risks associated with interest rates on non-recourse facility-level debt. See Item 15 — </w:t>
      </w:r>
      <w:r>
        <w:rPr>
          <w:rFonts w:ascii="Times New Roman;sans-serif" w:hAnsi="Times New Roman;sans-serif"/>
          <w:b w:val="false"/>
          <w:color w:val="000000"/>
          <w:sz w:val="20"/>
        </w:rPr>
        <w:t>Note 10</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Long-term Debt</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 xml:space="preserve">to the Company’s </w:t>
      </w:r>
      <w:r>
        <w:rPr>
          <w:rFonts w:ascii="Times New Roman;sans-serif" w:hAnsi="Times New Roman;sans-serif"/>
          <w:b w:val="false"/>
          <w:color w:val="000000"/>
          <w:sz w:val="20"/>
        </w:rPr>
        <w:t>audited consolidated financial statements for the year ended December 31, 2023 included in the 2023 Form 10-K</w:t>
      </w:r>
      <w:r>
        <w:rPr>
          <w:color w:val="231F20"/>
        </w:rPr>
        <w:t xml:space="preserve"> </w:t>
      </w:r>
      <w:r>
        <w:rPr>
          <w:rFonts w:ascii="Times New Roman;sans-serif" w:hAnsi="Times New Roman;sans-serif"/>
          <w:b w:val="false"/>
          <w:color w:val="231F20"/>
          <w:sz w:val="20"/>
        </w:rPr>
        <w:t>for more information about interest rate swaps of the Company’s subsidiaries.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If all of the interest rate swaps had been discontinued on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the counterparties would have owed the Company </w:t>
      </w:r>
      <w:r>
        <w:rPr>
          <w:rFonts w:ascii="Times New Roman;sans-serif" w:hAnsi="Times New Roman;sans-serif"/>
          <w:b w:val="false"/>
          <w:color w:val="000000"/>
          <w:sz w:val="20"/>
        </w:rPr>
        <w:t>$166 million.</w:t>
      </w:r>
      <w:r>
        <w:rPr>
          <w:color w:val="231F20"/>
        </w:rPr>
        <w:t xml:space="preserve"> </w:t>
      </w:r>
      <w:r>
        <w:rPr>
          <w:rFonts w:ascii="Times New Roman;sans-serif" w:hAnsi="Times New Roman;sans-serif"/>
          <w:b w:val="false"/>
          <w:color w:val="231F20"/>
          <w:sz w:val="20"/>
        </w:rPr>
        <w:t>Based on the credit ratings of the counterparties, the Company believes its exposure to credit risk due to nonperformance by counterparties to its hedge contracts to be insignificant.</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 has long-term debt instruments that subject it to the risk of loss associated with movements in market interest rates. As of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a change of 1%, or 100 basis points, in interest rates would result in an approximately $1 million change in market interest expense on a rolling twelve-month basis.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the fair value of the Company’s debt was $6.70 billion and the carrying value was $7.27 billion. The Company estimates that a decrease of 1%, or 100 basis points, in market interest rates would have increased the fair value of its long-term debt by approximately $321 million.</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Liquidity Risk</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Liquidity risk arises from the general funding needs of the Company’s activities and in the management of the Company’s assets and liabilities.</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Counterparty Credit Risk</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sans-serif" w:hAnsi="Times New Roman;sans-serif"/>
          <w:b w:val="false"/>
          <w:color w:val="000000"/>
          <w:sz w:val="20"/>
        </w:rPr>
        <w:t>Note 5</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231F20"/>
          <w:sz w:val="20"/>
        </w:rPr>
        <w:t>, to the consolidated financial statements for more information about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4 — Controls and Procedures</w:t>
      </w:r>
    </w:p>
    <w:p>
      <w:pPr>
        <w:pStyle w:val="TextBody"/>
        <w:bidi w:val="0"/>
        <w:spacing w:lineRule="auto" w:line="288" w:before="0" w:after="180"/>
        <w:jc w:val="both"/>
        <w:rPr/>
      </w:pPr>
      <w:r>
        <w:rPr>
          <w:rFonts w:ascii="Times New Roman;sans-serif" w:hAnsi="Times New Roman;sans-serif"/>
          <w:b w:val="false"/>
          <w:i/>
          <w:color w:val="000000"/>
          <w:sz w:val="20"/>
        </w:rPr>
        <w:t>Conclusion Regarding the Effectiveness of Disclosure Controls</w:t>
      </w:r>
      <w:r>
        <w:rPr>
          <w:color w:val="000000"/>
        </w:rPr>
        <w:t xml:space="preserve"> </w:t>
      </w:r>
      <w:r>
        <w:rPr>
          <w:rFonts w:ascii="Times New Roman;sans-serif" w:hAnsi="Times New Roman;sans-serif"/>
          <w:b w:val="false"/>
          <w:i/>
          <w:color w:val="000000"/>
          <w:sz w:val="20"/>
        </w:rPr>
        <w:t>and</w:t>
      </w:r>
      <w:r>
        <w:rPr>
          <w:color w:val="000000"/>
        </w:rPr>
        <w:t xml:space="preserve"> </w:t>
      </w:r>
      <w:r>
        <w:rPr>
          <w:rFonts w:ascii="Times New Roman;sans-serif" w:hAnsi="Times New Roman;sans-serif"/>
          <w:b w:val="false"/>
          <w:i/>
          <w:color w:val="000000"/>
          <w:sz w:val="20"/>
        </w:rPr>
        <w:t>Procedures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(as such term is defined in Rule 13a-15(f) under the Exchange Act) during the quarter ended June 30, 2024 that materially affected, or are reasonably likely to materially affect, the Company’s internal control over financial reporting.</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 — LEGAL PROCEEDINGS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8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1A — RISK FACTORS </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Information regarding risk factors appears in Part 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Company’s 2023 Form 10-K. There have been no material changes in the Company’s risk factors since those reported in its 2023 Form 10-K.</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2 — UNREGISTERED SALES OF EQUITY SECURITIES AND USE OF PROCEEDS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3 — DEFAULTS UPON SENIOR SECURITIES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 MINE SAFETY DISCLOSURES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5 — OTHER INFORMATION </w:t>
      </w:r>
    </w:p>
    <w:p>
      <w:pPr>
        <w:pStyle w:val="TextBody"/>
        <w:bidi w:val="0"/>
        <w:spacing w:lineRule="auto" w:line="26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 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1897"/>
        <w:gridCol w:w="1864"/>
        <w:gridCol w:w="1869"/>
        <w:gridCol w:w="109"/>
        <w:gridCol w:w="109"/>
        <w:gridCol w:w="109"/>
        <w:gridCol w:w="1000"/>
        <w:gridCol w:w="932"/>
        <w:gridCol w:w="1217"/>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Method of Filing</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Second Amended and Restated Master Services Agreement, dated as of April 30, 2024, by and among Clearway Energy Group LLC, Clearway Energy, Inc., Clearway Energy LLC and Clearway Energy Operating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Quarterly Report on Form 10-Q filed on May 9,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Separation Agreement and General Release, dated as of April 30, 2024, by and between Clearway Energy, Inc. and Christopher Sotos.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April 30,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Amended and Restated Employment Agreement, dated as of April 30, 2024, by and between Clearway Energy Group LLC, Clearway Energy, Inc., GIP III Zephyr Management Partners, L.P., GIP III Zephyr Midco Holdings, L.P. and Craig Cornelius.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the Company’s Current Report on Form 8-K filed on April 30,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Membership Interest Purchase Agreement, dated as of June 27, 2024, by and between D1-LV CE Seller LLC and LV-Daggett Parent Holdco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July 30,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Consulting Agreement, dated as of June 20, 2024, by and between Clearway Energy, Inc. and Christopher Sotos.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the Company’s Current Report on Form 8-K filed on July 30,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1110-q2024q2.htm">
              <w:r>
                <w:rPr>
                  <w:rStyle w:val="InternetLink"/>
                  <w:rFonts w:ascii="Times New Roman;sans-serif" w:hAnsi="Times New Roman;sans-serif"/>
                  <w:b w:val="false"/>
                  <w:color w:val="0000FF"/>
                  <w:sz w:val="18"/>
                  <w:u w:val="single"/>
                </w:rPr>
                <w:t>Rule 13a-14(a)/15d-14(a) certification of Craig Cornelius.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1210-q2024q2.htm">
              <w:r>
                <w:rPr>
                  <w:rStyle w:val="InternetLink"/>
                  <w:rFonts w:ascii="Times New Roman;sans-serif" w:hAnsi="Times New Roman;sans-serif"/>
                  <w:b w:val="false"/>
                  <w:color w:val="0000FF"/>
                  <w:sz w:val="18"/>
                  <w:u w:val="single"/>
                </w:rPr>
                <w:t>Rule 13a-14(a)/15d-14(a) certification of Sarah Rubenstein.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210-q2024q2.htm">
              <w:r>
                <w:rPr>
                  <w:rStyle w:val="InternetLink"/>
                  <w:rFonts w:ascii="Times New Roman;sans-serif" w:hAnsi="Times New Roman;sans-serif"/>
                  <w:b w:val="false"/>
                  <w:color w:val="0000FF"/>
                  <w:sz w:val="18"/>
                  <w:u w:val="single"/>
                </w:rPr>
                <w:t>Section 1350 Certification.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Furnished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(the cover page interactive data file does not appear in Exhibit 104 because its Inline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bl>
    <w:p>
      <w:pPr>
        <w:pStyle w:val="TextBody"/>
        <w:bidi w:val="0"/>
        <w:spacing w:lineRule="auto" w:line="268" w:before="0" w:after="0"/>
        <w:jc w:val="left"/>
        <w:rPr>
          <w:color w:val="000000"/>
        </w:rPr>
      </w:pPr>
      <w:r>
        <w:rPr>
          <w:color w:val="000000"/>
        </w:rPr>
        <w:t xml:space="preserve">† </w:t>
      </w:r>
      <w:r>
        <w:rPr>
          <w:rFonts w:ascii="Times New Roman;sans-serif" w:hAnsi="Times New Roman;sans-serif"/>
          <w:b w:val="false"/>
          <w:color w:val="000000"/>
          <w:sz w:val="18"/>
        </w:rPr>
        <w:t xml:space="preserve">Schedules and similar attachments to this Exhibit have been omitted pursuant to Item 601(a)(5) of Regulation S-K. The Company agrees to furnish supplementally a copy of any omitted schedule or exhibit to the U.S. Securities and Exchange Commission upon request. </w:t>
      </w:r>
    </w:p>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Certain portions of this Exhibit have been redacted pursuant to Item 601(b)(10)(iv) of Regulation S-K. The omitted information (i) is not material and (ii) would likely cause competitive harm to the Company if publicly disclosed. The Company agrees to furnish supplementally an unredacted copy of this Exhibit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537" w:type="dxa"/>
        <w:jc w:val="center"/>
        <w:tblInd w:w="0" w:type="dxa"/>
        <w:tblLayout w:type="fixed"/>
        <w:tblCellMar>
          <w:top w:w="28" w:type="dxa"/>
          <w:left w:w="28" w:type="dxa"/>
          <w:bottom w:w="28" w:type="dxa"/>
          <w:right w:w="28" w:type="dxa"/>
        </w:tblCellMar>
      </w:tblPr>
      <w:tblGrid>
        <w:gridCol w:w="667"/>
        <w:gridCol w:w="587"/>
        <w:gridCol w:w="590"/>
        <w:gridCol w:w="589"/>
        <w:gridCol w:w="589"/>
        <w:gridCol w:w="589"/>
        <w:gridCol w:w="589"/>
        <w:gridCol w:w="589"/>
        <w:gridCol w:w="589"/>
        <w:gridCol w:w="589"/>
        <w:gridCol w:w="589"/>
        <w:gridCol w:w="6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LLC</w:t>
              <w:br/>
              <w:t>(Registrant)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Cornelius</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bidi w:val="0"/>
              <w:spacing w:lineRule="auto" w:line="240" w:before="0" w:after="0"/>
              <w:jc w:val="left"/>
              <w:rPr/>
            </w:pPr>
            <w:r>
              <w:rPr>
                <w:rFonts w:ascii="Times New Roman;sans-serif" w:hAnsi="Times New Roman;sans-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3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5693" w:type="dxa"/>
            <w:gridSpan w:val="12"/>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40" w:before="0" w:after="0"/>
              <w:jc w:val="left"/>
              <w:rPr/>
            </w:pPr>
            <w:r>
              <w:rPr>
                <w:rFonts w:ascii="Times New Roman;sans-serif" w:hAnsi="Times New Roman;sans-serif"/>
                <w:b w:val="false"/>
                <w:i/>
                <w:color w:val="000000"/>
                <w:sz w:val="20"/>
              </w:rPr>
              <w:t>(Principal Financial Officer and Principal Accounting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3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Craig Cornelius,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Clearway Energy LLC;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3582" w:type="dxa"/>
        <w:jc w:val="right"/>
        <w:tblInd w:w="0" w:type="dxa"/>
        <w:tblLayout w:type="fixed"/>
        <w:tblCellMar>
          <w:top w:w="28" w:type="dxa"/>
          <w:left w:w="28" w:type="dxa"/>
          <w:bottom w:w="28" w:type="dxa"/>
          <w:right w:w="28" w:type="dxa"/>
        </w:tblCellMar>
      </w:tblPr>
      <w:tblGrid>
        <w:gridCol w:w="1163"/>
        <w:gridCol w:w="1021"/>
        <w:gridCol w:w="1026"/>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Craig Cornelius</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Sarah Rubenstein,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Clearway Energy LLC;</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51" w:type="dxa"/>
        <w:jc w:val="right"/>
        <w:tblInd w:w="0" w:type="dxa"/>
        <w:tblLayout w:type="fixed"/>
        <w:tblCellMar>
          <w:top w:w="28" w:type="dxa"/>
          <w:left w:w="28" w:type="dxa"/>
          <w:bottom w:w="28" w:type="dxa"/>
          <w:right w:w="28" w:type="dxa"/>
        </w:tblCellMar>
      </w:tblPr>
      <w:tblGrid>
        <w:gridCol w:w="1910"/>
        <w:gridCol w:w="1682"/>
        <w:gridCol w:w="1687"/>
        <w:gridCol w:w="109"/>
        <w:gridCol w:w="109"/>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Clearway Energy LLC on Form 10-Q for the quarter ended June 30, 2024, as filed with the Securities and Exchange Commission on the date hereof (the “Form 10-Q”), each of the undersigned officers of the Company certifies, pursuant to 18 U.S.C. Section 1350, as adopted pursuant to Section 906 of the Sarbanes-Oxley Act of 2002, that, to such officer's knowledge: </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Form 10-Q fully complies with the requirements of Section 13(a) or 15(d) of the Securities Exchange Act of 1934; and </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Form 10-Q fairly presents, in all material respects, the financial condition and results of operations of the Company as of the dates and for the periods expressed in the Form 10-Q. </w:t>
      </w:r>
    </w:p>
    <w:p>
      <w:pPr>
        <w:pStyle w:val="TextBody"/>
        <w:bidi w:val="0"/>
        <w:spacing w:before="60" w:after="283"/>
        <w:jc w:val="both"/>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 2024 </w:t>
      </w:r>
    </w:p>
    <w:tbl>
      <w:tblPr>
        <w:tblW w:w="6018" w:type="dxa"/>
        <w:jc w:val="right"/>
        <w:tblInd w:w="0" w:type="dxa"/>
        <w:tblLayout w:type="fixed"/>
        <w:tblCellMar>
          <w:top w:w="28" w:type="dxa"/>
          <w:left w:w="28" w:type="dxa"/>
          <w:bottom w:w="28" w:type="dxa"/>
          <w:right w:w="28" w:type="dxa"/>
        </w:tblCellMar>
      </w:tblPr>
      <w:tblGrid>
        <w:gridCol w:w="124"/>
        <w:gridCol w:w="109"/>
        <w:gridCol w:w="109"/>
        <w:gridCol w:w="586"/>
        <w:gridCol w:w="586"/>
        <w:gridCol w:w="586"/>
        <w:gridCol w:w="586"/>
        <w:gridCol w:w="586"/>
        <w:gridCol w:w="586"/>
        <w:gridCol w:w="586"/>
        <w:gridCol w:w="586"/>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bidi w:val="0"/>
              <w:spacing w:lineRule="auto" w:line="240" w:before="0" w:after="0"/>
              <w:jc w:val="left"/>
              <w:rPr/>
            </w:pPr>
            <w:r>
              <w:rPr>
                <w:rFonts w:ascii="Times New Roman;sans-serif" w:hAnsi="Times New Roman;sans-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18"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676"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40" w:before="0" w:after="0"/>
              <w:jc w:val="left"/>
              <w:rPr/>
            </w:pP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18 U.S.C. Section 1350 and is not being filed as part of this Form 10-Q or as a separate disclosure document.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37757/000163775724000008/secondarmanagementservic.htm" TargetMode="External"/><Relationship Id="rId4" Type="http://schemas.openxmlformats.org/officeDocument/2006/relationships/hyperlink" Target="https://www.sec.gov/Archives/edgar/data/1637757/000110465924054964/tm2413071d1_ex10-1.htm" TargetMode="External"/><Relationship Id="rId5" Type="http://schemas.openxmlformats.org/officeDocument/2006/relationships/hyperlink" Target="https://www.sec.gov/Archives/edgar/data/1637757/000110465924054964/tm2413071d1_ex10-2.htm" TargetMode="External"/><Relationship Id="rId6" Type="http://schemas.openxmlformats.org/officeDocument/2006/relationships/hyperlink" Target="https://www.sec.gov/Archives/edgar/data/1637757/000110465924083960/tm2420475d1_ex10-1.htm" TargetMode="External"/><Relationship Id="rId7" Type="http://schemas.openxmlformats.org/officeDocument/2006/relationships/hyperlink" Target="https://www.sec.gov/Archives/edgar/data/1637757/000110465924083960/tm2420475d1_ex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21857</Words>
  <Characters>118466</Characters>
  <CharactersWithSpaces>138205</CharactersWithSpaces>
  <Paragraphs>3924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