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Stillwell Mary-Lee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300 CARNEGIE CENTER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300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4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Clearway Energy,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CWEN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04/15/2020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8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Accounting Officer</w:t>
      </w:r>
    </w:p>
    <w:p>
      <w:pPr>
        <w:spacing w:after="0" w:line="4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00" w:type="dxa"/>
            <w:vAlign w:val="bottom"/>
            <w:gridSpan w:val="10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PRINCETON   NJ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08540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7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Class C Common Stock, par value $.01 per</w:t>
            </w:r>
          </w:p>
        </w:tc>
        <w:tc>
          <w:tcPr>
            <w:tcW w:w="1120" w:type="dxa"/>
            <w:vAlign w:val="bottom"/>
            <w:gridSpan w:val="3"/>
            <w:vMerge w:val="restart"/>
          </w:tcPr>
          <w:p>
            <w:pPr>
              <w:jc w:val="right"/>
              <w:ind w:right="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04/15/2020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11,995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41,049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2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-3009265</wp:posOffset>
            </wp:positionV>
            <wp:extent cx="7031355" cy="30543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3054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Restricted Stock Units ("RSUs") issued to Ms. Stillwell under Clearway Energy, Inc.'s Amended and Restated 2013 Equity Incentive Plan ("LTIP").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RSU is equivalent in value to one share of Clearway Energy, Inc.'s Class C Common Stock, par value $.01.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60" w:firstLine="7"/>
        <w:spacing w:after="0" w:line="266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reporting person will receive from Clearway Energy, Inc. one such share of Class C Common Stock for each RSU that will vest ratably over a three-year period beginning on the first anniversary of the date of grant.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7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 Michael A. Brown, by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04/17/2020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30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Power of Attorney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3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50052" TargetMode="External"/><Relationship Id="rId14" Type="http://schemas.openxmlformats.org/officeDocument/2006/relationships/hyperlink" Target="http://www.sec.gov/cgi-bin/browse-edgar?action=getcompany&amp;CIK=000156768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2020-04-17T15:51:17Z</dcterms:created>
  <dcterms:modified xsi:type="dcterms:W3CDTF">2020-04-17T15:51:17Z</dcterms:modified>
</cp:coreProperties>
</file>