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560705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577850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27" w:lineRule="exact"/>
        <w:rPr>
          <w:sz w:val="24"/>
          <w:szCs w:val="24"/>
          <w:color w:val="auto"/>
        </w:rPr>
      </w:pPr>
    </w:p>
    <w:p>
      <w:pPr>
        <w:jc w:val="center"/>
        <w:ind w:right="-65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9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4" w:lineRule="exact"/>
        <w:rPr>
          <w:sz w:val="24"/>
          <w:szCs w:val="24"/>
          <w:color w:val="auto"/>
        </w:rPr>
      </w:pPr>
    </w:p>
    <w:p>
      <w:pPr>
        <w:ind w:left="4851"/>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90"/>
        <w:spacing w:after="0"/>
        <w:rPr>
          <w:sz w:val="20"/>
          <w:szCs w:val="20"/>
          <w:color w:val="auto"/>
        </w:rPr>
      </w:pPr>
      <w:r>
        <w:rPr>
          <w:rFonts w:ascii="Arial" w:cs="Arial" w:eastAsia="Arial" w:hAnsi="Arial"/>
          <w:sz w:val="25"/>
          <w:szCs w:val="25"/>
          <w:b w:val="1"/>
          <w:bCs w:val="1"/>
          <w:color w:val="auto"/>
        </w:rPr>
        <w:t>CURRENT REPORT</w:t>
      </w:r>
    </w:p>
    <w:p>
      <w:pPr>
        <w:spacing w:after="0" w:line="67" w:lineRule="exact"/>
        <w:rPr>
          <w:sz w:val="24"/>
          <w:szCs w:val="24"/>
          <w:color w:val="auto"/>
        </w:rPr>
      </w:pPr>
    </w:p>
    <w:p>
      <w:pPr>
        <w:jc w:val="center"/>
        <w:ind w:right="-69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13" w:lineRule="exact"/>
        <w:rPr>
          <w:sz w:val="24"/>
          <w:szCs w:val="24"/>
          <w:color w:val="auto"/>
        </w:rPr>
      </w:pPr>
    </w:p>
    <w:p>
      <w:pPr>
        <w:jc w:val="center"/>
        <w:ind w:right="-69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2017</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690"/>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ind w:left="3791"/>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671"/>
          </w:cols>
          <w:pgMar w:left="329" w:top="945" w:right="899" w:bottom="1440" w:gutter="0" w:footer="0" w:header="0"/>
        </w:sectPr>
      </w:pPr>
    </w:p>
    <w:p>
      <w:pPr>
        <w:spacing w:after="0" w:line="97" w:lineRule="exact"/>
        <w:rPr>
          <w:sz w:val="24"/>
          <w:szCs w:val="24"/>
          <w:color w:val="auto"/>
        </w:rPr>
      </w:pPr>
    </w:p>
    <w:p>
      <w:pPr>
        <w:jc w:val="center"/>
        <w:ind w:right="2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11"/>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110" w:lineRule="exact"/>
        <w:rPr>
          <w:sz w:val="24"/>
          <w:szCs w:val="24"/>
          <w:color w:val="auto"/>
        </w:rPr>
      </w:pPr>
    </w:p>
    <w:p>
      <w:pPr>
        <w:sectPr>
          <w:pgSz w:w="11900" w:h="16838" w:orient="portrait"/>
          <w:cols w:equalWidth="0" w:num="3">
            <w:col w:w="4091" w:space="720"/>
            <w:col w:w="2660" w:space="720"/>
            <w:col w:w="2480"/>
          </w:cols>
          <w:pgMar w:left="329" w:top="945" w:right="899" w:bottom="1440" w:gutter="0" w:footer="0" w:header="0"/>
          <w:type w:val="continuous"/>
        </w:sectPr>
      </w:pPr>
    </w:p>
    <w:p>
      <w:pPr>
        <w:ind w:left="3711"/>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51"/>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650"/>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90"/>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61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9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1"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11" w:hanging="111"/>
        <w:spacing w:after="0"/>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11" w:hanging="111"/>
        <w:spacing w:after="0" w:line="207" w:lineRule="exact"/>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11" w:hanging="111"/>
        <w:spacing w:after="0" w:line="207" w:lineRule="exact"/>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11" w:hanging="111"/>
        <w:spacing w:after="0" w:line="207" w:lineRule="exact"/>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537210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554355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671"/>
          </w:cols>
          <w:pgMar w:left="329" w:top="945" w:right="8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10"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are expected to return to service by the end of February 2017. The Company is reviewing the warranty coverage with the original equipment manufacturer as well as available insurance coverage. The Company estimates the cash impact of the forced outage to be approximately $12 million in 2017 before recovery from any warranty or insurance coverage.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the Company believes that its expectations are reasonable, it can give no assurance that these expectations will prove to be correct, and actual results may vary materially. Factors that could cause the Company’s actual results to differ materially from those contemplated in this Form 8-K can be found in the risk factors set forth in the Company’s Annual Report on Form 10-K for the year ended December 31, 2015 and other filings with the Securities and Exchange Commission. The Company undertakes no obligation to update or revise any forward-looking statements, whether as a result of new information, future events or otherwise.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48"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67"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NRG Yield LLC</w:t>
      </w:r>
    </w:p>
    <w:p>
      <w:pPr>
        <w:spacing w:after="0" w:line="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90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48895</wp:posOffset>
            </wp:positionV>
            <wp:extent cx="2950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8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Brian E. Curci</w:t>
      </w:r>
    </w:p>
    <w:p>
      <w:pPr>
        <w:spacing w:after="0" w:line="9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Secretary</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February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9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2019-12-08T02:12:17Z</dcterms:created>
  <dcterms:modified xsi:type="dcterms:W3CDTF">2019-12-08T02:12:17Z</dcterms:modified>
</cp:coreProperties>
</file>