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Malcarney Kevin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25"/>
        <w:spacing w:after="0"/>
        <w:rPr>
          <w:sz w:val="20"/>
          <w:szCs w:val="20"/>
          <w:color w:val="auto"/>
        </w:rPr>
      </w:pPr>
      <w:r>
        <w:rPr>
          <w:rFonts w:ascii="Arial" w:cs="Arial" w:eastAsia="Arial" w:hAnsi="Arial"/>
          <w:sz w:val="16"/>
          <w:szCs w:val="16"/>
          <w:color w:val="0000FF"/>
        </w:rPr>
        <w:t>SVP, Gen Counsel and Corp Secr</w:t>
      </w:r>
    </w:p>
    <w:p>
      <w:pPr>
        <w:spacing w:after="0" w:line="414"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10"/>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343</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40,510</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2,077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Kevin P. Malcarney</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03/03/2021</w:t>
            </w:r>
          </w:p>
        </w:tc>
      </w:tr>
      <w:tr>
        <w:trPr>
          <w:trHeight w:val="20"/>
        </w:trPr>
        <w:tc>
          <w:tcPr>
            <w:tcW w:w="1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2021-03-03T16:15:09Z</dcterms:created>
  <dcterms:modified xsi:type="dcterms:W3CDTF">2021-03-03T16:15:09Z</dcterms:modified>
</cp:coreProperties>
</file>