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6" w:lineRule="exact"/>
        <w:rPr>
          <w:sz w:val="24"/>
          <w:szCs w:val="24"/>
          <w:color w:val="auto"/>
        </w:rPr>
      </w:pPr>
    </w:p>
    <w:p>
      <w:pPr>
        <w:ind w:left="820" w:hanging="346"/>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333-203369</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LLC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07"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3" w:lineRule="exact"/>
        <w:rPr>
          <w:sz w:val="24"/>
          <w:szCs w:val="24"/>
          <w:color w:val="auto"/>
        </w:rPr>
      </w:pPr>
    </w:p>
    <w:p>
      <w:pPr>
        <w:sectPr>
          <w:pgSz w:w="11900" w:h="16838" w:orient="portrait"/>
          <w:cols w:equalWidth="0" w:num="4">
            <w:col w:w="3460" w:space="720"/>
            <w:col w:w="940" w:space="720"/>
            <w:col w:w="2360" w:space="720"/>
            <w:col w:w="2320"/>
          </w:cols>
          <w:pgMar w:left="320" w:top="1407"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1407" w:right="339" w:bottom="1440" w:gutter="0" w:footer="0" w:header="0"/>
          <w:type w:val="continuous"/>
        </w:sectPr>
      </w:pP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08"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jc w:val="center"/>
        <w:ind w:right="-279"/>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Arial" w:cs="Arial" w:eastAsia="Arial" w:hAnsi="Arial"/>
          <w:sz w:val="15"/>
          <w:szCs w:val="15"/>
          <w:color w:val="auto"/>
        </w:rPr>
        <w:t>o</w:t>
      </w:r>
    </w:p>
    <w:p>
      <w:pPr>
        <w:spacing w:after="0" w:line="87"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jc w:val="center"/>
        <w:ind w:right="-27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Arial" w:cs="Arial" w:eastAsia="Arial" w:hAnsi="Arial"/>
          <w:sz w:val="15"/>
          <w:szCs w:val="15"/>
          <w:color w:val="auto"/>
        </w:rPr>
        <w:t>o</w:t>
      </w:r>
    </w:p>
    <w:p>
      <w:pPr>
        <w:spacing w:after="0" w:line="87"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34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2" w:lineRule="exact"/>
        <w:rPr>
          <w:sz w:val="24"/>
          <w:szCs w:val="24"/>
          <w:color w:val="auto"/>
        </w:rPr>
      </w:pPr>
    </w:p>
    <w:p>
      <w:pPr>
        <w:ind w:firstLine="324"/>
        <w:spacing w:after="0" w:line="249"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4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6" w:lineRule="exact"/>
        <w:rPr>
          <w:sz w:val="24"/>
          <w:szCs w:val="24"/>
          <w:color w:val="auto"/>
        </w:rPr>
      </w:pPr>
    </w:p>
    <w:p>
      <w:pPr>
        <w:ind w:left="5100"/>
        <w:spacing w:after="0" w:line="196" w:lineRule="exact"/>
        <w:tabs>
          <w:tab w:leader="none" w:pos="580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Arial" w:cs="Arial" w:eastAsia="Arial" w:hAnsi="Arial"/>
          <w:sz w:val="16"/>
          <w:szCs w:val="16"/>
          <w:color w:val="auto"/>
        </w:rPr>
        <w:t>x</w:t>
      </w:r>
    </w:p>
    <w:p>
      <w:pPr>
        <w:spacing w:after="0" w:line="148" w:lineRule="exact"/>
        <w:rPr>
          <w:sz w:val="24"/>
          <w:szCs w:val="24"/>
          <w:color w:val="auto"/>
        </w:rPr>
      </w:pPr>
    </w:p>
    <w:p>
      <w:pPr>
        <w:ind w:firstLine="283"/>
        <w:spacing w:after="0" w:line="245" w:lineRule="auto"/>
        <w:rPr>
          <w:sz w:val="20"/>
          <w:szCs w:val="20"/>
          <w:color w:val="auto"/>
        </w:rPr>
      </w:pPr>
      <w:r>
        <w:rPr>
          <w:rFonts w:ascii="Times New Roman" w:cs="Times New Roman" w:eastAsia="Times New Roman" w:hAnsi="Times New Roman"/>
          <w:sz w:val="16"/>
          <w:szCs w:val="16"/>
          <w:color w:val="auto"/>
        </w:rPr>
        <w:t>As of October 31, 2022, there were 34,599,645 Class A units outstanding, 42,738,750 Class B units outstanding, 82,204,753 Class C units outstanding, and 42,336,750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 REGARDING FORWARD LOOKING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100" w:type="dxa"/>
            <w:vAlign w:val="bottom"/>
            <w:gridSpan w:val="4"/>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1 — FINANCIAL STATEMENTS AND NOTES</w:t>
            </w:r>
          </w:p>
        </w:tc>
        <w:tc>
          <w:tcPr>
            <w:tcW w:w="5640" w:type="dxa"/>
            <w:vAlign w:val="bottom"/>
            <w:gridSpan w:val="5"/>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10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9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4 — CONTROLS AND PROCEDURES</w:t>
            </w:r>
          </w:p>
        </w:tc>
        <w:tc>
          <w:tcPr>
            <w:tcW w:w="27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940" w:type="dxa"/>
            <w:vAlign w:val="bottom"/>
            <w:gridSpan w:val="9"/>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980" w:type="dxa"/>
            <w:vAlign w:val="bottom"/>
            <w:gridSpan w:val="11"/>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 UNREGISTERED SALES OF EQUITY SECURITIES AND USE OF PROCEEDS</w:t>
            </w:r>
          </w:p>
        </w:tc>
        <w:tc>
          <w:tcPr>
            <w:tcW w:w="27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5640" w:type="dxa"/>
            <w:vAlign w:val="bottom"/>
            <w:gridSpan w:val="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MINE SAFETY DISCLOSURES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540" w:type="dxa"/>
            <w:vAlign w:val="bottom"/>
            <w:tcBorders>
              <w:top w:val="single" w:sz="8" w:color="0000FF"/>
            </w:tcBorders>
            <w:gridSpan w:val="3"/>
          </w:tcPr>
          <w:p>
            <w:pPr>
              <w:spacing w:after="0"/>
              <w:rPr>
                <w:sz w:val="18"/>
                <w:szCs w:val="18"/>
                <w:color w:val="auto"/>
              </w:rPr>
            </w:pPr>
          </w:p>
        </w:tc>
        <w:tc>
          <w:tcPr>
            <w:tcW w:w="642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EXHIBITS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500" w:type="dxa"/>
            <w:vAlign w:val="bottom"/>
            <w:tcBorders>
              <w:top w:val="single" w:sz="8" w:color="0000FF"/>
            </w:tcBorders>
          </w:tcPr>
          <w:p>
            <w:pPr>
              <w:spacing w:after="0"/>
              <w:rPr>
                <w:sz w:val="18"/>
                <w:szCs w:val="18"/>
                <w:color w:val="auto"/>
              </w:rPr>
            </w:pPr>
          </w:p>
        </w:tc>
        <w:tc>
          <w:tcPr>
            <w:tcW w:w="8040" w:type="dxa"/>
            <w:vAlign w:val="bottom"/>
            <w:gridSpan w:val="1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2021, as well as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COVID-19 (including any variant of the virus) or any other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TotalEnergies and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and dispositions to,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TotalEnergies or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78"/>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2"/>
        </w:trPr>
        <w:tc>
          <w:tcPr>
            <w:tcW w:w="2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2025 Senior Notes</w:t>
            </w:r>
          </w:p>
        </w:tc>
        <w:tc>
          <w:tcPr>
            <w:tcW w:w="85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 which were repurchased and redeemed in March 2021</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4.750% unsecured senior notes due 2028,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3.750% unsecured senior notes due 2031,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3.750% unsecured senior notes due 2032,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660" w:type="dxa"/>
            <w:vAlign w:val="bottom"/>
          </w:tcPr>
          <w:p>
            <w:pPr>
              <w:spacing w:after="0"/>
              <w:rPr>
                <w:sz w:val="18"/>
                <w:szCs w:val="18"/>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189"/>
        </w:trPr>
        <w:tc>
          <w:tcPr>
            <w:tcW w:w="2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authoritative GAAP</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At-The-Market Equity Offering Programs</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Bridge Loan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secured bridge credit agreement entered into by Clearway Energy Operating LLC that provided a term loan</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in an aggregate principal amount of $335 million and was repaid on May 3, 2022</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CAFD</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September 30, 2022 as Adjusted EBITDA</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plus cash distributions/return of investment from unconsolidated affiliates, cash receipts from notes receivable,</w:t>
            </w: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cash distributions from noncontrolling interests, adjustments to reflect sales-type lease cash payments and</w:t>
            </w: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payments for lease expenses, less cash distributions to noncontrolling interests, maintenance capital expenditures,</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pro-rata Adjusted EBITDA from unconsolidated affiliates, cash interest paid, income taxes paid, principal</w:t>
            </w: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amortization of indebtedness, changes in prepaid and accrued capacity payments, and adjusted for development</w:t>
            </w:r>
          </w:p>
        </w:tc>
      </w:tr>
      <w:tr>
        <w:trPr>
          <w:trHeight w:val="225"/>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Capistrano Wind Portfolio</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Five wind projects representing 413 MW of capacity, which includes Broken Bow and Crofton Bluffs located in</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Nebraska, Cedro Hill located in Texas and Mountain Wind Power I and II located in Wyoming</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Inc., Clearway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Energy Operating LLC and CEG</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Inc.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Inc., the holder of the Company’s Class A and Class C units</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Group LLC</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holder of all of Clearway, Inc.’s Class B and Class D common shares, the Company’s Class B and Class D</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units and, from time to time, possibly shares of Clearway, Inc.’s Class A and/or Class C common stock</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holder of the project assets that are owned by the Company</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LLC, together with its consolidated subsidiaries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Solar power projects, typically less than 20 MW in size (on an alternating current, or AC, basis), that primarily sell</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Fish &amp; Wildlife Service</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GenConn Energy LLC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GIP</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Infrastructure Partners</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HLBV</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Hypothetical Liquidation at Book Value</w:t>
            </w:r>
          </w:p>
        </w:tc>
      </w:tr>
      <w:tr>
        <w:trPr>
          <w:trHeight w:val="86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IRA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Mesquite Star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MMBtu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 Storm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Exposure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NPNS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O&amp;M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PG&amp;E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Thermal Business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Thermal Disposition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TotalEnergies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 Solar Portfolio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Scale Solar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Inflation Reduction Act of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KKR Thor Bidco, LLC, an affiliate of Kohlberg Kravis Roberts &amp; Co.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Inter-Bank Offered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Mesquite Star Special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British Thermal Units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NedPower Mount Storm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Megawatts Thermal Equivalent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 credit exposure to Clearway, Inc. net of collateral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Normal Purchases and Normal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Maintenance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Gas and Electric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California Edison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2028 Senior Notes, the 2031 Senior Notes and the 2032 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Power Partners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Renewable Energy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Cuts and Jobs Act of 2017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w:t>
      </w:r>
    </w:p>
    <w:p>
      <w:pPr>
        <w:spacing w:after="0" w:line="219" w:lineRule="auto"/>
        <w:rPr>
          <w:sz w:val="20"/>
          <w:szCs w:val="20"/>
          <w:color w:val="auto"/>
        </w:rPr>
      </w:pPr>
      <w:r>
        <w:rPr>
          <w:rFonts w:ascii="Times New Roman" w:cs="Times New Roman" w:eastAsia="Times New Roman" w:hAnsi="Times New Roman"/>
          <w:sz w:val="18"/>
          <w:szCs w:val="18"/>
          <w:color w:val="auto"/>
        </w:rPr>
        <w:t>and/or chilled water, and in some instances electricity, to commercial businesses, universities, hospitals and</w:t>
      </w:r>
    </w:p>
    <w:p>
      <w:pPr>
        <w:spacing w:after="0"/>
        <w:rPr>
          <w:sz w:val="20"/>
          <w:szCs w:val="20"/>
          <w:color w:val="auto"/>
        </w:rPr>
      </w:pPr>
      <w:r>
        <w:rPr>
          <w:rFonts w:ascii="Times New Roman" w:cs="Times New Roman" w:eastAsia="Times New Roman" w:hAnsi="Times New Roman"/>
          <w:sz w:val="18"/>
          <w:szCs w:val="18"/>
          <w:color w:val="auto"/>
        </w:rPr>
        <w:t>governmental units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2022, the Company completed the sale of 100% of its interests in the Thermal Business to KKR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TotalEnergies 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 utility-scale solar farms located in Utah, representing 530 MW of capacity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w:t>
      </w:r>
    </w:p>
    <w:p>
      <w:pPr>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at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Interest Entity</w:t>
      </w:r>
    </w:p>
    <w:p>
      <w:pPr>
        <w:spacing w:after="0" w:line="200" w:lineRule="exact"/>
        <w:rPr>
          <w:sz w:val="20"/>
          <w:szCs w:val="20"/>
          <w:color w:val="auto"/>
        </w:rPr>
      </w:pPr>
    </w:p>
    <w:p>
      <w:pPr>
        <w:sectPr>
          <w:pgSz w:w="11900" w:h="16838" w:orient="portrait"/>
          <w:cols w:equalWidth="0" w:num="2">
            <w:col w:w="2160" w:space="720"/>
            <w:col w:w="8320"/>
          </w:cols>
          <w:pgMar w:left="34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474747"/>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340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74747"/>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74747"/>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235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74747"/>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74747"/>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74747"/>
              </w:rPr>
              <w:t>(49)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474747"/>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Less: Loss attributable to noncontrolling interests and redeemable</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74747"/>
              </w:rPr>
              <w:t>(3)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87" w:right="39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2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 on derivatives and changes in accumulated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OCI/OCL</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6"/>
        </w:trPr>
        <w:tc>
          <w:tcPr>
            <w:tcW w:w="5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and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LLC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80" w:top="887" w:right="5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3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40" w:type="dxa"/>
            <w:vAlign w:val="bottom"/>
            <w:tcBorders>
              <w:bottom w:val="single" w:sz="8" w:color="CCEEFF"/>
            </w:tcBorders>
            <w:vMerge w:val="continue"/>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assets held-for-sale</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22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external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 affiliate</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liabilities held-for-sale</w:t>
            </w:r>
          </w:p>
        </w:tc>
        <w:tc>
          <w:tcPr>
            <w:tcW w:w="2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 external</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Contributed capital</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ind w:left="48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OCI/OCL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changes in other working capital: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Capistrano Wind Portfolio, net of cash acquired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purchase from affiliate</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contributions from CEG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Tax-related distributions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distributions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CEG of escrowed amounts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 — external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 — affiliate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short-term and long-term debt — external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 — affiliate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5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 and changes in accumulated OCL</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Mesquite Sky Drop Down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Black Rock Drop Down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Mililani I Drop Down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 and changes in accumulated OCI</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(distributions to) CEG,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 and changes in accumulated OCI</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contributions from CEG, non-cash</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(distributions to) CEG,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 cash</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Capistrano Wind Portfolio Acquisition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Kawailoa Sale to Clearway Renew LLC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Tax-related distributions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5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 and changes in accumulated OCL</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Contributions from CEG, cash</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Agua Caliente acquisition</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(loss) on derivatives and changes in accumulated OCL</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derivatives and changes in accumulated OCL</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 cash</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in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2022, Clearway, Inc. owned 57.86% of the economic interests of the Company, with CEG owning 42.14% of the economic interests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63590" cy="4337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2021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2022, and results of operations, comprehensive income and cash flows for the three and nine months ended September 30, 2022 and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$168 million and $146 million as of September 30, 2022 and December 31, 2021,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4"/>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September 30, 2022, these restricted funds were comprised of $144 million designated to fund operating expenses, $66 million designated for current debt service payments and $124 million restricted for reserves including debt service, performance obligations and other reserves as well as capital expenditures. The remaining $29 million is held in distributions reserve accounts.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$27 million to the Oahu Solar and $22 million to the Kawailoa Solar project companies, which were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On August 1, 2022, the Company sold its Class A interests in the Kawailoa Partnership, which consolidates the Kawailoa Solar project, to Clearway Renew LLC,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Dispositions</w:t>
      </w:r>
      <w:r>
        <w:rPr>
          <w:rFonts w:ascii="Times New Roman" w:cs="Times New Roman" w:eastAsia="Times New Roman" w:hAnsi="Times New Roman"/>
          <w:sz w:val="18"/>
          <w:szCs w:val="18"/>
          <w:color w:val="auto"/>
        </w:rPr>
        <w:t>, resulting in the removal of $7 million that remained in restricted cash at the time of sale. As of September 30, 2022, $22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 million previously contributed to the Oahu Solar projects has been utilized to offset invoiced amounts under the projects’ PPAs.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 as of September 30, 2022 and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180" w:type="dxa"/>
            <w:vAlign w:val="bottom"/>
          </w:tcPr>
          <w:p>
            <w:pPr>
              <w:spacing w:after="0"/>
              <w:rPr>
                <w:sz w:val="20"/>
                <w:szCs w:val="20"/>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on the Company's Class A, B, C and D units during the nine months ended September 30,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2022</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2022</w:t>
            </w:r>
          </w:p>
        </w:tc>
      </w:tr>
      <w:tr>
        <w:trPr>
          <w:trHeight w:val="23"/>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A, B, C and D unit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November 2, 2022, the Company declared a distribution on its Class A, Class B, Class C and Class D units of $0.3672 per unit payable on December 15, 2022 to unit holders of record as of December 1, 2022.</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quarterly distributions, the Company paid $19 million in additional distributions, $11 million of which was distributed to Clearway, Inc. and $8 million of which was distributed to CEG, during the third quarter of 2022 in order for Clearway, Inc. to make certain tax payments associated with the sale of the Thermal Business.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nine months ended September 30,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distributions to redeemable noncontrolling interests</w:t>
            </w: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PPAs have no minimum lease payments and all of the lease revenue under these PPAs is recorded as contingent rent on an actual basis when the electricity is delivered.</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income.</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nine months ended September 30, 2022 and 2021, respectively: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6"/>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500" w:type="dxa"/>
            <w:vAlign w:val="bottom"/>
          </w:tcPr>
          <w:p>
            <w:pPr>
              <w:spacing w:after="0"/>
              <w:rPr>
                <w:sz w:val="11"/>
                <w:szCs w:val="11"/>
                <w:color w:val="auto"/>
              </w:rPr>
            </w:pPr>
          </w:p>
        </w:tc>
        <w:tc>
          <w:tcPr>
            <w:tcW w:w="10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272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Conventional Generation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3"/>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80" w:type="dxa"/>
            <w:vAlign w:val="bottom"/>
          </w:tcPr>
          <w:p>
            <w:pPr>
              <w:spacing w:after="0"/>
              <w:rPr>
                <w:sz w:val="11"/>
                <w:szCs w:val="11"/>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33333"/>
              </w:rPr>
              <w:t>231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33</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33333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267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120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33333"/>
              </w:rPr>
              <w:t>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33333"/>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33333"/>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33333"/>
              </w:rPr>
              <w:t>32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0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333333"/>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773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333333"/>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333333"/>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(107)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BFE4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313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532</w:t>
            </w: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242424"/>
              </w:rPr>
              <w:t>77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8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760" w:type="dxa"/>
            <w:vAlign w:val="bottom"/>
            <w:tcBorders>
              <w:bottom w:val="single" w:sz="8" w:color="auto"/>
            </w:tcBorders>
            <w:vMerge w:val="continue"/>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15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0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40" w:hanging="151"/>
        <w:spacing w:after="0"/>
        <w:tabs>
          <w:tab w:leader="none" w:pos="2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consolidated balance sheets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4"/>
          </w:tcPr>
          <w:p>
            <w:pPr>
              <w:jc w:val="right"/>
              <w:ind w:right="13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No. 2020-04,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September 30, 2022, the Company has applied the amendments to all of its eligible contract modifications, where applicable, during the reference rate reform period. Additionally, the Company has not elected any optional expedients provided in the standard.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Waiawa Drop Down — </w:t>
      </w:r>
      <w:r>
        <w:rPr>
          <w:rFonts w:ascii="Times New Roman" w:cs="Times New Roman" w:eastAsia="Times New Roman" w:hAnsi="Times New Roman"/>
          <w:sz w:val="18"/>
          <w:szCs w:val="18"/>
          <w:color w:val="auto"/>
        </w:rPr>
        <w:t>On October 3, 2022, the Company, through its indirect subsidiary, Lighthouse Renewable Holdco LLC, acquired Waiawa BL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Holdco LLC, the indirect owner of the Waiawa solar project, a 36 MW solar project with matching storage capacity that is currently under construction and located in Honolulu, Hawaii, from Clearway Renew LLC, a subsidiary of CEG,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Waiawa has a 20-year PPA with an investment-grade utility that commences when the project reaches commercial operations, as defined in the PPA. The acquisition was funded with existing sources of liquidity.</w:t>
      </w:r>
    </w:p>
    <w:p>
      <w:pPr>
        <w:spacing w:after="0" w:line="13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Capistrano Wind Portfolio Acquisition — </w:t>
      </w:r>
      <w:r>
        <w:rPr>
          <w:rFonts w:ascii="Times New Roman" w:cs="Times New Roman" w:eastAsia="Times New Roman" w:hAnsi="Times New Roman"/>
          <w:sz w:val="18"/>
          <w:szCs w:val="18"/>
          <w:color w:val="auto"/>
        </w:rPr>
        <w:t>On August 22, 2022, the Company, through its wholly-owned indirect subsidiary, Capistrano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10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by GIP and were transferred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which reflects GIP’s basis. The difference between the historical cost of the Company’s net assets acquired of $250 million, less the sum of the cash paid of $239 million and the $7 million in accumulated other comprehensive income transferred to the Company, was recorded as an adjustment to CEG’s contributed capital balance.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August 22,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Capistrano Wind Portfolio</w:t>
            </w:r>
          </w:p>
        </w:tc>
      </w:tr>
      <w:tr>
        <w:trPr>
          <w:trHeight w:val="226"/>
        </w:trPr>
        <w:tc>
          <w:tcPr>
            <w:tcW w:w="840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Other current and non-current assets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for power purchase agreements</w:t>
            </w: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Right-of-use-assets, net</w:t>
            </w: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8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8"/>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cash of $12 million and restricted cash of $4 million.</w:t>
      </w:r>
    </w:p>
    <w:p>
      <w:pPr>
        <w:spacing w:after="0" w:line="13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Mililani I Drop Down — </w:t>
      </w:r>
      <w:r>
        <w:rPr>
          <w:rFonts w:ascii="Times New Roman" w:cs="Times New Roman" w:eastAsia="Times New Roman" w:hAnsi="Times New Roman"/>
          <w:sz w:val="18"/>
          <w:szCs w:val="18"/>
          <w:color w:val="auto"/>
        </w:rPr>
        <w:t>On March 25, 2022, the Company, through its indirect subsidiary, Lighthouse Renewable Holdco LLC, acquired Mililani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BL 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sum of the cash paid of $22 million and the historical cost of the Company’s net liabilities assumed of $8 million was recorded as an adjustment to CEG’s contributed capital balance. In addition, the Company reflected $15 million of the Company’s purchase price, which was contributed back by CEG to pay down the acquired long-term debt, as distributions to CEG, net of contributions, in the consolidated statement of members’ equity.</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25,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6"/>
                <w:szCs w:val="16"/>
                <w:b w:val="1"/>
                <w:bCs w:val="1"/>
                <w:color w:val="auto"/>
              </w:rPr>
              <w:t>Mililani I</w:t>
            </w:r>
          </w:p>
        </w:tc>
      </w:tr>
      <w:tr>
        <w:trPr>
          <w:trHeight w:val="226"/>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Right-of-use-assets</w:t>
            </w:r>
          </w:p>
        </w:tc>
        <w:tc>
          <w:tcPr>
            <w:tcW w:w="6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6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8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30"/>
        </w:trPr>
        <w:tc>
          <w:tcPr>
            <w:tcW w:w="8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6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80" w:firstLine="90"/>
        <w:spacing w:after="0" w:line="319" w:lineRule="auto"/>
        <w:tabs>
          <w:tab w:leader="none" w:pos="3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a $16 million construction loan, $27 million sponsor equity bridge loan and $60 million tax equity bridge loan, offset by $3 million in unamortized debt issuance costs. The sponsor equity bridge loan was repaid at acquisition date utilizing $14 million from the cash equity investor, as well as $15 million of the Company’s purchase price, which was contributed back to the Company by CEG, of which $27 million was utilized to pay down the acquired long-term debt and $2 million was utilized to pay associated fees. Also at acquisition date, the tax equity investor contributed $18 million into escrow, which was included in restricted cash on the Company’s consolidated balance sheet. The tax equity investor will contribute an additional $42 million when the project reaches substantial completion, which will be utilized, along with the $18 million in escrow, to repay the $60 million tax equity bridge loan. The project is expected to reach substantial completion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7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Sale </w:t>
      </w:r>
      <w:r>
        <w:rPr>
          <w:rFonts w:ascii="Times New Roman" w:cs="Times New Roman" w:eastAsia="Times New Roman" w:hAnsi="Times New Roman"/>
          <w:sz w:val="18"/>
          <w:szCs w:val="18"/>
          <w:color w:val="auto"/>
        </w:rPr>
        <w:t>— On August 1, 2022, the Company sold 100% of its Class A interests in the Kawailoa Partnership to Clearway Renew LLC,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subsidiary of CEG, for cash proceeds of $9 million, which equals the Company’s initial investment. The Kawailoa Partnership is a partnership that consolidates, through its 51% controlling majority interest, a lower-level partnership that is 49% owned by a third-party investor, and which consolidates the Kawailoa solar project through its ownership of a controlling interest in the tax equity fund that holds the project. The assets and liabilities transferred to Clearway Renew LLC relate to interests under common control by GIP and were transferred at historical cost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 Related Issues</w:t>
      </w:r>
      <w:r>
        <w:rPr>
          <w:rFonts w:ascii="Times New Roman" w:cs="Times New Roman" w:eastAsia="Times New Roman" w:hAnsi="Times New Roman"/>
          <w:sz w:val="18"/>
          <w:szCs w:val="18"/>
          <w:color w:val="auto"/>
        </w:rPr>
        <w:t>. This resulted in the Company removing $69 million from members’ equity, inclusive of the noncontrolling interest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Kawailoa Partnership at the time of sale. Noncontrolling interests prior to the sale include the interests of the third-party investor, tax equity investor and Clearway Renew LLC.</w:t>
      </w:r>
    </w:p>
    <w:p>
      <w:pPr>
        <w:spacing w:after="0" w:line="13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Disposition </w:t>
      </w:r>
      <w:r>
        <w:rPr>
          <w:rFonts w:ascii="Times New Roman" w:cs="Times New Roman" w:eastAsia="Times New Roman" w:hAnsi="Times New Roman"/>
          <w:sz w:val="18"/>
          <w:szCs w:val="18"/>
          <w:color w:val="auto"/>
        </w:rPr>
        <w:t>— On May 1, 2022, the Company completed the sale of 100% of its interests in the Thermal Business to KKR for net proceeds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with the remaining proceeds invested in short-term investments classified as cash and cash equivalents on the Company’s consolidated balance sheet as of September 30, 2022. Effective with the approval by the Board of Directors and signing of the agreement to sell the Thermal Business on October 22, 2021, the Company concluded that all entities that are included within the Thermal Business would be treated as held for sale on a prospective basis, thus the assets and liabilities were reported as separate held for sale line items on the Company’s consolidated balance sheets as of December 31, 2021.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128" w:lineRule="exact"/>
        <w:rPr>
          <w:sz w:val="20"/>
          <w:szCs w:val="20"/>
          <w:color w:val="auto"/>
        </w:rPr>
      </w:pPr>
    </w:p>
    <w:p>
      <w:pPr>
        <w:ind w:right="4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Consolidated</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consolidated financial statements included in the Company’s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September 30,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Lighthouse</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Buckthorn</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Langford TE</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Renewable Holdco</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Lighthouse Renewable</w:t>
            </w: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Alta TE Holdco</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Renewables, LLC</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DGPV Funds</w:t>
            </w:r>
            <w:r>
              <w:rPr>
                <w:rFonts w:ascii="Times New Roman" w:cs="Times New Roman" w:eastAsia="Times New Roman" w:hAnsi="Times New Roman"/>
                <w:sz w:val="16"/>
                <w:szCs w:val="16"/>
                <w:b w:val="1"/>
                <w:bCs w:val="1"/>
                <w:color w:val="auto"/>
                <w:vertAlign w:val="superscript"/>
              </w:rPr>
              <w:t>(a)</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Partnership LLC</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3"/>
                <w:szCs w:val="13"/>
                <w:b w:val="1"/>
                <w:bCs w:val="1"/>
                <w:color w:val="auto"/>
                <w:w w:val="89"/>
              </w:rPr>
              <w:t xml:space="preserve">LLC </w:t>
            </w:r>
            <w:r>
              <w:rPr>
                <w:rFonts w:ascii="Times New Roman" w:cs="Times New Roman" w:eastAsia="Times New Roman" w:hAnsi="Times New Roman"/>
                <w:sz w:val="21"/>
                <w:szCs w:val="21"/>
                <w:b w:val="1"/>
                <w:bCs w:val="1"/>
                <w:color w:val="auto"/>
                <w:w w:val="89"/>
                <w:vertAlign w:val="superscript"/>
              </w:rPr>
              <w:t>(b)</w:t>
            </w:r>
          </w:p>
        </w:tc>
        <w:tc>
          <w:tcPr>
            <w:tcW w:w="140" w:type="dxa"/>
            <w:vAlign w:val="bottom"/>
          </w:tcPr>
          <w:p>
            <w:pPr>
              <w:spacing w:after="0"/>
              <w:rPr>
                <w:sz w:val="16"/>
                <w:szCs w:val="16"/>
                <w:color w:val="auto"/>
              </w:rPr>
            </w:pPr>
          </w:p>
        </w:tc>
        <w:tc>
          <w:tcPr>
            <w:tcW w:w="1160" w:type="dxa"/>
            <w:vAlign w:val="bottom"/>
          </w:tcPr>
          <w:p>
            <w:pPr>
              <w:jc w:val="right"/>
              <w:ind w:right="113"/>
              <w:spacing w:after="0" w:line="189" w:lineRule="exact"/>
              <w:rPr>
                <w:sz w:val="20"/>
                <w:szCs w:val="20"/>
                <w:color w:val="auto"/>
              </w:rPr>
            </w:pPr>
            <w:r>
              <w:rPr>
                <w:rFonts w:ascii="Times New Roman" w:cs="Times New Roman" w:eastAsia="Times New Roman" w:hAnsi="Times New Roman"/>
                <w:sz w:val="13"/>
                <w:szCs w:val="13"/>
                <w:b w:val="1"/>
                <w:bCs w:val="1"/>
                <w:color w:val="auto"/>
                <w:w w:val="95"/>
              </w:rPr>
              <w:t xml:space="preserve">Holdco 2 LLC </w:t>
            </w:r>
            <w:r>
              <w:rPr>
                <w:rFonts w:ascii="Times New Roman" w:cs="Times New Roman" w:eastAsia="Times New Roman" w:hAnsi="Times New Roman"/>
                <w:sz w:val="21"/>
                <w:szCs w:val="21"/>
                <w:b w:val="1"/>
                <w:bCs w:val="1"/>
                <w:color w:val="auto"/>
                <w:w w:val="95"/>
                <w:vertAlign w:val="superscript"/>
              </w:rPr>
              <w:t>(c)</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 w:firstLine="89"/>
        <w:spacing w:after="0"/>
        <w:tabs>
          <w:tab w:leader="none" w:pos="255"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DGPV Funds is comprised of DGPV Fund 2 LLC, Clearway &amp; EFS Distributed Solar LLC, DGPV Fund 4 LLC, Golden Puma Fund LLC, Renew Solar CS4 Fund LLC and Chestnut Fund LLC.</w:t>
      </w:r>
    </w:p>
    <w:p>
      <w:pPr>
        <w:spacing w:after="0" w:line="125" w:lineRule="exact"/>
        <w:rPr>
          <w:rFonts w:ascii="Times New Roman" w:cs="Times New Roman" w:eastAsia="Times New Roman" w:hAnsi="Times New Roman"/>
          <w:sz w:val="22"/>
          <w:szCs w:val="22"/>
          <w:color w:val="auto"/>
          <w:vertAlign w:val="superscript"/>
        </w:rPr>
      </w:pPr>
    </w:p>
    <w:p>
      <w:pPr>
        <w:ind w:left="260" w:hanging="171"/>
        <w:spacing w:after="0"/>
        <w:tabs>
          <w:tab w:leader="none" w:pos="26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Lighthouse Renewable Holdco LLC consolidates Mesquite Star Tax Equity Holdco LLC, Black Rock TE Holdco LLC and Mililani TE Holdco LLC, which are also consolidated VIEs.</w:t>
      </w:r>
    </w:p>
    <w:p>
      <w:pPr>
        <w:spacing w:after="0" w:line="78" w:lineRule="exact"/>
        <w:rPr>
          <w:rFonts w:ascii="Times New Roman" w:cs="Times New Roman" w:eastAsia="Times New Roman" w:hAnsi="Times New Roman"/>
          <w:sz w:val="21"/>
          <w:szCs w:val="21"/>
          <w:color w:val="auto"/>
          <w:vertAlign w:val="superscript"/>
        </w:rPr>
      </w:pPr>
    </w:p>
    <w:p>
      <w:pPr>
        <w:ind w:left="260" w:hanging="171"/>
        <w:spacing w:after="0" w:line="185" w:lineRule="auto"/>
        <w:tabs>
          <w:tab w:leader="none" w:pos="2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Lighthouse Renewable Holdco 2 LLC consolidates Mesquite Sky TE Holdco LLC, which is also a consolidated VIE.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Oahu Solar</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Pinnacle Repowering</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Rattlesnake TE</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21"/>
                <w:szCs w:val="21"/>
                <w:b w:val="1"/>
                <w:bCs w:val="1"/>
                <w:color w:val="auto"/>
                <w:vertAlign w:val="superscript"/>
              </w:rPr>
              <w:t>(a)</w:t>
            </w:r>
          </w:p>
        </w:tc>
        <w:tc>
          <w:tcPr>
            <w:tcW w:w="0" w:type="dxa"/>
            <w:vAlign w:val="bottom"/>
          </w:tcPr>
          <w:p>
            <w:pPr>
              <w:spacing w:after="0"/>
              <w:rPr>
                <w:sz w:val="1"/>
                <w:szCs w:val="1"/>
                <w:color w:val="auto"/>
              </w:rPr>
            </w:pPr>
          </w:p>
        </w:tc>
      </w:tr>
      <w:tr>
        <w:trPr>
          <w:trHeight w:val="189"/>
        </w:trPr>
        <w:tc>
          <w:tcPr>
            <w:tcW w:w="3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Partnership LLC</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Holdco LLC</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Rosie TargetCo LLC</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Wildorado TE Holdco</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60" w:hanging="171"/>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is comprised of Crosswind Transmission, LLC, Hardin Hilltop Wind LLC, Elbow Creek TE Holdco and Spring Canyon TE Holdco projects.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VIEs during the nine months ended September 30, 2022.</w:t>
      </w:r>
    </w:p>
    <w:p>
      <w:pPr>
        <w:spacing w:after="0" w:line="16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Partnership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August 1, 2022, the Company sold 100% of its Class A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Kawailoa Partnership to Clearway Renew LLC, a subsidiary of CEG.</w:t>
      </w:r>
    </w:p>
    <w:p>
      <w:pPr>
        <w:spacing w:after="0" w:line="10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Lighthouse Renewable Holdco LLC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March 25, 2022, Lighthouse Renewable Holdco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acquired the Class B interests in a partnership, Mililani BL Borrower Holdco LLC, which consolidates, as the direct owner of the primary beneficiary, a tax equity fund, Mililani TE Holdco LLC, that holds the Mililani I solar project. The tax equity investor’s interest is shown as noncontrolling interest and the HLBV method is utilized to allocate the income or losses of Mililani TE Holdco LLC.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September 30, 2022 is limited to its equity investment in the unconsolidated entities, as further summarized in the table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660" w:type="dxa"/>
            <w:vAlign w:val="bottom"/>
          </w:tcPr>
          <w:p>
            <w:pPr>
              <w:jc w:val="center"/>
              <w:ind w:left="2813"/>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220" w:type="dxa"/>
            <w:vAlign w:val="bottom"/>
          </w:tcPr>
          <w:p>
            <w:pPr>
              <w:spacing w:after="0"/>
              <w:rPr>
                <w:sz w:val="16"/>
                <w:szCs w:val="16"/>
                <w:color w:val="auto"/>
              </w:rPr>
            </w:pPr>
          </w:p>
        </w:tc>
        <w:tc>
          <w:tcPr>
            <w:tcW w:w="176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Investment Balance</w:t>
            </w:r>
          </w:p>
        </w:tc>
        <w:tc>
          <w:tcPr>
            <w:tcW w:w="0" w:type="dxa"/>
            <w:vAlign w:val="bottom"/>
          </w:tcPr>
          <w:p>
            <w:pPr>
              <w:spacing w:after="0"/>
              <w:rPr>
                <w:sz w:val="1"/>
                <w:szCs w:val="1"/>
                <w:color w:val="auto"/>
              </w:rPr>
            </w:pPr>
          </w:p>
        </w:tc>
      </w:tr>
      <w:tr>
        <w:trPr>
          <w:trHeight w:val="214"/>
        </w:trPr>
        <w:tc>
          <w:tcPr>
            <w:tcW w:w="4600" w:type="dxa"/>
            <w:vAlign w:val="bottom"/>
            <w:tcBorders>
              <w:bottom w:val="single" w:sz="8" w:color="auto"/>
            </w:tcBorders>
            <w:vMerge w:val="continue"/>
          </w:tcPr>
          <w:p>
            <w:pPr>
              <w:spacing w:after="0"/>
              <w:rPr>
                <w:sz w:val="18"/>
                <w:szCs w:val="18"/>
                <w:color w:val="auto"/>
              </w:rPr>
            </w:pPr>
          </w:p>
        </w:tc>
        <w:tc>
          <w:tcPr>
            <w:tcW w:w="4660" w:type="dxa"/>
            <w:vAlign w:val="bottom"/>
            <w:tcBorders>
              <w:bottom w:val="single" w:sz="8" w:color="auto"/>
            </w:tcBorders>
          </w:tcPr>
          <w:p>
            <w:pPr>
              <w:jc w:val="center"/>
              <w:ind w:left="283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4660" w:type="dxa"/>
            <w:vAlign w:val="bottom"/>
            <w:shd w:val="clear" w:color="auto" w:fill="CCEEFF"/>
          </w:tcPr>
          <w:p>
            <w:pPr>
              <w:jc w:val="center"/>
              <w:ind w:left="2813"/>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4660" w:type="dxa"/>
            <w:vAlign w:val="bottom"/>
          </w:tcPr>
          <w:p>
            <w:pPr>
              <w:jc w:val="center"/>
              <w:ind w:left="2813"/>
              <w:spacing w:after="0"/>
              <w:rPr>
                <w:sz w:val="20"/>
                <w:szCs w:val="20"/>
                <w:color w:val="auto"/>
              </w:rPr>
            </w:pPr>
            <w:r>
              <w:rPr>
                <w:rFonts w:ascii="Times New Roman" w:cs="Times New Roman" w:eastAsia="Times New Roman" w:hAnsi="Times New Roman"/>
                <w:sz w:val="18"/>
                <w:szCs w:val="18"/>
                <w:color w:val="auto"/>
                <w:w w:val="96"/>
              </w:rPr>
              <w:t>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4660" w:type="dxa"/>
            <w:vAlign w:val="bottom"/>
            <w:shd w:val="clear" w:color="auto" w:fill="CCEEFF"/>
          </w:tcPr>
          <w:p>
            <w:pPr>
              <w:jc w:val="center"/>
              <w:ind w:left="2813"/>
              <w:spacing w:after="0"/>
              <w:rPr>
                <w:sz w:val="20"/>
                <w:szCs w:val="20"/>
                <w:color w:val="auto"/>
              </w:rPr>
            </w:pPr>
            <w:r>
              <w:rPr>
                <w:rFonts w:ascii="Times New Roman" w:cs="Times New Roman" w:eastAsia="Times New Roman" w:hAnsi="Times New Roman"/>
                <w:sz w:val="18"/>
                <w:szCs w:val="18"/>
                <w:color w:val="auto"/>
                <w:w w:val="96"/>
              </w:rPr>
              <w:t>67%</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(a)</w:t>
            </w:r>
          </w:p>
        </w:tc>
        <w:tc>
          <w:tcPr>
            <w:tcW w:w="4660" w:type="dxa"/>
            <w:vAlign w:val="bottom"/>
          </w:tcPr>
          <w:p>
            <w:pPr>
              <w:jc w:val="center"/>
              <w:ind w:left="2813"/>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4660" w:type="dxa"/>
            <w:vAlign w:val="bottom"/>
            <w:shd w:val="clear" w:color="auto" w:fill="CCEEFF"/>
          </w:tcPr>
          <w:p>
            <w:pPr>
              <w:jc w:val="center"/>
              <w:ind w:left="2813"/>
              <w:spacing w:after="0"/>
              <w:rPr>
                <w:sz w:val="20"/>
                <w:szCs w:val="20"/>
                <w:color w:val="auto"/>
              </w:rPr>
            </w:pPr>
            <w:r>
              <w:rPr>
                <w:rFonts w:ascii="Times New Roman" w:cs="Times New Roman" w:eastAsia="Times New Roman" w:hAnsi="Times New Roman"/>
                <w:sz w:val="18"/>
                <w:szCs w:val="18"/>
                <w:color w:val="auto"/>
                <w:w w:val="96"/>
              </w:rPr>
              <w:t>75%</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60" w:hanging="171"/>
        <w:spacing w:after="0"/>
        <w:tabs>
          <w:tab w:leader="none" w:pos="2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GenConn is a variable interest entity.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recorded financial instruments not carried at fair market value or that do not approximate fair value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20" w:type="dxa"/>
            <w:vAlign w:val="bottom"/>
          </w:tcPr>
          <w:p>
            <w:pPr>
              <w:spacing w:after="0"/>
              <w:rPr>
                <w:sz w:val="16"/>
                <w:szCs w:val="16"/>
                <w:color w:val="auto"/>
              </w:rPr>
            </w:pPr>
          </w:p>
        </w:tc>
        <w:tc>
          <w:tcPr>
            <w:tcW w:w="220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6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6100" w:type="dxa"/>
            <w:vAlign w:val="bottom"/>
          </w:tcPr>
          <w:p>
            <w:pPr>
              <w:spacing w:after="0"/>
              <w:rPr>
                <w:sz w:val="16"/>
                <w:szCs w:val="16"/>
                <w:color w:val="auto"/>
              </w:rPr>
            </w:pP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3"/>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 — affiliate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Long-term debt, including current portion — external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379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63" w:lineRule="exact"/>
        <w:rPr>
          <w:sz w:val="20"/>
          <w:szCs w:val="20"/>
          <w:color w:val="auto"/>
        </w:rPr>
      </w:pPr>
    </w:p>
    <w:p>
      <w:pPr>
        <w:ind w:left="240" w:hanging="151"/>
        <w:spacing w:after="0"/>
        <w:tabs>
          <w:tab w:leader="none" w:pos="2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Excludes net debt issuance costs, which are recorded as a reduction to long-term debt on the Company’s consolidated balance sheets.</w:t>
      </w:r>
    </w:p>
    <w:p>
      <w:pPr>
        <w:spacing w:after="0" w:line="1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2022 and December 31,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1,757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2,160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40" w:type="dxa"/>
            <w:vAlign w:val="bottom"/>
          </w:tcPr>
          <w:p>
            <w:pPr>
              <w:spacing w:after="0"/>
              <w:rPr>
                <w:sz w:val="16"/>
                <w:szCs w:val="16"/>
                <w:color w:val="auto"/>
              </w:rPr>
            </w:pPr>
          </w:p>
        </w:tc>
        <w:tc>
          <w:tcPr>
            <w:tcW w:w="29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3"/>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0"/>
              <w:spacing w:after="0" w:line="23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120" w:type="dxa"/>
            <w:vAlign w:val="bottom"/>
            <w:tcBorders>
              <w:bottom w:val="single" w:sz="8" w:color="auto"/>
            </w:tcBorders>
          </w:tcPr>
          <w:p>
            <w:pPr>
              <w:spacing w:after="0"/>
              <w:rPr>
                <w:sz w:val="20"/>
                <w:szCs w:val="20"/>
                <w:color w:val="auto"/>
              </w:rPr>
            </w:pPr>
          </w:p>
        </w:tc>
      </w:t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8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(b)</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240" w:hanging="151"/>
        <w:spacing w:after="0"/>
        <w:tabs>
          <w:tab w:leader="none" w:pos="24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There were no derivative assets classified as Level 1 or Level 3 and no liabilities classified as Level 1 as of September 30, 2022 and December 31, 2021.</w:t>
      </w:r>
    </w:p>
    <w:p>
      <w:pPr>
        <w:spacing w:after="0" w:line="50" w:lineRule="exact"/>
        <w:rPr>
          <w:rFonts w:ascii="Times New Roman" w:cs="Times New Roman" w:eastAsia="Times New Roman" w:hAnsi="Times New Roman"/>
          <w:sz w:val="20"/>
          <w:szCs w:val="20"/>
          <w:color w:val="auto"/>
          <w:vertAlign w:val="superscript"/>
        </w:rPr>
      </w:pPr>
    </w:p>
    <w:p>
      <w:pPr>
        <w:ind w:left="260" w:hanging="171"/>
        <w:spacing w:after="0" w:line="191" w:lineRule="auto"/>
        <w:tabs>
          <w:tab w:leader="none" w:pos="26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SREC contract.</w:t>
      </w:r>
    </w:p>
    <w:p>
      <w:pPr>
        <w:spacing w:after="0" w:line="13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72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7"/>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2740" w:type="dxa"/>
            <w:vAlign w:val="bottom"/>
            <w:gridSpan w:val="4"/>
          </w:tcPr>
          <w:p>
            <w:pPr>
              <w:jc w:val="center"/>
              <w:ind w:right="13"/>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gridSpan w:val="4"/>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120" w:type="dxa"/>
            <w:vAlign w:val="bottom"/>
          </w:tcPr>
          <w:p>
            <w:pPr>
              <w:spacing w:after="0"/>
              <w:rPr>
                <w:sz w:val="16"/>
                <w:szCs w:val="16"/>
                <w:color w:val="auto"/>
              </w:rPr>
            </w:pPr>
          </w:p>
        </w:tc>
        <w:tc>
          <w:tcPr>
            <w:tcW w:w="272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0" w:type="dxa"/>
            <w:vAlign w:val="bottom"/>
          </w:tcPr>
          <w:p>
            <w:pPr>
              <w:spacing w:after="0"/>
              <w:rPr>
                <w:sz w:val="1"/>
                <w:szCs w:val="1"/>
                <w:color w:val="auto"/>
              </w:rPr>
            </w:pPr>
          </w:p>
        </w:tc>
      </w:tr>
      <w:tr>
        <w:trPr>
          <w:trHeight w:val="228"/>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due to loss of NPNS exception</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7"/>
                <w:szCs w:val="17"/>
                <w:color w:val="auto"/>
              </w:rPr>
              <w:t>Change in unrealized losses included in earnings for derivatives and</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 held as of September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September 30, 2022, contracts valued with prices provided by models and other valuation techniques make up 100% of derivative liabilities and other financial instruments.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8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vMerge w:val="restart"/>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80" w:type="dxa"/>
            <w:vAlign w:val="bottom"/>
          </w:tcPr>
          <w:p>
            <w:pPr>
              <w:spacing w:after="0"/>
              <w:rPr>
                <w:sz w:val="15"/>
                <w:szCs w:val="15"/>
                <w:color w:val="auto"/>
              </w:rPr>
            </w:pPr>
          </w:p>
        </w:tc>
        <w:tc>
          <w:tcPr>
            <w:tcW w:w="1060" w:type="dxa"/>
            <w:vAlign w:val="bottom"/>
            <w:vMerge w:val="restart"/>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5"/>
                <w:szCs w:val="15"/>
                <w:color w:val="auto"/>
              </w:rPr>
            </w:pPr>
          </w:p>
        </w:tc>
        <w:tc>
          <w:tcPr>
            <w:tcW w:w="1200" w:type="dxa"/>
            <w:vAlign w:val="bottom"/>
            <w:vMerge w:val="restart"/>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Commodity Contracts   </w:t>
            </w: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5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129.06</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0" w:type="dxa"/>
            <w:vAlign w:val="bottom"/>
          </w:tcPr>
          <w:p>
            <w:pPr>
              <w:spacing w:after="0"/>
              <w:rPr>
                <w:sz w:val="1"/>
                <w:szCs w:val="1"/>
                <w:color w:val="auto"/>
              </w:rPr>
            </w:pPr>
          </w:p>
        </w:tc>
      </w:tr>
      <w:tr>
        <w:trPr>
          <w:trHeight w:val="216"/>
        </w:trPr>
        <w:tc>
          <w:tcPr>
            <w:tcW w:w="202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Forecast annual</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gridSpan w:val="2"/>
            <w:vMerge w:val="continue"/>
          </w:tcPr>
          <w:p>
            <w:pPr>
              <w:spacing w:after="0"/>
              <w:rPr>
                <w:sz w:val="14"/>
                <w:szCs w:val="14"/>
                <w:color w:val="auto"/>
              </w:rPr>
            </w:pPr>
          </w:p>
        </w:tc>
        <w:tc>
          <w:tcPr>
            <w:tcW w:w="1260" w:type="dxa"/>
            <w:vAlign w:val="bottom"/>
            <w:vMerge w:val="restart"/>
          </w:tcPr>
          <w:p>
            <w:pPr>
              <w:ind w:left="840"/>
              <w:spacing w:after="0"/>
              <w:rPr>
                <w:sz w:val="20"/>
                <w:szCs w:val="20"/>
                <w:color w:val="auto"/>
              </w:rPr>
            </w:pPr>
            <w:r>
              <w:rPr>
                <w:rFonts w:ascii="Times New Roman" w:cs="Times New Roman" w:eastAsia="Times New Roman" w:hAnsi="Times New Roman"/>
                <w:sz w:val="16"/>
                <w:szCs w:val="16"/>
                <w:color w:val="auto"/>
              </w:rPr>
              <w:t>21</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58,539 MWh</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117,078 MWh</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114,223 MWh</w:t>
            </w:r>
          </w:p>
        </w:tc>
        <w:tc>
          <w:tcPr>
            <w:tcW w:w="0" w:type="dxa"/>
            <w:vAlign w:val="bottom"/>
          </w:tcPr>
          <w:p>
            <w:pPr>
              <w:spacing w:after="0"/>
              <w:rPr>
                <w:sz w:val="1"/>
                <w:szCs w:val="1"/>
                <w:color w:val="auto"/>
              </w:rPr>
            </w:pPr>
          </w:p>
        </w:tc>
      </w:tr>
      <w:tr>
        <w:trPr>
          <w:trHeight w:val="21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Unobservable Input</w:t>
            </w:r>
          </w:p>
        </w:tc>
        <w:tc>
          <w:tcPr>
            <w:tcW w:w="20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4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Impact on Fair Value</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vMerge w:val="continue"/>
          </w:tcPr>
          <w:p>
            <w:pPr>
              <w:spacing w:after="0"/>
              <w:rPr>
                <w:sz w:val="21"/>
                <w:szCs w:val="21"/>
                <w:color w:val="auto"/>
              </w:rPr>
            </w:pPr>
          </w:p>
        </w:tc>
        <w:tc>
          <w:tcPr>
            <w:tcW w:w="202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vMerge w:val="continue"/>
          </w:tcPr>
          <w:p>
            <w:pPr>
              <w:spacing w:after="0"/>
              <w:rPr>
                <w:sz w:val="21"/>
                <w:szCs w:val="21"/>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20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Sell</w:t>
            </w:r>
          </w:p>
        </w:tc>
        <w:tc>
          <w:tcPr>
            <w:tcW w:w="2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34"/>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Sell</w:t>
            </w:r>
          </w:p>
        </w:tc>
        <w:tc>
          <w:tcPr>
            <w:tcW w:w="2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2022, the non-performance reserve was a $48 million gain recorded primarily to total operating revenues in the consolidated statement of income.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2021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 consolidated financial statements included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September 30,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energy-related derivative instruments extending through 2033. At September 30, 2022,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gridSpan w:val="3"/>
          </w:tcPr>
          <w:p>
            <w:pPr>
              <w:jc w:val="right"/>
              <w:ind w:right="1415"/>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9"/>
        </w:trPr>
        <w:tc>
          <w:tcPr>
            <w:tcW w:w="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604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2080" w:type="dxa"/>
            <w:vAlign w:val="bottom"/>
            <w:gridSpan w:val="2"/>
          </w:tcPr>
          <w:p>
            <w:pPr>
              <w:ind w:left="132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6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MMBtu</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w:t>
            </w:r>
          </w:p>
        </w:tc>
        <w:tc>
          <w:tcPr>
            <w:tcW w:w="6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MWh</w:t>
            </w:r>
          </w:p>
        </w:tc>
        <w:tc>
          <w:tcPr>
            <w:tcW w:w="200" w:type="dxa"/>
            <w:vAlign w:val="bottom"/>
          </w:tcPr>
          <w:p>
            <w:pPr>
              <w:spacing w:after="0"/>
              <w:rPr>
                <w:sz w:val="19"/>
                <w:szCs w:val="19"/>
                <w:color w:val="auto"/>
              </w:rPr>
            </w:pPr>
          </w:p>
        </w:tc>
        <w:tc>
          <w:tcPr>
            <w:tcW w:w="1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Dollars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1,217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60" w:type="dxa"/>
            <w:vAlign w:val="bottom"/>
          </w:tcPr>
          <w:p>
            <w:pPr>
              <w:spacing w:after="0"/>
              <w:rPr>
                <w:sz w:val="16"/>
                <w:szCs w:val="16"/>
                <w:color w:val="auto"/>
              </w:rPr>
            </w:pPr>
          </w:p>
        </w:tc>
        <w:tc>
          <w:tcPr>
            <w:tcW w:w="314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6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September 30, 2022 and December 31, 2021, there was no outstanding collateral paid or received.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9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48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(OCL) beginning balance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4"/>
        </w:trPr>
        <w:tc>
          <w:tcPr>
            <w:tcW w:w="5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Reclassified from accumulated OCI (OCL) to income due to realization of</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previously deferred amounts</w:t>
            </w: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Capistrano Wind Portfolio Acquisition</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(OCL) ending balance</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OCI (OCL) attributable to Clearway Energy LLC</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Gains expected to be realized from OCI during the next 12 months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vMerge w:val="continue"/>
          </w:tcPr>
          <w:p>
            <w:pPr>
              <w:spacing w:after="0"/>
              <w:rPr>
                <w:sz w:val="18"/>
                <w:szCs w:val="18"/>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 (OCL) into income are recorded to interest expense.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Income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 and losses related to the Company’s derivatives are recorded in the consolidated statements of income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42424"/>
                <w:w w:val="88"/>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242424"/>
              </w:rPr>
              <w:t>33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Commodity Contracts (Mark-to-market for economic hedging activities) </w:t>
            </w:r>
            <w:r>
              <w:rPr>
                <w:rFonts w:ascii="Times New Roman" w:cs="Times New Roman" w:eastAsia="Times New Roman" w:hAnsi="Times New Roman"/>
                <w:sz w:val="23"/>
                <w:szCs w:val="23"/>
                <w:color w:val="auto"/>
                <w:w w:val="99"/>
                <w:vertAlign w:val="superscript"/>
              </w:rPr>
              <w:t>(a)</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126" w:lineRule="exact"/>
        <w:rPr>
          <w:sz w:val="20"/>
          <w:szCs w:val="20"/>
          <w:color w:val="auto"/>
        </w:rPr>
      </w:pPr>
    </w:p>
    <w:p>
      <w:pPr>
        <w:jc w:val="both"/>
        <w:ind w:firstLine="89"/>
        <w:spacing w:after="0" w:line="238" w:lineRule="auto"/>
        <w:tabs>
          <w:tab w:leader="none" w:pos="24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commodity contracts at Elbow Creek Wind Project LLC, or Elbow Creek, Mesquite Star, Mt. Storm, Langford and Mesquite Sky and gains or losses are recognized in operating revenues. During the nine months ended September 30, 2022, the commodity contract for Langford, which previously met the NPNS exception, no longer qualified for NPNS treatment and, accordingly, is accounted for as a derivative and marked to fair value through operating revenues.</w:t>
      </w:r>
    </w:p>
    <w:p>
      <w:pPr>
        <w:spacing w:after="0" w:line="15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Prior to the Thermal Disposition, which is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a portion of the Company’s derivative commodity contracts were related to its Thermal Business for the purchase of fuel/electricity commodities based on the forecasted usage of the thermal district energy centers. Realized gains and losses on these contracts were reflected in the fuel costs that were permitted to be billed to customers through the related customer contracts or tariffs and, accordingly, no gains or losses were reflected in the consolidated statements of income for these contracts through the period that the Company owned the Thermal Business.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statements included in the Company’s </w:t>
      </w:r>
      <w:r>
        <w:rPr>
          <w:rFonts w:ascii="Times New Roman" w:cs="Times New Roman" w:eastAsia="Times New Roman" w:hAnsi="Times New Roman"/>
          <w:sz w:val="18"/>
          <w:szCs w:val="18"/>
          <w:color w:val="000000"/>
        </w:rPr>
        <w:t>2021 Form 10-K. The Company’s borrowings, including short-term and long-term portions consisted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3"/>
                <w:szCs w:val="13"/>
                <w:color w:val="auto"/>
              </w:rPr>
            </w:pPr>
          </w:p>
        </w:tc>
        <w:tc>
          <w:tcPr>
            <w:tcW w:w="14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46"/>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760" w:type="dxa"/>
            <w:vAlign w:val="bottom"/>
            <w:gridSpan w:val="2"/>
          </w:tcPr>
          <w:p>
            <w:pPr>
              <w:jc w:val="right"/>
              <w:ind w:right="30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interest rate % </w:t>
            </w:r>
            <w:r>
              <w:rPr>
                <w:rFonts w:ascii="Times New Roman" w:cs="Times New Roman" w:eastAsia="Times New Roman" w:hAnsi="Times New Roman"/>
                <w:sz w:val="21"/>
                <w:szCs w:val="21"/>
                <w:b w:val="1"/>
                <w:bCs w:val="1"/>
                <w:color w:val="auto"/>
                <w:vertAlign w:val="superscript"/>
              </w:rPr>
              <w:t>(a) (b)</w:t>
            </w:r>
          </w:p>
        </w:tc>
        <w:tc>
          <w:tcPr>
            <w:tcW w:w="140" w:type="dxa"/>
            <w:vAlign w:val="bottom"/>
          </w:tcPr>
          <w:p>
            <w:pPr>
              <w:spacing w:after="0"/>
              <w:rPr>
                <w:sz w:val="17"/>
                <w:szCs w:val="17"/>
                <w:color w:val="auto"/>
              </w:rPr>
            </w:pPr>
          </w:p>
        </w:tc>
        <w:tc>
          <w:tcPr>
            <w:tcW w:w="1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Note with Clearway, Inc.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ind w:left="1060"/>
              <w:spacing w:after="0"/>
              <w:rPr>
                <w:sz w:val="20"/>
                <w:szCs w:val="20"/>
                <w:color w:val="auto"/>
              </w:rPr>
            </w:pPr>
            <w:r>
              <w:rPr>
                <w:rFonts w:ascii="Times New Roman" w:cs="Times New Roman" w:eastAsia="Times New Roman" w:hAnsi="Times New Roman"/>
                <w:sz w:val="16"/>
                <w:szCs w:val="16"/>
                <w:color w:val="auto"/>
                <w:w w:val="99"/>
              </w:rPr>
              <w:t>3.050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Senior Notes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4.750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 Senior Notes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2032 Senior Notes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3.750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Clearway Energy LLC and Clearway Energy Operating LLC Revolving Credit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112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Facility, due 2023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Bridge Loan, due 2022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S+1.250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Project-level debt: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Agua Caliente Solar LLC, due 2037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2.395 - 3.633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Asset Management LLC, due 2031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L+2.625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I-V lease financing arrangements, due 2034 and 2035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5.696 - 7.015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Realty Investments LLC, due 2031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7.000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Borrego, due 2024 and 2038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76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Capistrano Wind Portfolio, due 2029 and 2031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L+2.000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37</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2038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Holdco, due 2038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4.210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CVSR, due 2037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2.339 - 3.775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760" w:type="dxa"/>
            <w:vAlign w:val="bottom"/>
            <w:gridSpan w:val="2"/>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4.680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DG-CS Master Borrower LLC, due 2040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3.510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L+1.875 - L+2.500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Kawailoa Solar Portfolio LLC, due 2026</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Laredo Ridge, due 2028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L+2.125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Marsh Landing, due 2023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L+2.375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Mililani I, due 2022 and 2024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L+1.000 - L+1.250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NIMH Solar, due 2024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L+2.000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Rosie Class B LLC, due 2027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Tapestry Wind LLC, due 2031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 Solar Holdings, due 2036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760" w:type="dxa"/>
            <w:vAlign w:val="bottom"/>
            <w:gridSpan w:val="2"/>
          </w:tcPr>
          <w:p>
            <w:pPr>
              <w:jc w:val="center"/>
              <w:ind w:left="1159"/>
              <w:spacing w:after="0"/>
              <w:rPr>
                <w:sz w:val="20"/>
                <w:szCs w:val="20"/>
                <w:color w:val="auto"/>
              </w:rPr>
            </w:pPr>
            <w:r>
              <w:rPr>
                <w:rFonts w:ascii="Times New Roman" w:cs="Times New Roman" w:eastAsia="Times New Roman" w:hAnsi="Times New Roman"/>
                <w:sz w:val="16"/>
                <w:szCs w:val="16"/>
                <w:color w:val="auto"/>
                <w:w w:val="99"/>
              </w:rPr>
              <w:t>3.590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Viento Funding II, LLC, due 2023 and 2029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S+1.475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26</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Walnut Creek, due 2023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WCEP Holdings, LLC, due 2023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L+3.000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gridSpan w:val="2"/>
          </w:tcPr>
          <w:p>
            <w:pPr>
              <w:jc w:val="center"/>
              <w:ind w:left="94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Subtotal project-level debt: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7,779</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firstLine="89"/>
        <w:spacing w:after="0"/>
        <w:tabs>
          <w:tab w:leader="none" w:pos="234"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September 30, 2022, L+ equals 3 month LIBOR plus x%, except Marsh Landing, due 2023, Mililani I, due 2022 and 2024, and Walnut Creek, due 2023, where L+ equals 1 month LIBOR plus x%.</w:t>
      </w:r>
    </w:p>
    <w:p>
      <w:pPr>
        <w:spacing w:after="0" w:line="131" w:lineRule="exact"/>
        <w:rPr>
          <w:rFonts w:ascii="Times New Roman" w:cs="Times New Roman" w:eastAsia="Times New Roman" w:hAnsi="Times New Roman"/>
          <w:sz w:val="19"/>
          <w:szCs w:val="19"/>
          <w:color w:val="auto"/>
          <w:vertAlign w:val="superscript"/>
        </w:rPr>
      </w:pPr>
    </w:p>
    <w:p>
      <w:pPr>
        <w:ind w:left="240" w:hanging="151"/>
        <w:spacing w:after="0" w:line="237" w:lineRule="auto"/>
        <w:tabs>
          <w:tab w:leader="none" w:pos="24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 equals SOFR, plus x%.</w:t>
      </w:r>
    </w:p>
    <w:p>
      <w:pPr>
        <w:spacing w:after="0" w:line="30"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43" w:lineRule="exact"/>
        <w:rPr>
          <w:rFonts w:ascii="Times New Roman" w:cs="Times New Roman" w:eastAsia="Times New Roman" w:hAnsi="Times New Roman"/>
          <w:sz w:val="19"/>
          <w:szCs w:val="19"/>
          <w:color w:val="auto"/>
          <w:vertAlign w:val="superscript"/>
        </w:rPr>
      </w:pPr>
    </w:p>
    <w:p>
      <w:pPr>
        <w:ind w:firstLine="89"/>
        <w:spacing w:after="0" w:line="226" w:lineRule="auto"/>
        <w:tabs>
          <w:tab w:leader="none" w:pos="239"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Laredo Ridge, due 2028; Tapestry Wind, LLC, due 2031; and Viento Funding II, LLC, due 2023 project-level debt were repaid on March 16, 2022 totaling $186 million and was replaced with $190 million in new project-level debt under Viento Funding II, LLC that was obtained on March 16, 2022 and is due in 2029, as discussed further below.</w:t>
      </w:r>
    </w:p>
    <w:p>
      <w:pPr>
        <w:spacing w:after="0" w:line="1" w:lineRule="exact"/>
        <w:rPr>
          <w:rFonts w:ascii="Times New Roman" w:cs="Times New Roman" w:eastAsia="Times New Roman" w:hAnsi="Times New Roman"/>
          <w:sz w:val="19"/>
          <w:szCs w:val="19"/>
          <w:color w:val="auto"/>
          <w:vertAlign w:val="superscript"/>
        </w:rPr>
      </w:pPr>
    </w:p>
    <w:p>
      <w:pPr>
        <w:ind w:left="240" w:hanging="151"/>
        <w:spacing w:after="0" w:line="211" w:lineRule="auto"/>
        <w:tabs>
          <w:tab w:leader="none" w:pos="24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Premiums relate to the 2028 Senior Notes.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8" w:name="page29"/>
    <w:bookmarkEnd w:id="28"/>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September 30, 2022, the Company was in compliance with all of the required covenants.</w:t>
      </w:r>
    </w:p>
    <w:p>
      <w:pPr>
        <w:spacing w:after="0" w:line="108" w:lineRule="exact"/>
        <w:rPr>
          <w:sz w:val="20"/>
          <w:szCs w:val="20"/>
          <w:color w:val="auto"/>
        </w:rPr>
      </w:pPr>
    </w:p>
    <w:p>
      <w:pPr>
        <w:ind w:right="1440" w:firstLine="405"/>
        <w:spacing w:after="0" w:line="438" w:lineRule="auto"/>
        <w:rPr>
          <w:sz w:val="20"/>
          <w:szCs w:val="20"/>
          <w:color w:val="auto"/>
        </w:rPr>
      </w:pPr>
      <w:r>
        <w:rPr>
          <w:rFonts w:ascii="Times New Roman" w:cs="Times New Roman" w:eastAsia="Times New Roman" w:hAnsi="Times New Roman"/>
          <w:sz w:val="18"/>
          <w:szCs w:val="18"/>
          <w:color w:val="auto"/>
        </w:rPr>
        <w:t xml:space="preserve">The discussion below describes material changes to or additions of long-term debt for the nine months ended September 30, 2022. </w:t>
      </w: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no outstanding borrowings under the revolving credit facility and $112 million in letters of credit outstanding. During the nine months ended September 30, 2022, the Company borrowed $80 million under the revolving credit facility and repaid $325 million, $305 million of which was repaid on May 3, 2022, utilizing the proceeds received from the Thermal Disposition.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3, 2022, the Company repaid the $335 million in outstanding borrowings under the Bridge Loan Agreement utilizing proceeds received from the Thermal Disposition,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Capistrano Wind Portfolio</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August 22, 2022, as part of the acquisition of the Capistrano Wind Portfolio,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acquired non-recourse project-level debt totaling $164 million held by the Broken Bow, Cedro Hill and Crofton Bluffs wind projects, which is net of $2 million in previously deferred unamortized debt issuance costs. The non-recourse project-level debt bears interest at a rate of LIBOR plus an applicable margin, which is currently 2.00% per annum, and maturities range from September 30, 2029 to July 14, 2031.</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Mililani I</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March 25, 2022, as part of the acquisition of Mililani I,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assumed the project’s financing agreement, which included a $16 million construction loan that converts to a term loan upon the project reaching substantial completion, $60 million tax equity bridge loan and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received from the tax equity investor upon Mililani I reaching substantial completion, which is expected to occur in the fourth quarter of 2022, along with the $18 million that was contributed into escrow by the tax equity investor at acquisition date. Subsequent to the Mililani I acquisition, the Company borrowed an additional $27 million in construction loans. As of September 30, 2022, the Company had $43 million in outstanding construction loans in addition to the $60 million tax equity bridge loan referenced above.</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Viento Funding II, LLC</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1.375%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right="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Company’s segment structure reflects how management currently operates and allocates resources. The Company’s businesses are segregated based on conventional power generation, renewable businesses which consist of solar and wind, and the Thermal Business, which was sold to KKR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9"/>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3"/>
          </w:tcPr>
          <w:p>
            <w:pPr>
              <w:jc w:val="right"/>
              <w:ind w:right="151"/>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11"/>
                <w:szCs w:val="11"/>
                <w:color w:val="auto"/>
              </w:rPr>
            </w:pPr>
          </w:p>
        </w:tc>
        <w:tc>
          <w:tcPr>
            <w:tcW w:w="14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320" w:type="dxa"/>
            <w:vAlign w:val="bottom"/>
            <w:gridSpan w:val="4"/>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0" w:type="dxa"/>
            <w:vAlign w:val="bottom"/>
          </w:tcPr>
          <w:p>
            <w:pPr>
              <w:spacing w:after="0"/>
              <w:rPr>
                <w:sz w:val="17"/>
                <w:szCs w:val="17"/>
                <w:color w:val="auto"/>
              </w:rPr>
            </w:pPr>
          </w:p>
        </w:tc>
        <w:tc>
          <w:tcPr>
            <w:tcW w:w="1420" w:type="dxa"/>
            <w:vAlign w:val="bottom"/>
            <w:gridSpan w:val="5"/>
            <w:vMerge w:val="continue"/>
          </w:tcPr>
          <w:p>
            <w:pPr>
              <w:spacing w:after="0"/>
              <w:rPr>
                <w:sz w:val="17"/>
                <w:szCs w:val="17"/>
                <w:color w:val="auto"/>
              </w:rPr>
            </w:pPr>
          </w:p>
        </w:tc>
        <w:tc>
          <w:tcPr>
            <w:tcW w:w="13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380" w:type="dxa"/>
            <w:vAlign w:val="bottom"/>
            <w:gridSpan w:val="5"/>
          </w:tcPr>
          <w:p>
            <w:pPr>
              <w:ind w:left="16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shown separately below</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tcBorders>
              <w:top w:val="single" w:sz="8" w:color="CCEEFF"/>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2,327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gridSpan w:val="10"/>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2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60" w:type="dxa"/>
            <w:vAlign w:val="bottom"/>
          </w:tcPr>
          <w:p>
            <w:pPr>
              <w:spacing w:after="0"/>
              <w:rPr>
                <w:sz w:val="11"/>
                <w:szCs w:val="11"/>
                <w:color w:val="auto"/>
              </w:rPr>
            </w:pPr>
          </w:p>
        </w:tc>
        <w:tc>
          <w:tcPr>
            <w:tcW w:w="10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0" w:type="dxa"/>
            <w:vAlign w:val="bottom"/>
          </w:tcPr>
          <w:p>
            <w:pPr>
              <w:spacing w:after="0"/>
              <w:rPr>
                <w:sz w:val="11"/>
                <w:szCs w:val="11"/>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4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887"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8"/>
                <w:szCs w:val="18"/>
                <w:b w:val="1"/>
                <w:bCs w:val="1"/>
                <w:color w:val="auto"/>
                <w:vertAlign w:val="superscript"/>
              </w:rPr>
              <w:t>)</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176"/>
        </w:trPr>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1"/>
                <w:szCs w:val="11"/>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5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176"/>
        </w:trPr>
        <w:tc>
          <w:tcPr>
            <w:tcW w:w="5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Various wholly-owned subsidiaries of the Company in the Renewables segment are party to services agreements with Clearway Renewable Operation</w:t>
      </w:r>
    </w:p>
    <w:p>
      <w:pPr>
        <w:spacing w:after="0" w:line="39" w:lineRule="exact"/>
        <w:rPr>
          <w:sz w:val="20"/>
          <w:szCs w:val="20"/>
          <w:color w:val="auto"/>
        </w:rPr>
      </w:pPr>
    </w:p>
    <w:p>
      <w:pPr>
        <w:jc w:val="both"/>
        <w:ind w:firstLine="8"/>
        <w:spacing w:after="0" w:line="253" w:lineRule="auto"/>
        <w:tabs>
          <w:tab w:leader="none" w:pos="1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LLC, or RENOM, a wholly-owned subsidiary of CEG, which provides operation and maintenance, or O&amp;M, services to these subsidiaries. The Company incurred total expenses for these services of $19 million and $13 million for the three months ended September 30, 2022 and 2021, respectively. The Company incurred total expenses for these services of $49 million and $40 million for the nine months ended September 30, 2022 and 2021, respectively. There was a balance of $9 million due to RENOM as of both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$3 million for each of the three months ended September 30, 2022 and 2021. The Company incurred expenses under these agreements of $11 million and $10 million for the nine months ended September 30, 2022 and 2021, respectively. There was a balance of $2 million due to CEG as of both September 30, 2022 and December 31, 2021.</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75"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each of the three months ended September 30, 2022 and 2021. The Company incurred net expenses of $4 million and $3 million under these agreements for the nine months ended September 30, 2022 and 2021,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Contingencies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included in the Company’s 2021 Form 10-K.</w:t>
      </w:r>
    </w:p>
    <w:p>
      <w:pPr>
        <w:spacing w:after="0" w:line="10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The case is currently in discovery and is expected to proceed to trial in June 2023.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and nine months ended September 30, 2022 and 2021. Also refer to the Company’s 2021 Form 10-K, which includes detailed discussions of various items impacting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in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 The weighted average remaining contract duration of these offtake agreements was approximately 11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September 30, 2022 </w:t>
      </w:r>
      <w:r>
        <w:rPr>
          <w:rFonts w:ascii="Times New Roman" w:cs="Times New Roman" w:eastAsia="Times New Roman" w:hAnsi="Times New Roman"/>
          <w:sz w:val="18"/>
          <w:szCs w:val="18"/>
          <w:color w:val="231F20"/>
        </w:rPr>
        <w:t>based on CAFD.</w:t>
      </w:r>
    </w:p>
    <w:p>
      <w:pPr>
        <w:spacing w:after="0" w:line="1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the Company’s operating assets are comprised of the following projects: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64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2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4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608"/>
              <w:spacing w:after="0" w:line="234" w:lineRule="exact"/>
              <w:rPr>
                <w:sz w:val="20"/>
                <w:szCs w:val="20"/>
                <w:color w:val="auto"/>
              </w:rPr>
            </w:pPr>
            <w:r>
              <w:rPr>
                <w:rFonts w:ascii="Times New Roman" w:cs="Times New Roman" w:eastAsia="Times New Roman" w:hAnsi="Times New Roman"/>
                <w:sz w:val="14"/>
                <w:szCs w:val="14"/>
                <w:b w:val="1"/>
                <w:bCs w:val="1"/>
                <w:color w:val="auto"/>
                <w:w w:val="95"/>
              </w:rPr>
              <w:t xml:space="preserve">(MW) </w:t>
            </w:r>
            <w:r>
              <w:rPr>
                <w:rFonts w:ascii="Times New Roman" w:cs="Times New Roman" w:eastAsia="Times New Roman" w:hAnsi="Times New Roman"/>
                <w:sz w:val="21"/>
                <w:szCs w:val="21"/>
                <w:b w:val="1"/>
                <w:bCs w:val="1"/>
                <w:color w:val="auto"/>
                <w:w w:val="95"/>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Diego Gas &amp; Electric</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2023 - 2026</w:t>
            </w:r>
          </w:p>
        </w:tc>
      </w:tr>
      <w:tr>
        <w:trPr>
          <w:trHeight w:val="195"/>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2023 - 2030</w:t>
            </w:r>
          </w:p>
        </w:tc>
      </w:tr>
      <w:tr>
        <w:trPr>
          <w:trHeight w:val="20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30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2031</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Tucson Electric Power</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2032</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2029</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2038</w:t>
            </w:r>
          </w:p>
        </w:tc>
      </w:tr>
      <w:tr>
        <w:trPr>
          <w:trHeight w:val="229"/>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City of Georgetown, TX</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2043</w:t>
            </w: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2038</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2034</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2039</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 (c)</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2042</w:t>
            </w:r>
          </w:p>
        </w:tc>
      </w:tr>
      <w:tr>
        <w:trPr>
          <w:trHeight w:val="230"/>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Oahu Solar Projects </w:t>
            </w:r>
            <w:r>
              <w:rPr>
                <w:rFonts w:ascii="Times New Roman" w:cs="Times New Roman" w:eastAsia="Times New Roman" w:hAnsi="Times New Roman"/>
                <w:sz w:val="21"/>
                <w:szCs w:val="21"/>
                <w:color w:val="auto"/>
                <w:vertAlign w:val="superscript"/>
              </w:rPr>
              <w:t>(b)</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2041</w:t>
            </w: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Paso Electric</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2031</w:t>
            </w:r>
          </w:p>
        </w:tc>
      </w:tr>
      <w:tr>
        <w:trPr>
          <w:trHeight w:val="230"/>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2035 - 2047</w:t>
            </w: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196"/>
        </w:trPr>
        <w:tc>
          <w:tcPr>
            <w:tcW w:w="3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Utah Solar Portfolio</w:t>
            </w:r>
          </w:p>
        </w:tc>
        <w:tc>
          <w:tcPr>
            <w:tcW w:w="16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2160" w:type="dxa"/>
            <w:vAlign w:val="bottom"/>
            <w:tcBorders>
              <w:bottom w:val="single" w:sz="8" w:color="CCEEFF"/>
            </w:tcBorders>
          </w:tcPr>
          <w:p>
            <w:pPr>
              <w:jc w:val="center"/>
              <w:ind w:left="1028"/>
              <w:spacing w:after="0"/>
              <w:rPr>
                <w:sz w:val="20"/>
                <w:szCs w:val="20"/>
                <w:color w:val="auto"/>
              </w:rPr>
            </w:pPr>
            <w:r>
              <w:rPr>
                <w:rFonts w:ascii="Times New Roman" w:cs="Times New Roman" w:eastAsia="Times New Roman" w:hAnsi="Times New Roman"/>
                <w:sz w:val="14"/>
                <w:szCs w:val="14"/>
                <w:color w:val="auto"/>
              </w:rPr>
              <w:t>2036</w:t>
            </w:r>
          </w:p>
        </w:tc>
      </w:tr>
      <w:tr>
        <w:trPr>
          <w:trHeight w:val="203"/>
        </w:trPr>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30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3"/>
        </w:trPr>
        <w:tc>
          <w:tcPr>
            <w:tcW w:w="3340" w:type="dxa"/>
            <w:vAlign w:val="bottom"/>
            <w:shd w:val="clear" w:color="auto" w:fill="CCEEFF"/>
          </w:tcPr>
          <w:p>
            <w:pPr>
              <w:ind w:left="120"/>
              <w:spacing w:after="0" w:line="204" w:lineRule="exact"/>
              <w:rPr>
                <w:sz w:val="20"/>
                <w:szCs w:val="20"/>
                <w:color w:val="auto"/>
              </w:rPr>
            </w:pPr>
            <w:r>
              <w:rPr>
                <w:rFonts w:ascii="Times New Roman" w:cs="Times New Roman" w:eastAsia="Times New Roman" w:hAnsi="Times New Roman"/>
                <w:sz w:val="14"/>
                <w:szCs w:val="14"/>
                <w:color w:val="auto"/>
              </w:rPr>
              <w:t xml:space="preserve">DGPV Fund Projects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2030 - 2044</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Solar Power Partners (SPP) Projects</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2026 - 2037</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Projects</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2023 -2039</w:t>
            </w:r>
          </w:p>
        </w:tc>
      </w:tr>
      <w:tr>
        <w:trPr>
          <w:trHeight w:val="194"/>
        </w:trPr>
        <w:tc>
          <w:tcPr>
            <w:tcW w:w="33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040" w:type="dxa"/>
            <w:vAlign w:val="bottom"/>
          </w:tcPr>
          <w:p>
            <w:pPr>
              <w:spacing w:after="0"/>
              <w:rPr>
                <w:sz w:val="16"/>
                <w:szCs w:val="16"/>
                <w:color w:val="auto"/>
              </w:rPr>
            </w:pPr>
          </w:p>
        </w:tc>
        <w:tc>
          <w:tcPr>
            <w:tcW w:w="21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6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2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26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Times New Roman" w:cs="Times New Roman" w:eastAsia="Times New Roman" w:hAnsi="Times New Roman"/>
                <w:sz w:val="14"/>
                <w:szCs w:val="14"/>
                <w:b w:val="1"/>
                <w:bCs w:val="1"/>
                <w:color w:val="auto"/>
                <w:w w:val="92"/>
              </w:rPr>
              <w:t xml:space="preserve">(MW) </w:t>
            </w:r>
            <w:r>
              <w:rPr>
                <w:rFonts w:ascii="Times New Roman" w:cs="Times New Roman" w:eastAsia="Times New Roman" w:hAnsi="Times New Roman"/>
                <w:sz w:val="21"/>
                <w:szCs w:val="21"/>
                <w:b w:val="1"/>
                <w:bCs w:val="1"/>
                <w:color w:val="auto"/>
                <w:w w:val="92"/>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Toyota and AEP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Capistrano Wind Portfolio</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2030 - 2033</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Crosswinds</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66.7 %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Dow Pipeline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Hardin</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Goldman Sachs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29"/>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Mesquite Sta</w:t>
            </w:r>
            <w:r>
              <w:rPr>
                <w:rFonts w:ascii="Times New Roman" w:cs="Times New Roman" w:eastAsia="Times New Roman" w:hAnsi="Times New Roman"/>
                <w:sz w:val="16"/>
                <w:szCs w:val="16"/>
                <w:color w:val="auto"/>
              </w:rPr>
              <w:t>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Citigroup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Odin</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39"/>
        </w:trPr>
        <w:tc>
          <w:tcPr>
            <w:tcW w:w="3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Maryland Department of General Services and University System</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2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Maryland</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(d)</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AEP Energy Partners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21"/>
                <w:szCs w:val="21"/>
                <w:color w:val="auto"/>
                <w:vertAlign w:val="superscript"/>
              </w:rPr>
              <w:t>(b)</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90.1 %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5"/>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4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generation capacity</w:t>
            </w:r>
          </w:p>
        </w:tc>
        <w:tc>
          <w:tcPr>
            <w:tcW w:w="17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8,123</w:t>
            </w:r>
          </w:p>
        </w:tc>
        <w:tc>
          <w:tcPr>
            <w:tcW w:w="4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capacity of the facility multiplied by the Company’s percentage ownership in the facility as of September 30, 2022.</w:t>
      </w:r>
    </w:p>
    <w:p>
      <w:pPr>
        <w:spacing w:after="0" w:line="57" w:lineRule="exact"/>
        <w:rPr>
          <w:rFonts w:ascii="Times New Roman" w:cs="Times New Roman" w:eastAsia="Times New Roman" w:hAnsi="Times New Roman"/>
          <w:sz w:val="20"/>
          <w:szCs w:val="20"/>
          <w:color w:val="auto"/>
          <w:vertAlign w:val="superscript"/>
        </w:rPr>
      </w:pPr>
    </w:p>
    <w:p>
      <w:pPr>
        <w:ind w:firstLine="89"/>
        <w:spacing w:after="0" w:line="219" w:lineRule="auto"/>
        <w:tabs>
          <w:tab w:leader="none" w:pos="246"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 xml:space="preserve">Projects are part of tax equity arrangements and ownership percentage is based on cash to be distributed, as further described in Note 4, </w:t>
      </w:r>
      <w:r>
        <w:rPr>
          <w:rFonts w:ascii="Times New Roman" w:cs="Times New Roman" w:eastAsia="Times New Roman" w:hAnsi="Times New Roman"/>
          <w:sz w:val="13"/>
          <w:szCs w:val="13"/>
          <w:i w:val="1"/>
          <w:iCs w:val="1"/>
          <w:color w:val="auto"/>
        </w:rPr>
        <w:t>Investments Accounted for by the Equity Method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Variable Interest Entities.</w:t>
      </w:r>
    </w:p>
    <w:p>
      <w:pPr>
        <w:spacing w:after="0" w:line="1" w:lineRule="exact"/>
        <w:rPr>
          <w:rFonts w:ascii="Times New Roman" w:cs="Times New Roman" w:eastAsia="Times New Roman" w:hAnsi="Times New Roman"/>
          <w:sz w:val="20"/>
          <w:szCs w:val="20"/>
          <w:color w:val="auto"/>
          <w:vertAlign w:val="superscript"/>
        </w:rPr>
      </w:pPr>
    </w:p>
    <w:p>
      <w:pPr>
        <w:ind w:left="240" w:hanging="151"/>
        <w:spacing w:after="0"/>
        <w:tabs>
          <w:tab w:leader="none" w:pos="2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storage capacity that matches the facility’s rated generating capacity.</w:t>
      </w:r>
    </w:p>
    <w:p>
      <w:pPr>
        <w:spacing w:after="0" w:line="56"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Disposition</w:t>
      </w:r>
    </w:p>
    <w:p>
      <w:pPr>
        <w:spacing w:after="0" w:line="173" w:lineRule="exact"/>
        <w:rPr>
          <w:sz w:val="20"/>
          <w:szCs w:val="20"/>
          <w:color w:val="auto"/>
        </w:rPr>
      </w:pPr>
    </w:p>
    <w:p>
      <w:pPr>
        <w:jc w:val="both"/>
        <w:ind w:left="660" w:hanging="328"/>
        <w:spacing w:after="0" w:line="256" w:lineRule="auto"/>
        <w:tabs>
          <w:tab w:leader="none" w:pos="655" w:val="left"/>
        </w:tabs>
        <w:numPr>
          <w:ilvl w:val="0"/>
          <w:numId w:val="21"/>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auto"/>
        </w:rPr>
        <w:t>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described under “Corporate Financing Activities” below, with the remaining proceeds invested in short-term investments classified as cash and cash equivalents on the Company’s consolidated balance sheet as of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Capistrano Wind Portfolio Acquisition</w:t>
      </w:r>
    </w:p>
    <w:p>
      <w:pPr>
        <w:spacing w:after="0" w:line="173" w:lineRule="exact"/>
        <w:rPr>
          <w:sz w:val="20"/>
          <w:szCs w:val="20"/>
          <w:color w:val="auto"/>
        </w:rPr>
      </w:pP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August 22, 2022, the Company, through its wholly-owned indirect 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10 years. The Capistrano Wind Portfolio operations are reflected in the Company’s Renewables segment and the acquisition was funded with existing sources of liquidity.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2022, the Company, through its indirect subsidiary, Lighthouse Renewable Holdco LLC, acquired Waiawa BL Borrower Holdco LLC, the indirect owner of the Waiawa solar project, a 36 MW solar project with matching storage capacity that is currently under construction and located in Honolulu, Hawaii, from Clearway Renew LLC, a subsidiary of CEG,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Waiawa has a 20-year PPA with an investment-grade utility that commences when the project reaches commercial operations, as defined in the PPA. The acquisition was funded with existing sources of liquidity.</w:t>
      </w:r>
    </w:p>
    <w:p>
      <w:pPr>
        <w:spacing w:after="0" w:line="13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2022, the Company, through its indirect subsidiary, Lighthouse Renewable Holdco LLC, acquired Mililani BL 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PPA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the project reaching substantial completion, $60 million tax equity bridge loan and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received from the tax equity investor upon Mililani I reaching substantial completion, which is expected to occur in the fourth quarter of 2022, along with the $18 million that was contributed into escrow by the tax equity investor at acquisition date.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in connection with the Company’s 2021 acquisition of the Class B membership interests in Black Rock Wind Holding LLC, through its indirect subsidiary Lighthouse Renewable Holding Sub LLC, from Clearway Renew LLC,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Adequacy Agreements</w:t>
      </w:r>
    </w:p>
    <w:p>
      <w:pPr>
        <w:spacing w:after="0" w:line="173"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the Company contracted with SCE to sell 100% of El Segundo’s available capacity commencing in August 2023 and ending in August 2026.</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Financing Activities</w:t>
      </w:r>
    </w:p>
    <w:p>
      <w:pPr>
        <w:spacing w:after="0" w:line="173"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May 3, 2022, the Company repaid (i) $305 million in outstanding borrowings under the revolving credit facility and (ii) $335 million in outstanding borrowings under the Bridge Loan Agreement utilizing proceeds received from the Thermal Disposition.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Project-level Financing Activities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Proposed Federal Reclassification of Northern Long-Eared Bat </w:t>
      </w:r>
      <w:r>
        <w:rPr>
          <w:rFonts w:ascii="Times New Roman" w:cs="Times New Roman" w:eastAsia="Times New Roman" w:hAnsi="Times New Roman"/>
          <w:sz w:val="18"/>
          <w:szCs w:val="18"/>
          <w:color w:val="auto"/>
        </w:rPr>
        <w:t>— On March 23, 2022, the U.S. Fish and Wildlife Service (FWS) announced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reclassify the northern long-eared bat as endangered under the Endangered Species Act. The bat, currently listed as threatened, faces extinction due to the range-wide impacts of white-nose syndrome, a deadly disease affecting cave-dwelling bats across the continent. The northern long-eared bat is found in 37 states in the eastern and north central United States and in Canada. The Company is working with renewable energy industry groups to provide comments on the proposed reclassification as this proposal could affect renewable energy facility siting and operations. The proposed listing was recently published by FWS in the Federal Register and the public comment period closed on May 23, 2022. The Company participated in this comment process through the renewable industry group. FWS has yet to release its final decision.</w:t>
      </w:r>
    </w:p>
    <w:p>
      <w:pPr>
        <w:spacing w:after="0" w:line="12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2021 Form 10-K in Item 7,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Trends Affecting Results of Operations and Future Business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Industry Conditions and the Company’s Business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the date of this report, the Company has not experienced any material financial or operational impacts related to COVID-19, or variants thereof. All of the Company’s facilities have remained operational. The Company will continue to assess any financial or operational impacts based on any future developments. For additional discussion regarding risks associated with the COVID-19 pandemic,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11"/>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10"/>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top w:val="single" w:sz="8" w:color="auto"/>
            </w:tcBorders>
            <w:gridSpan w:val="5"/>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Energy and capacity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1,172</w:t>
            </w:r>
          </w:p>
        </w:tc>
        <w:tc>
          <w:tcPr>
            <w:tcW w:w="5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revenues</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income</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820" w:type="dxa"/>
            <w:vAlign w:val="bottom"/>
            <w:gridSpan w:val="2"/>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Less: Loss attributable to noncontrolling interests and</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10"/>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10"/>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Thermal MWt sold (in thousands) </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3"/>
                <w:szCs w:val="23"/>
                <w:color w:val="auto"/>
                <w:vertAlign w:val="superscript"/>
              </w:rPr>
              <w:t>(a) (c)</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3"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On May 1, 2022, the Company completed the sale of 100% of its interests in the Thermal Business to KKR.</w:t>
      </w:r>
    </w:p>
    <w:p>
      <w:pPr>
        <w:spacing w:after="0" w:line="3"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Volumes generated are not sold as the Conventional facilities sell capacity rather than energy.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September 30, 2022 and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decreased by $11 million during the three months ended September 30, 2022, compared to the same period in 2021,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24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Renewables Segment</w:t>
            </w:r>
          </w:p>
        </w:tc>
        <w:tc>
          <w:tcPr>
            <w:tcW w:w="74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8"/>
                <w:szCs w:val="18"/>
                <w:color w:val="auto"/>
              </w:rPr>
              <w:t>Increase due to the acquisitions of the Utah Solar Portfolio and Black Rock in December 2021,</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4"/>
        </w:trPr>
        <w:tc>
          <w:tcPr>
            <w:tcW w:w="2480" w:type="dxa"/>
            <w:vAlign w:val="bottom"/>
            <w:shd w:val="clear" w:color="auto" w:fill="CCEEFF"/>
          </w:tcPr>
          <w:p>
            <w:pPr>
              <w:spacing w:after="0"/>
              <w:rPr>
                <w:sz w:val="16"/>
                <w:szCs w:val="16"/>
                <w:color w:val="auto"/>
              </w:rPr>
            </w:pPr>
          </w:p>
        </w:tc>
        <w:tc>
          <w:tcPr>
            <w:tcW w:w="740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Mililani I in March 2022 and the Capistrano Wind Portfolio in August 2022, as well as the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2480" w:type="dxa"/>
            <w:vAlign w:val="bottom"/>
            <w:shd w:val="clear" w:color="auto" w:fill="CCEEFF"/>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repowering of the Pinnacle wind project in December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2480" w:type="dxa"/>
            <w:vAlign w:val="bottom"/>
          </w:tcPr>
          <w:p>
            <w:pPr>
              <w:spacing w:after="0"/>
              <w:rPr>
                <w:sz w:val="19"/>
                <w:szCs w:val="19"/>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primarily driven by higher average realized prices at the wind facilities.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6"/>
        </w:trPr>
        <w:tc>
          <w:tcPr>
            <w:tcW w:w="2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Conventional Segment</w:t>
            </w:r>
          </w:p>
        </w:tc>
        <w:tc>
          <w:tcPr>
            <w:tcW w:w="74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Decrease primarily driven by forced outages at the El Segundo and Walnut Creek facilities in 2022,</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480" w:type="dxa"/>
            <w:vAlign w:val="bottom"/>
            <w:shd w:val="clear" w:color="auto" w:fill="CCEEFF"/>
          </w:tcPr>
          <w:p>
            <w:pPr>
              <w:spacing w:after="0"/>
              <w:rPr>
                <w:sz w:val="21"/>
                <w:szCs w:val="21"/>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resulting in lower capacity revenue.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75"/>
        </w:trPr>
        <w:tc>
          <w:tcPr>
            <w:tcW w:w="2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for economic</w:t>
            </w:r>
          </w:p>
        </w:tc>
        <w:tc>
          <w:tcPr>
            <w:tcW w:w="74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Decrease in unrealized losses primarily driven by a smaller increase in forward power prices in the</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ERCOT and PJM markets in 2022, compared to the same period in 2021.</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76"/>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4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PPAs related to the 2021</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480" w:type="dxa"/>
            <w:vAlign w:val="bottom"/>
            <w:tcBorders>
              <w:bottom w:val="single" w:sz="8" w:color="CCEEFF"/>
            </w:tcBorders>
          </w:tcPr>
          <w:p>
            <w:pPr>
              <w:spacing w:after="0"/>
              <w:rPr>
                <w:sz w:val="21"/>
                <w:szCs w:val="21"/>
                <w:color w:val="auto"/>
              </w:rPr>
            </w:pPr>
          </w:p>
        </w:tc>
        <w:tc>
          <w:tcPr>
            <w:tcW w:w="7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acquisition of the Utah Solar Portfolio.</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248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Cost of fuels decreased by $20 million during the three months ended September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increased by $2 million during the three months ended September 30, 2022, compared to the same period in 2021,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9"/>
        </w:trPr>
        <w:tc>
          <w:tcPr>
            <w:tcW w:w="2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Renewables Segment</w:t>
            </w:r>
          </w:p>
        </w:tc>
        <w:tc>
          <w:tcPr>
            <w:tcW w:w="768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8"/>
                <w:szCs w:val="18"/>
                <w:color w:val="auto"/>
              </w:rPr>
              <w:t>Increase due to the acquisitions of the Utah Solar Portfolio, Black Rock and Mesquite Sky in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2200" w:type="dxa"/>
            <w:vAlign w:val="bottom"/>
            <w:shd w:val="clear" w:color="auto" w:fill="CCEEFF"/>
          </w:tcPr>
          <w:p>
            <w:pPr>
              <w:spacing w:after="0"/>
              <w:rPr>
                <w:sz w:val="21"/>
                <w:szCs w:val="21"/>
                <w:color w:val="auto"/>
              </w:rPr>
            </w:pPr>
          </w:p>
        </w:tc>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December 2021 and the Capistrano Wind Portfolio in August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2200" w:type="dxa"/>
            <w:vAlign w:val="bottom"/>
          </w:tcPr>
          <w:p>
            <w:pPr>
              <w:spacing w:after="0"/>
              <w:rPr>
                <w:sz w:val="15"/>
                <w:szCs w:val="15"/>
                <w:color w:val="auto"/>
              </w:rPr>
            </w:pPr>
          </w:p>
        </w:tc>
        <w:tc>
          <w:tcPr>
            <w:tcW w:w="768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Increase primarily driven by timing of maintenance activities, as well as increasing material costs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200" w:type="dxa"/>
            <w:vAlign w:val="bottom"/>
          </w:tcPr>
          <w:p>
            <w:pPr>
              <w:spacing w:after="0"/>
              <w:rPr>
                <w:sz w:val="21"/>
                <w:szCs w:val="21"/>
                <w:color w:val="auto"/>
              </w:rPr>
            </w:pPr>
          </w:p>
        </w:tc>
        <w:tc>
          <w:tcPr>
            <w:tcW w:w="7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largely at the wind facilities.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primarily driven by forced outages at El Segundo and Walnut Creek in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22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$6 million during the three months ended September 30, 2022, compared to the same period in 2021, primarily driven by a decrease in earnings from Avenal, as well as the consolidation of the of the Utah Solar Portfolio in December 2021, which had earnings in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$35 million during the three months ended September 30, 2022, compared to the same period in 2021, primarily due to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a loss of $3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852"/>
              <w:spacing w:after="0"/>
              <w:rPr>
                <w:sz w:val="20"/>
                <w:szCs w:val="20"/>
                <w:color w:val="auto"/>
              </w:rPr>
            </w:pPr>
            <w:r>
              <w:rPr>
                <w:rFonts w:ascii="Times New Roman" w:cs="Times New Roman" w:eastAsia="Times New Roman" w:hAnsi="Times New Roman"/>
                <w:sz w:val="18"/>
                <w:szCs w:val="18"/>
                <w:color w:val="auto"/>
                <w:w w:val="88"/>
              </w:rPr>
              <w:t>2</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2021, the Company had a loss of $12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Nine Months Ended September 30, 2022 and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decreased by $46 million during the nine months ended September 30, 2022, compared to the same period in 2021,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2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Renewables Segment</w:t>
            </w:r>
          </w:p>
        </w:tc>
        <w:tc>
          <w:tcPr>
            <w:tcW w:w="75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8"/>
                <w:szCs w:val="18"/>
                <w:color w:val="auto"/>
              </w:rPr>
              <w:t>Increase due to the 2021 acquisitions of the Utah Solar Portfolio, Agua Caliente, Black Rock and</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4"/>
        </w:trPr>
        <w:tc>
          <w:tcPr>
            <w:tcW w:w="2360" w:type="dxa"/>
            <w:vAlign w:val="bottom"/>
            <w:shd w:val="clear" w:color="auto" w:fill="CCEEFF"/>
          </w:tcPr>
          <w:p>
            <w:pPr>
              <w:spacing w:after="0"/>
              <w:rPr>
                <w:sz w:val="16"/>
                <w:szCs w:val="16"/>
                <w:color w:val="auto"/>
              </w:rPr>
            </w:pPr>
          </w:p>
        </w:tc>
        <w:tc>
          <w:tcPr>
            <w:tcW w:w="7520" w:type="dxa"/>
            <w:vAlign w:val="bottom"/>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Mt. Storm, and the 2022 acquisitions of Mililani I and the Capistrano Wind Portfolio, along with</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2360" w:type="dxa"/>
            <w:vAlign w:val="bottom"/>
            <w:shd w:val="clear" w:color="auto" w:fill="CCEEFF"/>
          </w:tcPr>
          <w:p>
            <w:pPr>
              <w:spacing w:after="0"/>
              <w:rPr>
                <w:sz w:val="20"/>
                <w:szCs w:val="20"/>
                <w:color w:val="auto"/>
              </w:rPr>
            </w:pPr>
          </w:p>
        </w:tc>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2021 repowering of the Pinnacle wind project.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76"/>
        </w:trPr>
        <w:tc>
          <w:tcPr>
            <w:tcW w:w="2360" w:type="dxa"/>
            <w:vAlign w:val="bottom"/>
          </w:tcPr>
          <w:p>
            <w:pPr>
              <w:spacing w:after="0"/>
              <w:rPr>
                <w:sz w:val="15"/>
                <w:szCs w:val="15"/>
                <w:color w:val="auto"/>
              </w:rPr>
            </w:pPr>
          </w:p>
        </w:tc>
        <w:tc>
          <w:tcPr>
            <w:tcW w:w="75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Favorable impact from the loss of $50 million in February 2021 related to net settlements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2360" w:type="dxa"/>
            <w:vAlign w:val="bottom"/>
          </w:tcPr>
          <w:p>
            <w:pPr>
              <w:spacing w:after="0"/>
              <w:rPr>
                <w:sz w:val="16"/>
                <w:szCs w:val="16"/>
                <w:color w:val="auto"/>
              </w:rPr>
            </w:pPr>
          </w:p>
        </w:tc>
        <w:tc>
          <w:tcPr>
            <w:tcW w:w="75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obligations for wind facilities that were unable to produce the required output during extreme</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2360" w:type="dxa"/>
            <w:vAlign w:val="bottom"/>
          </w:tcPr>
          <w:p>
            <w:pPr>
              <w:spacing w:after="0"/>
              <w:rPr>
                <w:sz w:val="20"/>
                <w:szCs w:val="20"/>
                <w:color w:val="auto"/>
              </w:rPr>
            </w:pPr>
          </w:p>
        </w:tc>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weather conditions in Texas.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360" w:type="dxa"/>
            <w:vAlign w:val="bottom"/>
            <w:shd w:val="clear" w:color="auto" w:fill="CCEEFF"/>
          </w:tcPr>
          <w:p>
            <w:pPr>
              <w:spacing w:after="0"/>
              <w:rPr>
                <w:sz w:val="19"/>
                <w:szCs w:val="19"/>
                <w:color w:val="auto"/>
              </w:rPr>
            </w:pPr>
          </w:p>
        </w:tc>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primarily driven by higher average realized prices at the wind facilities.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6"/>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Conventional Segment</w:t>
            </w:r>
          </w:p>
        </w:tc>
        <w:tc>
          <w:tcPr>
            <w:tcW w:w="75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Decrease primarily driven by forced outages at Walnut Creek and El Segundo Energy Center during</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Pr>
          <w:p>
            <w:pPr>
              <w:spacing w:after="0"/>
              <w:rPr>
                <w:sz w:val="21"/>
                <w:szCs w:val="21"/>
                <w:color w:val="auto"/>
              </w:rPr>
            </w:pPr>
          </w:p>
        </w:tc>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third quarter of 2022, resulting in lower capacity revenue.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75"/>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5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Increase in unrealized losses due to changes in the fair value of commodity contracts, primarily</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2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hedging activities</w:t>
            </w:r>
          </w:p>
        </w:tc>
        <w:tc>
          <w:tcPr>
            <w:tcW w:w="75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driven by the acquisition of Mesquite Sky in 2021, as well as increased unrealized losses due to</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2360" w:type="dxa"/>
            <w:vAlign w:val="bottom"/>
          </w:tcPr>
          <w:p>
            <w:pPr>
              <w:spacing w:after="0"/>
              <w:rPr>
                <w:sz w:val="20"/>
                <w:szCs w:val="20"/>
                <w:color w:val="auto"/>
              </w:rPr>
            </w:pPr>
          </w:p>
        </w:tc>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increases in forward power prices in the ERCOT and PJM markets.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76"/>
        </w:trPr>
        <w:tc>
          <w:tcPr>
            <w:tcW w:w="2360" w:type="dxa"/>
            <w:vAlign w:val="bottom"/>
            <w:shd w:val="clear" w:color="auto" w:fill="CCEEFF"/>
          </w:tcPr>
          <w:p>
            <w:pPr>
              <w:spacing w:after="0"/>
              <w:rPr>
                <w:sz w:val="15"/>
                <w:szCs w:val="15"/>
                <w:color w:val="auto"/>
              </w:rPr>
            </w:pPr>
          </w:p>
        </w:tc>
        <w:tc>
          <w:tcPr>
            <w:tcW w:w="75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Increase in unrealized losses driven by mark-to-market losses of the Langford commodity contract,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360" w:type="dxa"/>
            <w:vAlign w:val="bottom"/>
            <w:shd w:val="clear" w:color="auto" w:fill="CCEEFF"/>
          </w:tcPr>
          <w:p>
            <w:pPr>
              <w:spacing w:after="0"/>
              <w:rPr>
                <w:sz w:val="21"/>
                <w:szCs w:val="21"/>
                <w:color w:val="auto"/>
              </w:rPr>
            </w:pPr>
          </w:p>
        </w:tc>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which previously qualified for the NPNS exception.</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76"/>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5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PPAs related to the 2021</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36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acquisitions of Agua Caliente and the Utah Solar Portfolio.</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236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Cost of fuels decreased by $26 million during the nine months ended September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increased by $17 million during the nine months ended September 30, 2022, compared to the same period in 2021,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2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Renewables Segment</w:t>
            </w:r>
          </w:p>
        </w:tc>
        <w:tc>
          <w:tcPr>
            <w:tcW w:w="768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8"/>
                <w:szCs w:val="18"/>
                <w:color w:val="auto"/>
              </w:rPr>
              <w:t>Increase from the acquisitions of the Utah Solar Portfolio, Mesquite Sky, Black Rock and Mt.</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2200" w:type="dxa"/>
            <w:vAlign w:val="bottom"/>
            <w:shd w:val="clear" w:color="auto" w:fill="CCEEFF"/>
          </w:tcPr>
          <w:p>
            <w:pPr>
              <w:spacing w:after="0"/>
              <w:rPr>
                <w:sz w:val="21"/>
                <w:szCs w:val="21"/>
                <w:color w:val="auto"/>
              </w:rPr>
            </w:pPr>
          </w:p>
        </w:tc>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Storm in 2021, and the acquisition of Mililani I and the Capistrano Wind Portfolio in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5"/>
        </w:trPr>
        <w:tc>
          <w:tcPr>
            <w:tcW w:w="2200" w:type="dxa"/>
            <w:vAlign w:val="bottom"/>
          </w:tcPr>
          <w:p>
            <w:pPr>
              <w:spacing w:after="0"/>
              <w:rPr>
                <w:sz w:val="15"/>
                <w:szCs w:val="15"/>
                <w:color w:val="auto"/>
              </w:rPr>
            </w:pPr>
          </w:p>
        </w:tc>
        <w:tc>
          <w:tcPr>
            <w:tcW w:w="768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Increase primarily driven by timing of maintenance activities, as well as increasing material costs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200" w:type="dxa"/>
            <w:vAlign w:val="bottom"/>
          </w:tcPr>
          <w:p>
            <w:pPr>
              <w:spacing w:after="0"/>
              <w:rPr>
                <w:sz w:val="21"/>
                <w:szCs w:val="21"/>
                <w:color w:val="auto"/>
              </w:rPr>
            </w:pPr>
          </w:p>
        </w:tc>
        <w:tc>
          <w:tcPr>
            <w:tcW w:w="7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largely at the wind facilities.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Increase due to the forced outages at El Segundo and Walnut Creek during the third quarter of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220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 of Operations Expense</w:t>
      </w:r>
    </w:p>
    <w:p>
      <w:pPr>
        <w:spacing w:after="0" w:line="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cost of operations expense increased by $13 million during the nine months ended September 30, 2022, compared to the same period in 2021, primarily due to the acquisitions of the Utah Solar Portfolio, Mesquite Sky, Black Rock and Mt. Storm in 2021 and the acquisition of the Capistrano Wind Portfolio in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resulting in a gain on sale of business of approximately $1.29 billion,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$4 million during the nine months ended September 30, 2022, compared to the same period in 2021, primarily driven by the consolidation of the Utah Solar Portfolio in December 2021, which had earnings in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recorded a loss on debt extinguishment of $2 million during the nine months ended September 30, 2022, which reflects the write-off of previously deferred finance costs related to the Laredo Ridge, Tapestry Wind LLC and Viento Funding II, LLC, as further described in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a loss on debt extinguishment of $42 million during the nine months ended, September 30, 2021, which primarily reflects the write-off of previously deferred finance costs and payment of premiums related to the redemption of the 2025 Senior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$89 million during the nine months ended September 30, 2022, compared to the same period in 2021, primarily due to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76"/>
        </w:trPr>
        <w:tc>
          <w:tcPr>
            <w:tcW w:w="9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financing costs related to the Bridge Loan that was entered into during the fourth quarter of 2021 and paid in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 on May 3, 2022</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a loss of $49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the Company had a loss of $114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8"/>
          <w:szCs w:val="18"/>
          <w:color w:val="000000"/>
        </w:rPr>
        <w:t>As a normal part of the Company’s business, depending on market conditions,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2021</w:t>
      </w:r>
      <w:r>
        <w:rPr>
          <w:rFonts w:ascii="Times New Roman" w:cs="Times New Roman" w:eastAsia="Times New Roman" w:hAnsi="Times New Roman"/>
          <w:sz w:val="18"/>
          <w:szCs w:val="18"/>
          <w:color w:val="231F20"/>
        </w:rPr>
        <w:t>, the Company’s liquidity was approximately $1.54 billion and $821 million, respectively, comprised of cash, restricted cash and availability under the Company’s revolving credit facility.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3"/>
                <w:szCs w:val="13"/>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Clearway Energy LLC, excluding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accounts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$363 million and $475 million of restricted cash balances as of September 30, 2022 and December 31,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September 30, 2022, these restricted funds were comprised of $144 million designated to fund operating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expenses, approximately $66 million designated for current debt service payments and $124 million restricted for reserves including debt service, performance obligations and other reserves, as well as capital expenditures. The remaining $29 million is held in distribution reserve accounts.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the Company had no outstanding borrowings under the revolving credit facility and $112 million in letters of credit outstanding. During the nine months ended September 30, 2022, the Company borrowed $80 million under the revolving credit facility and repaid $325 million, $305 million of which was repaid on May 3, 2022, utilizing the proceeds received from the Thermal Disposition. </w:t>
      </w:r>
      <w:r>
        <w:rPr>
          <w:rFonts w:ascii="Times New Roman" w:cs="Times New Roman" w:eastAsia="Times New Roman" w:hAnsi="Times New Roman"/>
          <w:sz w:val="18"/>
          <w:szCs w:val="18"/>
          <w:color w:val="231F20"/>
        </w:rPr>
        <w:t>The facility will continue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 used for general corporate purposes including financing of future acquisitions and posting letters of credit.</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7"/>
          <w:szCs w:val="17"/>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 w:cs="Times New Roman" w:eastAsia="Times New Roman" w:hAnsi="Times New Roman"/>
          <w:sz w:val="17"/>
          <w:szCs w:val="17"/>
          <w:i w:val="1"/>
          <w:iCs w:val="1"/>
          <w:color w:val="231F20"/>
        </w:rPr>
        <w:t>Long-term Debt</w:t>
      </w:r>
      <w:r>
        <w:rPr>
          <w:rFonts w:ascii="Times New Roman" w:cs="Times New Roman" w:eastAsia="Times New Roman" w:hAnsi="Times New Roman"/>
          <w:sz w:val="17"/>
          <w:szCs w:val="17"/>
          <w:color w:val="231F20"/>
        </w:rPr>
        <w:t xml:space="preserve">, to this Form 10-Q and Item 15 — Note 10, </w:t>
      </w:r>
      <w:r>
        <w:rPr>
          <w:rFonts w:ascii="Times New Roman" w:cs="Times New Roman" w:eastAsia="Times New Roman" w:hAnsi="Times New Roman"/>
          <w:sz w:val="17"/>
          <w:szCs w:val="17"/>
          <w:i w:val="1"/>
          <w:iCs w:val="1"/>
          <w:color w:val="231F20"/>
        </w:rPr>
        <w:t>Long-term Debt</w:t>
      </w:r>
      <w:r>
        <w:rPr>
          <w:rFonts w:ascii="Times New Roman" w:cs="Times New Roman" w:eastAsia="Times New Roman" w:hAnsi="Times New Roman"/>
          <w:sz w:val="17"/>
          <w:szCs w:val="17"/>
          <w:color w:val="231F20"/>
        </w:rPr>
        <w:t xml:space="preserve">, to the consolidated financial statements included in the Company’s </w:t>
      </w:r>
      <w:r>
        <w:rPr>
          <w:rFonts w:ascii="Times New Roman" w:cs="Times New Roman" w:eastAsia="Times New Roman" w:hAnsi="Times New Roman"/>
          <w:sz w:val="17"/>
          <w:szCs w:val="17"/>
          <w:color w:val="000000"/>
        </w:rPr>
        <w:t>2021 Form 10-K</w:t>
      </w:r>
      <w:r>
        <w:rPr>
          <w:rFonts w:ascii="Times New Roman" w:cs="Times New Roman" w:eastAsia="Times New Roman" w:hAnsi="Times New Roman"/>
          <w:sz w:val="17"/>
          <w:szCs w:val="17"/>
          <w:color w:val="231F20"/>
        </w:rPr>
        <w:t xml:space="preserve">, the Company’s financing arrangements consist of </w:t>
      </w:r>
      <w:r>
        <w:rPr>
          <w:rFonts w:ascii="Times New Roman" w:cs="Times New Roman" w:eastAsia="Times New Roman" w:hAnsi="Times New Roman"/>
          <w:sz w:val="17"/>
          <w:szCs w:val="17"/>
          <w:color w:val="000000"/>
        </w:rPr>
        <w:t>corporate level debt, which includes Senior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Notes, intercompany borrowings with Clearway, Inc. and the revolving credit facility, the ATM Programs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8"/>
          <w:szCs w:val="18"/>
          <w:i w:val="1"/>
          <w:iCs w:val="1"/>
          <w:color w:val="231F20"/>
        </w:rPr>
        <w:t>Thermal Disposition</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further described in </w:t>
      </w:r>
      <w:r>
        <w:rPr>
          <w:rFonts w:ascii="Times New Roman" w:cs="Times New Roman" w:eastAsia="Times New Roman" w:hAnsi="Times New Roman"/>
          <w:sz w:val="18"/>
          <w:szCs w:val="18"/>
          <w:color w:val="231F20"/>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Debt</w:t>
      </w:r>
      <w:r>
        <w:rPr>
          <w:rFonts w:ascii="Times New Roman" w:cs="Times New Roman" w:eastAsia="Times New Roman" w:hAnsi="Times New Roman"/>
          <w:sz w:val="18"/>
          <w:szCs w:val="18"/>
          <w:color w:val="000000"/>
        </w:rPr>
        <w:t>, with the remaining proceeds invested in short-term investments classified as cash and cash equivalents on the Company’s consolidated balance sheet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as of September 30, 2022.</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September 30, 2022, the Company’s 2028 Senior Notes, 2031 Senior Notes and 2032 Senior Notes were rated BB by S&amp;P and Ba2 by Moody’s.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to the consolidated financial statements; (ii) capital expenditures; (iii) off-balance sheet arrangements;</w:t>
      </w:r>
    </w:p>
    <w:p>
      <w:pPr>
        <w:ind w:left="420" w:right="7260" w:hanging="412"/>
        <w:spacing w:after="0" w:line="427" w:lineRule="auto"/>
        <w:tabs>
          <w:tab w:leader="none" w:pos="3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acquisitions and investments; and (v) distributions. </w:t>
      </w:r>
      <w:r>
        <w:rPr>
          <w:rFonts w:ascii="Times New Roman" w:cs="Times New Roman" w:eastAsia="Times New Roman" w:hAnsi="Times New Roman"/>
          <w:sz w:val="18"/>
          <w:szCs w:val="18"/>
          <w:i w:val="1"/>
          <w:iCs w:val="1"/>
          <w:color w:val="000000"/>
        </w:rPr>
        <w:t>Capital Expenditures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For the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the Company used approximately $95 million to fund capital expenditures, including growth </w:t>
      </w:r>
      <w:r>
        <w:rPr>
          <w:rFonts w:ascii="Times New Roman" w:cs="Times New Roman" w:eastAsia="Times New Roman" w:hAnsi="Times New Roman"/>
          <w:sz w:val="18"/>
          <w:szCs w:val="18"/>
          <w:color w:val="000000"/>
        </w:rPr>
        <w:t>expenditures of $75 million in the Renewables segment, funded through construction-related financing. Renewables segment capital expenditures included $24 million incurred in connection with the Mililani solar project, $28 million incurred in connection with the Mesquite Sky wind project, $13 million incurred in connection with the Black Rock wind project, $5 million incurred in connection with the Rattlesnake wind project and $5 million incurred by other wind and solar projects. Prior to the sale of the Thermal Business on May 1, 2022, the Company incurred $4 million of growth capital expenditures in the Thermal segment in connection with various development projects. In addition, the Company incurred $16 million in maintenance capital expenditures. The Company estimates $30 million of maintenance expenditures for 2022. These estimates are subject to continuing review and adjustment. Actual capital expenditures may vary from these estimates.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1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1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Waiawa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3, 2022, the Company, through its indirect subsidiary, Lighthouse Renewable Holdco LLC, acquired Waiawa BL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Holdco LLC, the indirect owner of the Waiawa solar project, a 36 MW solar project with matching storage capacity that is currently under construction and located in Honolulu, Hawaii, from Clearway Renew LLC, a subsidiary of CEG,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Waiawa has a 20-year PPA with an investment-grade utility that commences when the project reaches commercial operations, as defined in the PPA. The acquisition was funded with existing sources of liquidity.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5" w:name="page46"/>
    <w:bookmarkEnd w:id="45"/>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Capistrano Wind Portfolio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22, 2022, the Company, through its wholly-owned indirect subsidiary, Capistrano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10 years. The Capistrano Wind Portfolio operations are reflected in the Company’s Renewables segment and the acquisition was funded with existing sources of liquidity.</w:t>
      </w:r>
    </w:p>
    <w:p>
      <w:pPr>
        <w:spacing w:after="0" w:line="13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Mililani I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25, 2022, the Company, through its indirect subsidiary, Lighthouse Renewable Holdco LLC, acquired Mililani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 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PPA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substantial completion of the project, $60 million tax equity bridge loan and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received from the tax equity investor upon Mililani I reaching substantial completion, which is expected to occur in the fourth quarter of 2022, along with the $18 million that was contributed into escrow by the tax equity investor at acquisition date.</w:t>
      </w:r>
    </w:p>
    <w:p>
      <w:pPr>
        <w:spacing w:after="0" w:line="13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Black Rock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2022, in connection with the Company’s 2021 acquisition of the Class B membership interests in Black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 Holding LLC, through its indirect subsidiary Lighthouse Renewable Holding Sub LLC, from Clearway Renew LLC,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Bridge Loan Agreement</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3, 2022, the Company repaid the $335 million in outstanding borrowings under the Bridge Loan Agreement utilizing proceeds received from the Thermal Disposition.</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Distributions to Clearway, Inc. and CEG</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B, C and D units during the nine months ended September 30,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2022</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2022</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A, B, C and D unit</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November 2, 2022, the Company declared a distribution on its Class A, Class B, Class C and Class D units of $0.3672 per unit payable on December 15, 2022 to unit holders of record as of December 1,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 Contracts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Retained or Contingent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$333 million as of September 30, 2022.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the Company’s capital expenditure programs, as disclosed in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nine months ended September 30, 2022,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operating income adjusted for non-cash items</w:t>
      </w:r>
    </w:p>
    <w:p>
      <w:pPr>
        <w:spacing w:after="0" w:line="27" w:lineRule="exact"/>
        <w:rPr>
          <w:sz w:val="20"/>
          <w:szCs w:val="20"/>
          <w:color w:val="auto"/>
        </w:rPr>
      </w:pPr>
    </w:p>
    <w:p>
      <w:pPr>
        <w:ind w:left="140"/>
        <w:spacing w:after="0" w:line="292" w:lineRule="auto"/>
        <w:rPr>
          <w:sz w:val="20"/>
          <w:szCs w:val="20"/>
          <w:color w:val="auto"/>
        </w:rPr>
      </w:pPr>
      <w:r>
        <w:rPr>
          <w:rFonts w:ascii="Times New Roman" w:cs="Times New Roman" w:eastAsia="Times New Roman" w:hAnsi="Times New Roman"/>
          <w:sz w:val="18"/>
          <w:szCs w:val="18"/>
          <w:color w:val="auto"/>
        </w:rPr>
        <w:t>Increase in working capital primarily driven by the timing of accounts receivable collections and payments of accounts payable Transaction expenses paid on May 1, 2022 in connection with the sale of the Thermal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0628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1000" w:hanging="99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5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1000" w:hanging="99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05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9300" w:space="640"/>
            <w:col w:w="1300"/>
          </w:cols>
          <w:pgMar w:left="320" w:top="8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Proceeds from the sale of the Thermal Business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 for acquisitions, net of cash acquired,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right="3140"/>
        <w:spacing w:after="0" w:line="266" w:lineRule="auto"/>
        <w:rPr>
          <w:sz w:val="20"/>
          <w:szCs w:val="20"/>
          <w:color w:val="auto"/>
        </w:rPr>
      </w:pPr>
      <w:r>
        <w:rPr>
          <w:rFonts w:ascii="Times New Roman" w:cs="Times New Roman" w:eastAsia="Times New Roman" w:hAnsi="Times New Roman"/>
          <w:sz w:val="18"/>
          <w:szCs w:val="18"/>
          <w:color w:val="auto"/>
        </w:rPr>
        <w:t>Cash paid to CEG in 2021 for equipment for the Pinnacle wind project repowering Cash paid to CEG in 2022 for Capistrano Wind Portfolio 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062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proceeds from the issuance of long-term debt, net of payments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proceeds from the revolving credit facility, net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Decrease in contributions from noncontrolling interest members, net of distributions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contributions from CEG,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released from escrow distributed to CEG in 2022</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Tax-related distributions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payments of distributions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780" w:hanging="772"/>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1,457</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p>
    <w:p>
      <w:pPr>
        <w:spacing w:after="0" w:line="2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2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w:t>
      </w:r>
    </w:p>
    <w:p>
      <w:pPr>
        <w:spacing w:after="0" w:line="31" w:lineRule="exact"/>
        <w:rPr>
          <w:sz w:val="20"/>
          <w:szCs w:val="20"/>
          <w:color w:val="auto"/>
        </w:rPr>
      </w:pPr>
    </w:p>
    <w:p>
      <w:pPr>
        <w:ind w:left="780" w:hanging="77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840" w:hanging="832"/>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p>
    <w:p>
      <w:pPr>
        <w:spacing w:after="0" w:line="22"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w:t>
      </w:r>
    </w:p>
    <w:p>
      <w:pPr>
        <w:spacing w:after="0" w:line="22"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w:t>
      </w:r>
    </w:p>
    <w:p>
      <w:pPr>
        <w:spacing w:after="0" w:line="22"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2"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2"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31" w:lineRule="exact"/>
        <w:rPr>
          <w:sz w:val="20"/>
          <w:szCs w:val="20"/>
          <w:color w:val="auto"/>
        </w:rPr>
      </w:pPr>
    </w:p>
    <w:p>
      <w:pPr>
        <w:ind w:left="700" w:hanging="692"/>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300"/>
          </w:cols>
          <w:pgMar w:left="320" w:top="887"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ectPr>
          <w:pgSz w:w="11900" w:h="16838" w:orient="portrait"/>
          <w:cols w:equalWidth="0" w:num="1">
            <w:col w:w="11240"/>
          </w:cols>
          <w:pgMar w:left="320" w:top="887" w:right="339" w:bottom="1440" w:gutter="0" w:footer="0" w:header="0"/>
        </w:sectPr>
      </w:pP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(Losses) Gains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2021</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acquired during the period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added due to loss of NPNS exception</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Contracts removed during the period</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contracts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Fair Value Hierarchy (Losses) Gains</w:t>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Level 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Level 3</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September 30,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20" w:type="dxa"/>
            <w:vAlign w:val="bottom"/>
          </w:tcPr>
          <w:p>
            <w:pPr>
              <w:spacing w:after="0"/>
              <w:rPr>
                <w:sz w:val="13"/>
                <w:szCs w:val="13"/>
                <w:color w:val="auto"/>
              </w:rPr>
            </w:pPr>
          </w:p>
        </w:tc>
        <w:tc>
          <w:tcPr>
            <w:tcW w:w="114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3"/>
                <w:szCs w:val="13"/>
                <w:color w:val="auto"/>
              </w:rPr>
            </w:pPr>
          </w:p>
        </w:tc>
        <w:tc>
          <w:tcPr>
            <w:tcW w:w="1260" w:type="dxa"/>
            <w:vAlign w:val="bottom"/>
            <w:gridSpan w:val="3"/>
          </w:tcPr>
          <w:p>
            <w:pPr>
              <w:jc w:val="right"/>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Total Fair</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6"/>
                <w:szCs w:val="16"/>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695"/>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619"/>
              <w:spacing w:after="0"/>
              <w:rPr>
                <w:sz w:val="20"/>
                <w:szCs w:val="20"/>
                <w:color w:val="auto"/>
              </w:rPr>
            </w:pPr>
            <w:r>
              <w:rPr>
                <w:rFonts w:ascii="Times New Roman" w:cs="Times New Roman" w:eastAsia="Times New Roman" w:hAnsi="Times New Roman"/>
                <w:sz w:val="18"/>
                <w:szCs w:val="18"/>
                <w:color w:val="auto"/>
                <w:w w:val="99"/>
              </w:rPr>
              <w:t>44</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(79)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(98)</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-2374265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-2073910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-1782445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-333375</wp:posOffset>
            </wp:positionV>
            <wp:extent cx="711517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520"/>
            <w:col w:w="6440"/>
          </w:cols>
          <w:pgMar w:left="320" w:top="887" w:right="339" w:bottom="1440" w:gutter="0" w:footer="0" w:header="0"/>
          <w:type w:val="continuous"/>
        </w:sectPr>
      </w:pPr>
    </w:p>
    <w:p>
      <w:pPr>
        <w:spacing w:after="0" w:line="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 Commodity Price Risk</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color w:val="000000"/>
        </w:rPr>
        <w:t>Company, measures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 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2021 Form 10-K.</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2021 included in the 2021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the Company would have owed the counterparties </w:t>
      </w:r>
      <w:r>
        <w:rPr>
          <w:rFonts w:ascii="Times New Roman" w:cs="Times New Roman" w:eastAsia="Times New Roman" w:hAnsi="Times New Roman"/>
          <w:sz w:val="18"/>
          <w:szCs w:val="18"/>
          <w:color w:val="000000"/>
        </w:rPr>
        <w:t>$90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a change of 1%, or 100 basis points, in interest rates would result in an approximately $1 million change in market interest expense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 rolling twelve-month basis.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the fair value of the Company’s debt was $6.30 billion and the carrying value was $7.08 billion. The Company estimates that a decrease of 1%, or 100 basis points, in market interest rates would have increased the fair value of its long-term debt by approximately $361 million.</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derivatives contracts would cause a change of approximately $7 million to the net value of power derivatives as of September 30, 2022.</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September 30, 2022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3"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September 30, 2022, see Note 10,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2021 Form 10-K. There have been no material changes in the Company’s risk factors since those reported in its 2021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5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w:t>
            </w:r>
          </w:p>
        </w:tc>
        <w:tc>
          <w:tcPr>
            <w:tcW w:w="5520" w:type="dxa"/>
            <w:vAlign w:val="bottom"/>
            <w:gridSpan w:val="7"/>
          </w:tcPr>
          <w:p>
            <w:pPr>
              <w:spacing w:after="0" w:line="181"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Seventh Amendment to Amended and Restated Credit Agreement, entered into as of</w:t>
              </w:r>
            </w:hyperlink>
          </w:p>
        </w:tc>
      </w:tr>
      <w:tr>
        <w:trPr>
          <w:trHeight w:val="169"/>
        </w:trPr>
        <w:tc>
          <w:tcPr>
            <w:tcW w:w="10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August 15, 2022, by and among Clearway Energy Operating LLC, Clearway Energy</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5500" w:type="dxa"/>
            <w:vAlign w:val="bottom"/>
            <w:gridSpan w:val="6"/>
          </w:tcPr>
          <w:p>
            <w:pPr>
              <w:spacing w:after="0" w:line="169"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LLC, the guarantors party thereto, JPMorgan Chase Bank, N.A., as administrative</w:t>
              </w:r>
            </w:hyperlink>
          </w:p>
        </w:tc>
        <w:tc>
          <w:tcPr>
            <w:tcW w:w="20" w:type="dxa"/>
            <w:vAlign w:val="bottom"/>
          </w:tcPr>
          <w:p>
            <w:pPr>
              <w:spacing w:after="0"/>
              <w:rPr>
                <w:sz w:val="14"/>
                <w:szCs w:val="14"/>
                <w:color w:val="auto"/>
              </w:rPr>
            </w:pPr>
          </w:p>
        </w:tc>
      </w:tr>
      <w:tr>
        <w:trPr>
          <w:trHeight w:val="155"/>
        </w:trPr>
        <w:tc>
          <w:tcPr>
            <w:tcW w:w="102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agent, and the lenders party thereto.</w:t>
              </w:r>
            </w:hyperlink>
          </w:p>
        </w:tc>
        <w:tc>
          <w:tcPr>
            <w:tcW w:w="300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13a-14(a)/15d-14(a) certification of Christopher S. Sotos.</w:t>
            </w:r>
          </w:p>
        </w:tc>
        <w:tc>
          <w:tcPr>
            <w:tcW w:w="1440" w:type="dxa"/>
            <w:vAlign w:val="bottom"/>
            <w:gridSpan w:val="4"/>
          </w:tcPr>
          <w:p>
            <w:pPr>
              <w:spacing w:after="0"/>
              <w:rPr>
                <w:sz w:val="20"/>
                <w:szCs w:val="20"/>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640" w:type="dxa"/>
            <w:vAlign w:val="bottom"/>
            <w:gridSpan w:val="5"/>
          </w:tcPr>
          <w:p>
            <w:pPr>
              <w:spacing w:after="0"/>
              <w:rPr>
                <w:sz w:val="18"/>
                <w:szCs w:val="18"/>
                <w:color w:val="auto"/>
              </w:rPr>
            </w:pPr>
          </w:p>
        </w:tc>
      </w:tr>
    </w:tbl>
    <w:p>
      <w:pPr>
        <w:spacing w:after="0" w:line="40" w:lineRule="exact"/>
        <w:rPr>
          <w:sz w:val="20"/>
          <w:szCs w:val="20"/>
          <w:color w:val="auto"/>
        </w:rPr>
      </w:pPr>
    </w:p>
    <w:p>
      <w:pPr>
        <w:ind w:left="1040" w:hanging="1014"/>
        <w:spacing w:after="0"/>
        <w:tabs>
          <w:tab w:leader="none" w:pos="10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040" w:hanging="1014"/>
        <w:spacing w:after="0" w:line="232" w:lineRule="auto"/>
        <w:tabs>
          <w:tab w:leader="none" w:pos="10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3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August 19,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549" w:lineRule="exact"/>
        <w:rPr>
          <w:sz w:val="20"/>
          <w:szCs w:val="20"/>
          <w:color w:val="auto"/>
        </w:rPr>
      </w:pPr>
    </w:p>
    <w:p>
      <w:pPr>
        <w:sectPr>
          <w:pgSz w:w="11900" w:h="16838" w:orient="portrait"/>
          <w:cols w:equalWidth="0" w:num="2">
            <w:col w:w="6720" w:space="200"/>
            <w:col w:w="3900"/>
          </w:cols>
          <w:pgMar w:left="320" w:top="88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887" w:right="759" w:bottom="1440" w:gutter="0" w:footer="0" w:header="0"/>
          <w:type w:val="continuous"/>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CLEARWAY ENERGY LLC</w:t>
      </w: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02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Senior Vice President and Chief Accounting</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6620" w:type="dxa"/>
            <w:vAlign w:val="bottom"/>
            <w:vMerge w:val="continue"/>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887"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7748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Christopher S. Sotos</w:t>
      </w:r>
    </w:p>
    <w:p>
      <w:pPr>
        <w:ind w:left="724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Senior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Accounting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LLC on Form 10-Q for the quarter ended September 30, 2022,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Senior Vice President and Chief Accounting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amp;"/>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Roman"/>
      <w:start w:val="4"/>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32"/>
    </w:lvl>
  </w:abstractNum>
  <w:abstractNum w:abstractNumId="36">
    <w:nsid w:val="2463B9EA"/>
    <w:multiLevelType w:val="hybridMultilevel"/>
    <w:lvl w:ilvl="0">
      <w:lvlJc w:val="left"/>
      <w:lvlText w:val="%1"/>
      <w:numFmt w:val="decimal"/>
      <w:start w:val="10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95" Type="http://schemas.openxmlformats.org/officeDocument/2006/relationships/hyperlink" Target="https://www.sec.gov/Archives/edgar/data/1567683/000110465922092724/tm222374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2022-11-02T11:00:13Z</dcterms:created>
  <dcterms:modified xsi:type="dcterms:W3CDTF">2022-11-02T11:00:13Z</dcterms:modified>
</cp:coreProperties>
</file>