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Malcarney Kevin P.</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CLEARWAY ENERGY,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300 CARNEGIE CENTER, SUITE 300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Clearway Energy,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CWEN</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38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03/01/2023</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85"/>
        <w:spacing w:after="0"/>
        <w:rPr>
          <w:sz w:val="20"/>
          <w:szCs w:val="20"/>
          <w:color w:val="auto"/>
        </w:rPr>
      </w:pPr>
      <w:r>
        <w:rPr>
          <w:rFonts w:ascii="Arial" w:cs="Arial" w:eastAsia="Arial" w:hAnsi="Arial"/>
          <w:sz w:val="16"/>
          <w:szCs w:val="16"/>
          <w:color w:val="0000FF"/>
        </w:rPr>
        <w:t>EVP, GEN COUNSEL AND CORP SECR</w:t>
      </w:r>
    </w:p>
    <w:p>
      <w:pPr>
        <w:spacing w:after="0" w:line="414"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820" w:type="dxa"/>
            <w:vAlign w:val="bottom"/>
            <w:tcBorders>
              <w:bottom w:val="single" w:sz="8" w:color="9A9A9A"/>
            </w:tcBorders>
          </w:tcPr>
          <w:p>
            <w:pPr>
              <w:spacing w:after="0"/>
              <w:rPr>
                <w:sz w:val="15"/>
                <w:szCs w:val="15"/>
                <w:color w:val="auto"/>
              </w:rPr>
            </w:pPr>
          </w:p>
        </w:tc>
        <w:tc>
          <w:tcPr>
            <w:tcW w:w="860" w:type="dxa"/>
            <w:vAlign w:val="bottom"/>
            <w:tcBorders>
              <w:bottom w:val="single" w:sz="8" w:color="9A9A9A"/>
            </w:tcBorders>
          </w:tcPr>
          <w:p>
            <w:pPr>
              <w:spacing w:after="0"/>
              <w:rPr>
                <w:sz w:val="15"/>
                <w:szCs w:val="15"/>
                <w:color w:val="auto"/>
              </w:rPr>
            </w:pPr>
          </w:p>
        </w:tc>
        <w:tc>
          <w:tcPr>
            <w:tcW w:w="700" w:type="dxa"/>
            <w:vAlign w:val="bottom"/>
            <w:tcBorders>
              <w:bottom w:val="single" w:sz="8" w:color="9A9A9A"/>
            </w:tcBorders>
          </w:tcPr>
          <w:p>
            <w:pPr>
              <w:spacing w:after="0"/>
              <w:rPr>
                <w:sz w:val="15"/>
                <w:szCs w:val="15"/>
                <w:color w:val="auto"/>
              </w:rPr>
            </w:pPr>
          </w:p>
        </w:tc>
        <w:tc>
          <w:tcPr>
            <w:tcW w:w="6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3560" w:type="dxa"/>
            <w:vAlign w:val="bottom"/>
            <w:gridSpan w:val="7"/>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5"/>
                <w:szCs w:val="15"/>
                <w:color w:val="auto"/>
              </w:rPr>
            </w:pPr>
          </w:p>
        </w:tc>
        <w:tc>
          <w:tcPr>
            <w:tcW w:w="3500" w:type="dxa"/>
            <w:vAlign w:val="bottom"/>
            <w:gridSpan w:val="9"/>
          </w:tcPr>
          <w:p>
            <w:pPr>
              <w:ind w:left="1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0" w:type="dxa"/>
            <w:vAlign w:val="bottom"/>
            <w:gridSpan w:val="4"/>
          </w:tcPr>
          <w:p>
            <w:pPr>
              <w:ind w:left="160"/>
              <w:spacing w:after="0"/>
              <w:rPr>
                <w:sz w:val="20"/>
                <w:szCs w:val="20"/>
                <w:color w:val="auto"/>
              </w:rPr>
            </w:pPr>
            <w:r>
              <w:rPr>
                <w:rFonts w:ascii="Arial" w:cs="Arial" w:eastAsia="Arial" w:hAnsi="Arial"/>
                <w:sz w:val="13"/>
                <w:szCs w:val="13"/>
                <w:color w:val="auto"/>
              </w:rPr>
              <w:t>Line)</w:t>
            </w: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820" w:type="dxa"/>
            <w:vAlign w:val="bottom"/>
          </w:tcPr>
          <w:p>
            <w:pPr>
              <w:spacing w:after="0"/>
              <w:rPr>
                <w:sz w:val="9"/>
                <w:szCs w:val="9"/>
                <w:color w:val="auto"/>
              </w:rPr>
            </w:pPr>
          </w:p>
        </w:tc>
        <w:tc>
          <w:tcPr>
            <w:tcW w:w="860" w:type="dxa"/>
            <w:vAlign w:val="bottom"/>
          </w:tcPr>
          <w:p>
            <w:pPr>
              <w:spacing w:after="0"/>
              <w:rPr>
                <w:sz w:val="9"/>
                <w:szCs w:val="9"/>
                <w:color w:val="auto"/>
              </w:rPr>
            </w:pPr>
          </w:p>
        </w:tc>
        <w:tc>
          <w:tcPr>
            <w:tcW w:w="70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48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4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spacing w:after="0"/>
              <w:rPr>
                <w:sz w:val="9"/>
                <w:szCs w:val="9"/>
                <w:color w:val="auto"/>
              </w:rPr>
            </w:pP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7"/>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40" w:type="dxa"/>
            <w:vAlign w:val="bottom"/>
            <w:gridSpan w:val="2"/>
            <w:vMerge w:val="restart"/>
          </w:tcPr>
          <w:p>
            <w:pPr>
              <w:spacing w:after="0"/>
              <w:rPr>
                <w:sz w:val="20"/>
                <w:szCs w:val="20"/>
                <w:color w:val="auto"/>
              </w:rPr>
            </w:pPr>
            <w:r>
              <w:rPr>
                <w:rFonts w:ascii="Arial" w:cs="Arial" w:eastAsia="Arial" w:hAnsi="Arial"/>
                <w:sz w:val="17"/>
                <w:szCs w:val="17"/>
                <w:color w:val="0000FF"/>
              </w:rPr>
              <w:t>PRINCETON   NJ</w:t>
            </w:r>
          </w:p>
        </w:tc>
        <w:tc>
          <w:tcPr>
            <w:tcW w:w="860" w:type="dxa"/>
            <w:vAlign w:val="bottom"/>
          </w:tcPr>
          <w:p>
            <w:pPr>
              <w:spacing w:after="0"/>
              <w:rPr>
                <w:sz w:val="11"/>
                <w:szCs w:val="11"/>
                <w:color w:val="auto"/>
              </w:rPr>
            </w:pPr>
          </w:p>
        </w:tc>
        <w:tc>
          <w:tcPr>
            <w:tcW w:w="700" w:type="dxa"/>
            <w:vAlign w:val="bottom"/>
            <w:vMerge w:val="restart"/>
          </w:tcPr>
          <w:p>
            <w:pPr>
              <w:ind w:left="140"/>
              <w:spacing w:after="0"/>
              <w:rPr>
                <w:sz w:val="20"/>
                <w:szCs w:val="20"/>
                <w:color w:val="auto"/>
              </w:rPr>
            </w:pPr>
            <w:r>
              <w:rPr>
                <w:rFonts w:ascii="Arial" w:cs="Arial" w:eastAsia="Arial" w:hAnsi="Arial"/>
                <w:sz w:val="17"/>
                <w:szCs w:val="17"/>
                <w:color w:val="0000FF"/>
              </w:rPr>
              <w:t>08540</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40" w:type="dxa"/>
            <w:vAlign w:val="bottom"/>
            <w:gridSpan w:val="2"/>
            <w:vMerge w:val="continue"/>
          </w:tcPr>
          <w:p>
            <w:pPr>
              <w:spacing w:after="0"/>
              <w:rPr>
                <w:sz w:val="9"/>
                <w:szCs w:val="9"/>
                <w:color w:val="auto"/>
              </w:rPr>
            </w:pPr>
          </w:p>
        </w:tc>
        <w:tc>
          <w:tcPr>
            <w:tcW w:w="860" w:type="dxa"/>
            <w:vAlign w:val="bottom"/>
          </w:tcPr>
          <w:p>
            <w:pPr>
              <w:spacing w:after="0"/>
              <w:rPr>
                <w:sz w:val="9"/>
                <w:szCs w:val="9"/>
                <w:color w:val="auto"/>
              </w:rPr>
            </w:pPr>
          </w:p>
        </w:tc>
        <w:tc>
          <w:tcPr>
            <w:tcW w:w="70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48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4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spacing w:after="0"/>
              <w:rPr>
                <w:sz w:val="9"/>
                <w:szCs w:val="9"/>
                <w:color w:val="auto"/>
              </w:rPr>
            </w:pP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6"/>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70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tcPr>
          <w:p>
            <w:pPr>
              <w:spacing w:after="0"/>
              <w:rPr>
                <w:sz w:val="8"/>
                <w:szCs w:val="8"/>
                <w:color w:val="auto"/>
              </w:rPr>
            </w:pPr>
          </w:p>
        </w:tc>
        <w:tc>
          <w:tcPr>
            <w:tcW w:w="48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760" w:type="dxa"/>
            <w:vAlign w:val="bottom"/>
          </w:tcPr>
          <w:p>
            <w:pPr>
              <w:spacing w:after="0"/>
              <w:rPr>
                <w:sz w:val="8"/>
                <w:szCs w:val="8"/>
                <w:color w:val="auto"/>
              </w:rPr>
            </w:pPr>
          </w:p>
        </w:tc>
        <w:tc>
          <w:tcPr>
            <w:tcW w:w="70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2960" w:type="dxa"/>
            <w:vAlign w:val="bottom"/>
            <w:gridSpan w:val="6"/>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820" w:type="dxa"/>
            <w:vAlign w:val="bottom"/>
            <w:tcBorders>
              <w:bottom w:val="single" w:sz="8" w:color="9A9A9A"/>
            </w:tcBorders>
          </w:tcPr>
          <w:p>
            <w:pPr>
              <w:spacing w:after="0"/>
              <w:rPr>
                <w:sz w:val="5"/>
                <w:szCs w:val="5"/>
                <w:color w:val="auto"/>
              </w:rPr>
            </w:pPr>
          </w:p>
        </w:tc>
        <w:tc>
          <w:tcPr>
            <w:tcW w:w="860" w:type="dxa"/>
            <w:vAlign w:val="bottom"/>
            <w:tcBorders>
              <w:bottom w:val="single" w:sz="8" w:color="9A9A9A"/>
            </w:tcBorders>
          </w:tcPr>
          <w:p>
            <w:pPr>
              <w:spacing w:after="0"/>
              <w:rPr>
                <w:sz w:val="5"/>
                <w:szCs w:val="5"/>
                <w:color w:val="auto"/>
              </w:rPr>
            </w:pPr>
          </w:p>
        </w:tc>
        <w:tc>
          <w:tcPr>
            <w:tcW w:w="700" w:type="dxa"/>
            <w:vAlign w:val="bottom"/>
            <w:tcBorders>
              <w:bottom w:val="single" w:sz="8" w:color="9A9A9A"/>
            </w:tcBorders>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restart"/>
          </w:tcPr>
          <w:p>
            <w:pPr>
              <w:spacing w:after="0"/>
              <w:rPr>
                <w:sz w:val="5"/>
                <w:szCs w:val="5"/>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70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640" w:type="dxa"/>
            <w:vAlign w:val="bottom"/>
          </w:tcPr>
          <w:p>
            <w:pPr>
              <w:spacing w:after="0"/>
              <w:rPr>
                <w:sz w:val="6"/>
                <w:szCs w:val="6"/>
                <w:color w:val="auto"/>
              </w:rPr>
            </w:pPr>
          </w:p>
        </w:tc>
        <w:tc>
          <w:tcPr>
            <w:tcW w:w="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Pr>
          <w:p>
            <w:pPr>
              <w:spacing w:after="0"/>
              <w:rPr>
                <w:sz w:val="6"/>
                <w:szCs w:val="6"/>
                <w:color w:val="auto"/>
              </w:rPr>
            </w:pPr>
          </w:p>
        </w:tc>
        <w:tc>
          <w:tcPr>
            <w:tcW w:w="700" w:type="dxa"/>
            <w:vAlign w:val="bottom"/>
          </w:tcPr>
          <w:p>
            <w:pPr>
              <w:spacing w:after="0"/>
              <w:rPr>
                <w:sz w:val="6"/>
                <w:szCs w:val="6"/>
                <w:color w:val="auto"/>
              </w:rPr>
            </w:pPr>
          </w:p>
        </w:tc>
        <w:tc>
          <w:tcPr>
            <w:tcW w:w="460" w:type="dxa"/>
            <w:vAlign w:val="bottom"/>
          </w:tcPr>
          <w:p>
            <w:pPr>
              <w:spacing w:after="0"/>
              <w:rPr>
                <w:sz w:val="6"/>
                <w:szCs w:val="6"/>
                <w:color w:val="auto"/>
              </w:rPr>
            </w:pPr>
          </w:p>
        </w:tc>
        <w:tc>
          <w:tcPr>
            <w:tcW w:w="24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vMerge w:val="continue"/>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1680" w:type="dxa"/>
            <w:vAlign w:val="bottom"/>
            <w:gridSpan w:val="2"/>
            <w:vMerge w:val="continue"/>
          </w:tcPr>
          <w:p>
            <w:pPr>
              <w:spacing w:after="0"/>
              <w:rPr>
                <w:sz w:val="19"/>
                <w:szCs w:val="19"/>
                <w:color w:val="auto"/>
              </w:rPr>
            </w:pPr>
          </w:p>
        </w:tc>
        <w:tc>
          <w:tcPr>
            <w:tcW w:w="700" w:type="dxa"/>
            <w:vAlign w:val="bottom"/>
            <w:vMerge w:val="continue"/>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2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4"/>
          </w:tcPr>
          <w:p>
            <w:pPr>
              <w:spacing w:after="0"/>
              <w:rPr>
                <w:sz w:val="11"/>
                <w:szCs w:val="11"/>
                <w:color w:val="auto"/>
              </w:rPr>
            </w:pPr>
          </w:p>
        </w:tc>
        <w:tc>
          <w:tcPr>
            <w:tcW w:w="1640" w:type="dxa"/>
            <w:vAlign w:val="bottom"/>
            <w:tcBorders>
              <w:bottom w:val="single" w:sz="8" w:color="2C2C2C"/>
            </w:tcBorders>
            <w:gridSpan w:val="4"/>
          </w:tcPr>
          <w:p>
            <w:pPr>
              <w:spacing w:after="0"/>
              <w:rPr>
                <w:sz w:val="11"/>
                <w:szCs w:val="11"/>
                <w:color w:val="auto"/>
              </w:rPr>
            </w:pPr>
          </w:p>
        </w:tc>
        <w:tc>
          <w:tcPr>
            <w:tcW w:w="2440" w:type="dxa"/>
            <w:vAlign w:val="bottom"/>
            <w:tcBorders>
              <w:bottom w:val="single" w:sz="8" w:color="2C2C2C"/>
            </w:tcBorders>
            <w:gridSpan w:val="5"/>
          </w:tcPr>
          <w:p>
            <w:pPr>
              <w:spacing w:after="0"/>
              <w:rPr>
                <w:sz w:val="11"/>
                <w:szCs w:val="11"/>
                <w:color w:val="auto"/>
              </w:rPr>
            </w:pPr>
          </w:p>
        </w:tc>
        <w:tc>
          <w:tcPr>
            <w:tcW w:w="26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2"/>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20" w:type="dxa"/>
            <w:vAlign w:val="bottom"/>
            <w:tcBorders>
              <w:top w:val="single" w:sz="8" w:color="2C2C2C"/>
            </w:tcBorders>
          </w:tcPr>
          <w:p>
            <w:pPr>
              <w:spacing w:after="0"/>
              <w:rPr>
                <w:sz w:val="21"/>
                <w:szCs w:val="21"/>
                <w:color w:val="auto"/>
              </w:rPr>
            </w:pPr>
          </w:p>
        </w:tc>
        <w:tc>
          <w:tcPr>
            <w:tcW w:w="7760" w:type="dxa"/>
            <w:vAlign w:val="bottom"/>
            <w:tcBorders>
              <w:top w:val="single" w:sz="8" w:color="2C2C2C"/>
            </w:tcBorders>
            <w:gridSpan w:val="17"/>
          </w:tcPr>
          <w:p>
            <w:pPr>
              <w:ind w:left="6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4"/>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700" w:type="dxa"/>
            <w:vAlign w:val="bottom"/>
          </w:tcPr>
          <w:p>
            <w:pPr>
              <w:spacing w:after="0"/>
              <w:rPr>
                <w:sz w:val="15"/>
                <w:szCs w:val="15"/>
                <w:color w:val="auto"/>
              </w:rPr>
            </w:pPr>
          </w:p>
        </w:tc>
        <w:tc>
          <w:tcPr>
            <w:tcW w:w="1140" w:type="dxa"/>
            <w:vAlign w:val="bottom"/>
            <w:gridSpan w:val="3"/>
          </w:tcPr>
          <w:p>
            <w:pPr>
              <w:ind w:left="1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ind w:left="1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8"/>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4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20" w:type="dxa"/>
            <w:vAlign w:val="bottom"/>
          </w:tcPr>
          <w:p>
            <w:pPr>
              <w:spacing w:after="0"/>
              <w:rPr>
                <w:sz w:val="6"/>
                <w:szCs w:val="6"/>
                <w:color w:val="auto"/>
              </w:rPr>
            </w:pPr>
          </w:p>
        </w:tc>
        <w:tc>
          <w:tcPr>
            <w:tcW w:w="86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20" w:type="dxa"/>
            <w:vAlign w:val="bottom"/>
          </w:tcPr>
          <w:p>
            <w:pPr>
              <w:spacing w:after="0"/>
              <w:rPr>
                <w:sz w:val="3"/>
                <w:szCs w:val="3"/>
                <w:color w:val="auto"/>
              </w:rPr>
            </w:pPr>
          </w:p>
        </w:tc>
        <w:tc>
          <w:tcPr>
            <w:tcW w:w="8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4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20" w:type="dxa"/>
            <w:vAlign w:val="bottom"/>
          </w:tcPr>
          <w:p>
            <w:pPr>
              <w:spacing w:after="0"/>
              <w:rPr>
                <w:sz w:val="7"/>
                <w:szCs w:val="7"/>
                <w:color w:val="auto"/>
              </w:rPr>
            </w:pPr>
          </w:p>
        </w:tc>
        <w:tc>
          <w:tcPr>
            <w:tcW w:w="860" w:type="dxa"/>
            <w:vAlign w:val="bottom"/>
          </w:tcPr>
          <w:p>
            <w:pPr>
              <w:spacing w:after="0"/>
              <w:rPr>
                <w:sz w:val="7"/>
                <w:szCs w:val="7"/>
                <w:color w:val="auto"/>
              </w:rPr>
            </w:pPr>
          </w:p>
        </w:tc>
        <w:tc>
          <w:tcPr>
            <w:tcW w:w="7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20" w:type="dxa"/>
            <w:vAlign w:val="bottom"/>
          </w:tcPr>
          <w:p>
            <w:pPr>
              <w:spacing w:after="0"/>
              <w:rPr>
                <w:sz w:val="5"/>
                <w:szCs w:val="5"/>
                <w:color w:val="auto"/>
              </w:rPr>
            </w:pPr>
          </w:p>
        </w:tc>
        <w:tc>
          <w:tcPr>
            <w:tcW w:w="860" w:type="dxa"/>
            <w:vAlign w:val="bottom"/>
          </w:tcPr>
          <w:p>
            <w:pPr>
              <w:spacing w:after="0"/>
              <w:rPr>
                <w:sz w:val="5"/>
                <w:szCs w:val="5"/>
                <w:color w:val="auto"/>
              </w:rPr>
            </w:pPr>
          </w:p>
        </w:tc>
        <w:tc>
          <w:tcPr>
            <w:tcW w:w="70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3100" w:type="dxa"/>
            <w:vAlign w:val="bottom"/>
            <w:tcBorders>
              <w:bottom w:val="single" w:sz="8" w:color="2C2C2C"/>
            </w:tcBorders>
            <w:gridSpan w:val="5"/>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3100" w:type="dxa"/>
            <w:vAlign w:val="bottom"/>
            <w:gridSpan w:val="5"/>
          </w:tcPr>
          <w:p>
            <w:pPr>
              <w:ind w:left="60"/>
              <w:spacing w:after="0"/>
              <w:rPr>
                <w:sz w:val="20"/>
                <w:szCs w:val="20"/>
                <w:color w:val="auto"/>
              </w:rPr>
            </w:pPr>
            <w:r>
              <w:rPr>
                <w:rFonts w:ascii="Arial" w:cs="Arial" w:eastAsia="Arial" w:hAnsi="Arial"/>
                <w:sz w:val="17"/>
                <w:szCs w:val="17"/>
                <w:color w:val="0000FF"/>
                <w:w w:val="92"/>
              </w:rPr>
              <w:t>Class C Common Stock, par value $.01 per</w:t>
            </w:r>
          </w:p>
        </w:tc>
        <w:tc>
          <w:tcPr>
            <w:tcW w:w="1140" w:type="dxa"/>
            <w:vAlign w:val="bottom"/>
            <w:gridSpan w:val="3"/>
            <w:vMerge w:val="restart"/>
          </w:tcPr>
          <w:p>
            <w:pPr>
              <w:jc w:val="right"/>
              <w:ind w:right="58"/>
              <w:spacing w:after="0"/>
              <w:rPr>
                <w:sz w:val="20"/>
                <w:szCs w:val="20"/>
                <w:color w:val="auto"/>
              </w:rPr>
            </w:pPr>
            <w:r>
              <w:rPr>
                <w:rFonts w:ascii="Arial" w:cs="Arial" w:eastAsia="Arial" w:hAnsi="Arial"/>
                <w:sz w:val="17"/>
                <w:szCs w:val="17"/>
                <w:color w:val="0000FF"/>
              </w:rPr>
              <w:t>03/01/2023</w:t>
            </w:r>
          </w:p>
        </w:tc>
        <w:tc>
          <w:tcPr>
            <w:tcW w:w="4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6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700" w:type="dxa"/>
            <w:vAlign w:val="bottom"/>
            <w:vMerge w:val="restart"/>
          </w:tcPr>
          <w:p>
            <w:pPr>
              <w:ind w:left="300"/>
              <w:spacing w:after="0"/>
              <w:rPr>
                <w:sz w:val="20"/>
                <w:szCs w:val="20"/>
                <w:color w:val="auto"/>
              </w:rPr>
            </w:pPr>
            <w:r>
              <w:rPr>
                <w:rFonts w:ascii="Arial" w:cs="Arial" w:eastAsia="Arial" w:hAnsi="Arial"/>
                <w:sz w:val="17"/>
                <w:szCs w:val="17"/>
                <w:color w:val="0000FF"/>
              </w:rPr>
              <w:t>512</w:t>
            </w:r>
          </w:p>
        </w:tc>
        <w:tc>
          <w:tcPr>
            <w:tcW w:w="460" w:type="dxa"/>
            <w:vAlign w:val="bottom"/>
            <w:vMerge w:val="restart"/>
          </w:tcPr>
          <w:p>
            <w:pPr>
              <w:ind w:left="320"/>
              <w:spacing w:after="0"/>
              <w:rPr>
                <w:sz w:val="20"/>
                <w:szCs w:val="20"/>
                <w:color w:val="auto"/>
              </w:rPr>
            </w:pPr>
            <w:r>
              <w:rPr>
                <w:rFonts w:ascii="Arial" w:cs="Arial" w:eastAsia="Arial" w:hAnsi="Arial"/>
                <w:sz w:val="17"/>
                <w:szCs w:val="17"/>
                <w:color w:val="0000FF"/>
              </w:rPr>
              <w:t>A</w:t>
            </w:r>
          </w:p>
        </w:tc>
        <w:tc>
          <w:tcPr>
            <w:tcW w:w="240" w:type="dxa"/>
            <w:vAlign w:val="bottom"/>
          </w:tcPr>
          <w:p>
            <w:pPr>
              <w:spacing w:after="0"/>
              <w:rPr>
                <w:sz w:val="22"/>
                <w:szCs w:val="22"/>
                <w:color w:val="auto"/>
              </w:rPr>
            </w:pPr>
          </w:p>
        </w:tc>
        <w:tc>
          <w:tcPr>
            <w:tcW w:w="360" w:type="dxa"/>
            <w:vAlign w:val="bottom"/>
            <w:gridSpan w:val="2"/>
            <w:vMerge w:val="restart"/>
          </w:tcPr>
          <w:p>
            <w:pPr>
              <w:ind w:left="180"/>
              <w:spacing w:after="0"/>
              <w:rPr>
                <w:sz w:val="20"/>
                <w:szCs w:val="20"/>
                <w:color w:val="auto"/>
              </w:rPr>
            </w:pPr>
            <w:r>
              <w:rPr>
                <w:rFonts w:ascii="Arial" w:cs="Arial" w:eastAsia="Arial" w:hAnsi="Arial"/>
                <w:sz w:val="11"/>
                <w:szCs w:val="11"/>
                <w:color w:val="008000"/>
              </w:rPr>
              <w:t>(1)</w:t>
            </w:r>
          </w:p>
        </w:tc>
        <w:tc>
          <w:tcPr>
            <w:tcW w:w="1380" w:type="dxa"/>
            <w:vAlign w:val="bottom"/>
            <w:gridSpan w:val="3"/>
            <w:vMerge w:val="restart"/>
          </w:tcPr>
          <w:p>
            <w:pPr>
              <w:ind w:left="460"/>
              <w:spacing w:after="0"/>
              <w:rPr>
                <w:sz w:val="20"/>
                <w:szCs w:val="20"/>
                <w:color w:val="auto"/>
              </w:rPr>
            </w:pPr>
            <w:r>
              <w:rPr>
                <w:rFonts w:ascii="Arial" w:cs="Arial" w:eastAsia="Arial" w:hAnsi="Arial"/>
                <w:sz w:val="17"/>
                <w:szCs w:val="17"/>
                <w:color w:val="0000FF"/>
              </w:rPr>
              <w:t>57,448</w:t>
            </w:r>
            <w:r>
              <w:rPr>
                <w:rFonts w:ascii="Arial" w:cs="Arial" w:eastAsia="Arial" w:hAnsi="Arial"/>
                <w:sz w:val="22"/>
                <w:szCs w:val="22"/>
                <w:color w:val="008000"/>
                <w:vertAlign w:val="superscript"/>
              </w:rPr>
              <w:t>(2)</w:t>
            </w:r>
          </w:p>
        </w:tc>
        <w:tc>
          <w:tcPr>
            <w:tcW w:w="940" w:type="dxa"/>
            <w:vAlign w:val="bottom"/>
            <w:vMerge w:val="restart"/>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7"/>
                <w:szCs w:val="17"/>
                <w:color w:val="0000FF"/>
              </w:rPr>
              <w:t>share</w:t>
            </w:r>
          </w:p>
        </w:tc>
        <w:tc>
          <w:tcPr>
            <w:tcW w:w="8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140" w:type="dxa"/>
            <w:vAlign w:val="bottom"/>
            <w:gridSpan w:val="3"/>
            <w:vMerge w:val="continue"/>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vMerge w:val="continue"/>
          </w:tcPr>
          <w:p>
            <w:pPr>
              <w:spacing w:after="0"/>
              <w:rPr>
                <w:sz w:val="14"/>
                <w:szCs w:val="14"/>
                <w:color w:val="auto"/>
              </w:rPr>
            </w:pPr>
          </w:p>
        </w:tc>
        <w:tc>
          <w:tcPr>
            <w:tcW w:w="700" w:type="dxa"/>
            <w:vAlign w:val="bottom"/>
            <w:vMerge w:val="continue"/>
          </w:tcPr>
          <w:p>
            <w:pPr>
              <w:spacing w:after="0"/>
              <w:rPr>
                <w:sz w:val="14"/>
                <w:szCs w:val="14"/>
                <w:color w:val="auto"/>
              </w:rPr>
            </w:pPr>
          </w:p>
        </w:tc>
        <w:tc>
          <w:tcPr>
            <w:tcW w:w="46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360" w:type="dxa"/>
            <w:vAlign w:val="bottom"/>
            <w:gridSpan w:val="2"/>
            <w:vMerge w:val="continue"/>
          </w:tcPr>
          <w:p>
            <w:pPr>
              <w:spacing w:after="0"/>
              <w:rPr>
                <w:sz w:val="14"/>
                <w:szCs w:val="14"/>
                <w:color w:val="auto"/>
              </w:rPr>
            </w:pPr>
          </w:p>
        </w:tc>
        <w:tc>
          <w:tcPr>
            <w:tcW w:w="1380" w:type="dxa"/>
            <w:vAlign w:val="bottom"/>
            <w:gridSpan w:val="3"/>
            <w:vMerge w:val="continue"/>
          </w:tcPr>
          <w:p>
            <w:pPr>
              <w:spacing w:after="0"/>
              <w:rPr>
                <w:sz w:val="14"/>
                <w:szCs w:val="14"/>
                <w:color w:val="auto"/>
              </w:rPr>
            </w:pPr>
          </w:p>
        </w:tc>
        <w:tc>
          <w:tcPr>
            <w:tcW w:w="940" w:type="dxa"/>
            <w:vAlign w:val="bottom"/>
            <w:vMerge w:val="continue"/>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820" w:type="dxa"/>
            <w:vAlign w:val="bottom"/>
          </w:tcPr>
          <w:p>
            <w:pPr>
              <w:spacing w:after="0"/>
              <w:rPr>
                <w:sz w:val="4"/>
                <w:szCs w:val="4"/>
                <w:color w:val="auto"/>
              </w:rPr>
            </w:pPr>
          </w:p>
        </w:tc>
        <w:tc>
          <w:tcPr>
            <w:tcW w:w="8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48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8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1360" w:type="dxa"/>
            <w:vAlign w:val="bottom"/>
            <w:tcBorders>
              <w:bottom w:val="single" w:sz="8" w:color="2C2C2C"/>
            </w:tcBorders>
            <w:gridSpan w:val="3"/>
          </w:tcPr>
          <w:p>
            <w:pPr>
              <w:spacing w:after="0"/>
              <w:rPr>
                <w:sz w:val="8"/>
                <w:szCs w:val="8"/>
                <w:color w:val="auto"/>
              </w:rPr>
            </w:pPr>
          </w:p>
        </w:tc>
        <w:tc>
          <w:tcPr>
            <w:tcW w:w="1640" w:type="dxa"/>
            <w:vAlign w:val="bottom"/>
            <w:tcBorders>
              <w:bottom w:val="single" w:sz="8" w:color="2C2C2C"/>
            </w:tcBorders>
            <w:gridSpan w:val="4"/>
          </w:tcPr>
          <w:p>
            <w:pPr>
              <w:spacing w:after="0"/>
              <w:rPr>
                <w:sz w:val="8"/>
                <w:szCs w:val="8"/>
                <w:color w:val="auto"/>
              </w:rPr>
            </w:pPr>
          </w:p>
        </w:tc>
        <w:tc>
          <w:tcPr>
            <w:tcW w:w="2440" w:type="dxa"/>
            <w:vAlign w:val="bottom"/>
            <w:tcBorders>
              <w:bottom w:val="single" w:sz="8" w:color="2C2C2C"/>
            </w:tcBorders>
            <w:gridSpan w:val="5"/>
          </w:tcPr>
          <w:p>
            <w:pPr>
              <w:spacing w:after="0"/>
              <w:rPr>
                <w:sz w:val="8"/>
                <w:szCs w:val="8"/>
                <w:color w:val="auto"/>
              </w:rPr>
            </w:pPr>
          </w:p>
        </w:tc>
        <w:tc>
          <w:tcPr>
            <w:tcW w:w="260" w:type="dxa"/>
            <w:vAlign w:val="bottom"/>
            <w:tcBorders>
              <w:bottom w:val="single" w:sz="8" w:color="2C2C2C"/>
            </w:tcBorders>
            <w:gridSpan w:val="2"/>
          </w:tcPr>
          <w:p>
            <w:pPr>
              <w:spacing w:after="0"/>
              <w:rPr>
                <w:sz w:val="8"/>
                <w:szCs w:val="8"/>
                <w:color w:val="auto"/>
              </w:rPr>
            </w:pPr>
          </w:p>
        </w:tc>
        <w:tc>
          <w:tcPr>
            <w:tcW w:w="1200" w:type="dxa"/>
            <w:vAlign w:val="bottom"/>
            <w:tcBorders>
              <w:bottom w:val="single" w:sz="8" w:color="2C2C2C"/>
            </w:tcBorders>
            <w:gridSpan w:val="2"/>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6"/>
          </w:tcPr>
          <w:p>
            <w:pPr>
              <w:jc w:val="center"/>
              <w:ind w:right="6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820" w:type="dxa"/>
            <w:vAlign w:val="bottom"/>
            <w:gridSpan w:val="12"/>
          </w:tcPr>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3"/>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60" w:type="dxa"/>
            <w:vAlign w:val="bottom"/>
          </w:tcPr>
          <w:p>
            <w:pPr>
              <w:ind w:left="4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gridSpan w:val="2"/>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5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  if any</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60" w:type="dxa"/>
            <w:vAlign w:val="bottom"/>
          </w:tcPr>
          <w:p>
            <w:pPr>
              <w:spacing w:after="0"/>
              <w:rPr>
                <w:sz w:val="11"/>
                <w:szCs w:val="11"/>
                <w:color w:val="auto"/>
              </w:rPr>
            </w:pP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20" w:type="dxa"/>
            <w:vAlign w:val="bottom"/>
          </w:tcPr>
          <w:p>
            <w:pPr>
              <w:spacing w:after="0"/>
              <w:rPr>
                <w:sz w:val="4"/>
                <w:szCs w:val="4"/>
                <w:color w:val="auto"/>
              </w:rPr>
            </w:pPr>
          </w:p>
        </w:tc>
        <w:tc>
          <w:tcPr>
            <w:tcW w:w="8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24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Represents dividend equivalent rights accrued on the Reporting Person's Restricted Stock Units ("RSUs") and Relative Performance Stock Units ("RPSUs"), which become exercisable proportionately with the RSUs and RPSUs to which they relate and may only be settled in Class C Common Stock of Clearway Energy, Inc. as determined by the RSU or RPSU to which they relate.</w:t>
      </w: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Includes 3,436 dividend equivalent rights that may only be settled in Class C Common Stock.</w:t>
      </w:r>
    </w:p>
    <w:p>
      <w:pPr>
        <w:spacing w:after="0" w:line="6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Kevin P. Malcarney</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03/03/2023</w:t>
            </w:r>
          </w:p>
        </w:tc>
      </w:tr>
      <w:tr>
        <w:trPr>
          <w:trHeight w:val="20"/>
        </w:trPr>
        <w:tc>
          <w:tcPr>
            <w:tcW w:w="158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38590" TargetMode="External"/><Relationship Id="rId13" Type="http://schemas.openxmlformats.org/officeDocument/2006/relationships/hyperlink" Target="http://www.sec.gov/cgi-bin/browse-edgar?action=getcompany&amp;CIK=00015676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2023-03-03T15:52:03Z</dcterms:created>
  <dcterms:modified xsi:type="dcterms:W3CDTF">2023-03-03T15:52:03Z</dcterms:modified>
</cp:coreProperties>
</file>