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80" w:hanging="358"/>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30" w:lineRule="exact"/>
        <w:rPr>
          <w:sz w:val="24"/>
          <w:szCs w:val="24"/>
          <w:color w:val="auto"/>
        </w:rPr>
      </w:pPr>
    </w:p>
    <w:p>
      <w:pPr>
        <w:ind w:left="540" w:hanging="33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Clearway Energy, Inc.</w:t>
      </w:r>
    </w:p>
    <w:p>
      <w:pPr>
        <w:spacing w:after="0" w:line="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2720" w:type="dxa"/>
            <w:vAlign w:val="bottom"/>
          </w:tcPr>
          <w:p>
            <w:pPr>
              <w:spacing w:after="0"/>
              <w:rPr>
                <w:sz w:val="15"/>
                <w:szCs w:val="15"/>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00" w:type="dxa"/>
            <w:vAlign w:val="bottom"/>
          </w:tcPr>
          <w:p>
            <w:pPr>
              <w:spacing w:after="0"/>
              <w:rPr>
                <w:sz w:val="15"/>
                <w:szCs w:val="15"/>
                <w:color w:val="auto"/>
              </w:rPr>
            </w:pPr>
          </w:p>
        </w:tc>
      </w:tr>
      <w:tr>
        <w:trPr>
          <w:trHeight w:val="182"/>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3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90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46-1777204</w:t>
            </w:r>
          </w:p>
        </w:tc>
      </w:tr>
      <w:tr>
        <w:trPr>
          <w:trHeight w:val="149"/>
        </w:trPr>
        <w:tc>
          <w:tcPr>
            <w:tcW w:w="2720" w:type="dxa"/>
            <w:vAlign w:val="bottom"/>
          </w:tcPr>
          <w:p>
            <w:pPr>
              <w:jc w:val="center"/>
              <w:ind w:right="769"/>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90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13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219"/>
        </w:trPr>
        <w:tc>
          <w:tcPr>
            <w:tcW w:w="272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25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2900" w:type="dxa"/>
            <w:vAlign w:val="bottom"/>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08540</w:t>
            </w:r>
          </w:p>
        </w:tc>
      </w:tr>
      <w:tr>
        <w:trPr>
          <w:trHeight w:val="184"/>
        </w:trPr>
        <w:tc>
          <w:tcPr>
            <w:tcW w:w="404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80" w:type="dxa"/>
            <w:vAlign w:val="bottom"/>
          </w:tcPr>
          <w:p>
            <w:pPr>
              <w:spacing w:after="0"/>
              <w:rPr>
                <w:sz w:val="16"/>
                <w:szCs w:val="16"/>
                <w:color w:val="auto"/>
              </w:rPr>
            </w:pPr>
          </w:p>
        </w:tc>
        <w:tc>
          <w:tcPr>
            <w:tcW w:w="29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(Zip Code)</w:t>
            </w:r>
          </w:p>
        </w:tc>
      </w:tr>
      <w:tr>
        <w:trPr>
          <w:trHeight w:val="400"/>
        </w:trPr>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(609) 608-1525</w:t>
            </w:r>
          </w:p>
        </w:tc>
        <w:tc>
          <w:tcPr>
            <w:tcW w:w="2900" w:type="dxa"/>
            <w:vAlign w:val="bottom"/>
          </w:tcPr>
          <w:p>
            <w:pPr>
              <w:spacing w:after="0"/>
              <w:rPr>
                <w:sz w:val="24"/>
                <w:szCs w:val="24"/>
                <w:color w:val="auto"/>
              </w:rPr>
            </w:pPr>
          </w:p>
        </w:tc>
      </w:tr>
      <w:tr>
        <w:trPr>
          <w:trHeight w:val="184"/>
        </w:trPr>
        <w:tc>
          <w:tcPr>
            <w:tcW w:w="2720" w:type="dxa"/>
            <w:vAlign w:val="bottom"/>
          </w:tcPr>
          <w:p>
            <w:pPr>
              <w:spacing w:after="0"/>
              <w:rPr>
                <w:sz w:val="16"/>
                <w:szCs w:val="16"/>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00" w:type="dxa"/>
            <w:vAlign w:val="bottom"/>
          </w:tcPr>
          <w:p>
            <w:pPr>
              <w:spacing w:after="0"/>
              <w:rPr>
                <w:sz w:val="16"/>
                <w:szCs w:val="16"/>
                <w:color w:val="auto"/>
              </w:rPr>
            </w:pPr>
          </w:p>
        </w:tc>
      </w:tr>
      <w:tr>
        <w:trPr>
          <w:trHeight w:val="255"/>
        </w:trPr>
        <w:tc>
          <w:tcPr>
            <w:tcW w:w="2720" w:type="dxa"/>
            <w:vAlign w:val="bottom"/>
          </w:tcPr>
          <w:p>
            <w:pPr>
              <w:spacing w:after="0"/>
              <w:rPr>
                <w:sz w:val="22"/>
                <w:szCs w:val="22"/>
                <w:color w:val="auto"/>
              </w:rPr>
            </w:pPr>
          </w:p>
        </w:tc>
        <w:tc>
          <w:tcPr>
            <w:tcW w:w="39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00" w:type="dxa"/>
            <w:vAlign w:val="bottom"/>
          </w:tcPr>
          <w:p>
            <w:pPr>
              <w:spacing w:after="0"/>
              <w:rPr>
                <w:sz w:val="22"/>
                <w:szCs w:val="22"/>
                <w:color w:val="auto"/>
              </w:rPr>
            </w:pPr>
          </w:p>
        </w:tc>
      </w:tr>
      <w:tr>
        <w:trPr>
          <w:trHeight w:val="198"/>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20" w:type="dxa"/>
            <w:vAlign w:val="bottom"/>
          </w:tcPr>
          <w:p>
            <w:pPr>
              <w:spacing w:after="0"/>
              <w:rPr>
                <w:sz w:val="17"/>
                <w:szCs w:val="17"/>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9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320" w:type="dxa"/>
            <w:vAlign w:val="bottom"/>
          </w:tcPr>
          <w:p>
            <w:pPr>
              <w:spacing w:after="0"/>
              <w:rPr>
                <w:sz w:val="15"/>
                <w:szCs w:val="15"/>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CWEN.A</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84"/>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320" w:type="dxa"/>
            <w:vAlign w:val="bottom"/>
          </w:tcPr>
          <w:p>
            <w:pPr>
              <w:spacing w:after="0"/>
              <w:rPr>
                <w:sz w:val="16"/>
                <w:szCs w:val="16"/>
                <w:color w:val="auto"/>
              </w:rPr>
            </w:pPr>
          </w:p>
        </w:tc>
        <w:tc>
          <w:tcPr>
            <w:tcW w:w="25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CWEN</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38"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6" w:lineRule="exact"/>
        <w:rPr>
          <w:sz w:val="24"/>
          <w:szCs w:val="24"/>
          <w:color w:val="auto"/>
        </w:rPr>
      </w:pPr>
    </w:p>
    <w:p>
      <w:pPr>
        <w:jc w:val="center"/>
        <w:ind w:right="-19"/>
        <w:spacing w:after="0" w:line="150" w:lineRule="exact"/>
        <w:tabs>
          <w:tab w:leader="none" w:pos="20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83"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6" w:lineRule="exact"/>
        <w:rPr>
          <w:sz w:val="24"/>
          <w:szCs w:val="24"/>
          <w:color w:val="auto"/>
        </w:rPr>
      </w:pPr>
    </w:p>
    <w:p>
      <w:pPr>
        <w:jc w:val="center"/>
        <w:ind w:right="-19"/>
        <w:spacing w:after="0" w:line="150" w:lineRule="exact"/>
        <w:tabs>
          <w:tab w:leader="none" w:pos="18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jc w:val="center"/>
        <w:ind w:right="-219"/>
        <w:spacing w:after="0" w:line="22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w:t>
      </w:r>
    </w:p>
    <w:tbl>
      <w:tblPr>
        <w:tblLayout w:type="fixed"/>
        <w:tblInd w:w="0" w:type="dxa"/>
        <w:tblCellMar>
          <w:top w:w="0" w:type="dxa"/>
          <w:left w:w="0" w:type="dxa"/>
          <w:bottom w:w="0" w:type="dxa"/>
          <w:right w:w="0" w:type="dxa"/>
        </w:tblCellMar>
      </w:tblPr>
      <w:tr>
        <w:trPr>
          <w:trHeight w:val="131"/>
        </w:trPr>
        <w:tc>
          <w:tcPr>
            <w:tcW w:w="806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color w:val="auto"/>
              </w:rPr>
              <w:t>accelerated filer,” “accelerated filer,” “smaller reporting company,” and "emerging growth company" in Rule 12b-2 of the Exchange Act.</w:t>
            </w:r>
          </w:p>
        </w:tc>
        <w:tc>
          <w:tcPr>
            <w:tcW w:w="1080" w:type="dxa"/>
            <w:vAlign w:val="bottom"/>
          </w:tcPr>
          <w:p>
            <w:pPr>
              <w:spacing w:after="0"/>
              <w:rPr>
                <w:sz w:val="11"/>
                <w:szCs w:val="11"/>
                <w:color w:val="auto"/>
              </w:rPr>
            </w:pPr>
          </w:p>
        </w:tc>
      </w:tr>
      <w:tr>
        <w:trPr>
          <w:trHeight w:val="202"/>
        </w:trPr>
        <w:tc>
          <w:tcPr>
            <w:tcW w:w="3320" w:type="dxa"/>
            <w:vAlign w:val="bottom"/>
          </w:tcPr>
          <w:p>
            <w:pPr>
              <w:jc w:val="center"/>
              <w:ind w:left="272"/>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332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rPr>
              <w:t>Non-accelerated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9" w:lineRule="exact"/>
        <w:rPr>
          <w:sz w:val="24"/>
          <w:szCs w:val="24"/>
          <w:color w:val="auto"/>
        </w:rPr>
      </w:pPr>
    </w:p>
    <w:p>
      <w:pPr>
        <w:ind w:firstLine="255"/>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 w:lineRule="exact"/>
        <w:rPr>
          <w:sz w:val="24"/>
          <w:szCs w:val="24"/>
          <w:color w:val="auto"/>
        </w:rPr>
      </w:pPr>
    </w:p>
    <w:p>
      <w:pPr>
        <w:jc w:val="right"/>
        <w:ind w:left="220" w:right="5200"/>
        <w:spacing w:after="0" w:line="20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firstLine="223"/>
        <w:spacing w:after="0" w:line="227" w:lineRule="auto"/>
        <w:rPr>
          <w:sz w:val="20"/>
          <w:szCs w:val="20"/>
          <w:color w:val="auto"/>
        </w:rPr>
      </w:pPr>
      <w:r>
        <w:rPr>
          <w:rFonts w:ascii="Times New Roman" w:cs="Times New Roman" w:eastAsia="Times New Roman" w:hAnsi="Times New Roman"/>
          <w:sz w:val="13"/>
          <w:szCs w:val="13"/>
          <w:color w:val="auto"/>
        </w:rPr>
        <w:t>As of April 29, 2022, there were 34,599,645 shares of Class A common stock outstanding, par value $0.01 per share, 42,738,750 shares of Class B common stock outstanding, par value $0.01 per share, 81,944,239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744855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144780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124460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w w:val="99"/>
              </w:rPr>
              <w:t>CAUTIONARY STATEMENT REGARDING FORWARD LOOKING INFORMATION</w:t>
            </w:r>
          </w:p>
        </w:tc>
        <w:tc>
          <w:tcPr>
            <w:tcW w:w="2460" w:type="dxa"/>
            <w:vAlign w:val="bottom"/>
            <w:gridSpan w:val="3"/>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3</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2460" w:type="dxa"/>
            <w:vAlign w:val="bottom"/>
            <w:gridSpan w:val="3"/>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5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w w:val="99"/>
              </w:rPr>
              <w:t>PART I — FINANCIAL INFORMATION</w:t>
            </w:r>
          </w:p>
        </w:tc>
        <w:tc>
          <w:tcPr>
            <w:tcW w:w="5260" w:type="dxa"/>
            <w:vAlign w:val="bottom"/>
            <w:gridSpan w:val="7"/>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 — FINANCIAL STATEMENTS AND NOTES</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32</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3 — QUANTITATIVE AND QUALITATIVE DISCLOSURES ABOUT MARKET RISK</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46</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1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47</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5500" w:type="dxa"/>
            <w:vAlign w:val="bottom"/>
            <w:gridSpan w:val="8"/>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1A — RISK FACTORS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48</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2220" w:type="dxa"/>
            <w:vAlign w:val="bottom"/>
            <w:gridSpan w:val="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0000FF"/>
                <w:w w:val="98"/>
              </w:rPr>
              <w:t>ITEM 3</w:t>
            </w:r>
          </w:p>
        </w:tc>
        <w:tc>
          <w:tcPr>
            <w:tcW w:w="720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FF"/>
              </w:rPr>
              <w:t>— DEFAULTS UPON SENIOR SECURITIES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4</w:t>
            </w:r>
          </w:p>
        </w:tc>
        <w:tc>
          <w:tcPr>
            <w:tcW w:w="272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480" w:type="dxa"/>
            <w:vAlign w:val="bottom"/>
            <w:gridSpan w:val="4"/>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5</w:t>
            </w:r>
          </w:p>
        </w:tc>
        <w:tc>
          <w:tcPr>
            <w:tcW w:w="212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4"/>
                <w:szCs w:val="14"/>
                <w:color w:val="0000FF"/>
              </w:rPr>
              <w:t>— OTHER INFORMATION</w:t>
            </w:r>
          </w:p>
        </w:tc>
        <w:tc>
          <w:tcPr>
            <w:tcW w:w="5080" w:type="dxa"/>
            <w:vAlign w:val="bottom"/>
            <w:gridSpan w:val="6"/>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6</w:t>
            </w:r>
          </w:p>
        </w:tc>
        <w:tc>
          <w:tcPr>
            <w:tcW w:w="16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4"/>
                <w:szCs w:val="14"/>
                <w:color w:val="0000FF"/>
              </w:rPr>
              <w:t>— EXHIBITS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49</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6360" w:type="dxa"/>
            <w:vAlign w:val="bottom"/>
            <w:gridSpan w:val="1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50</w:t>
            </w:r>
          </w:p>
        </w:tc>
        <w:tc>
          <w:tcPr>
            <w:tcW w:w="40" w:type="dxa"/>
            <w:vAlign w:val="bottom"/>
          </w:tcPr>
          <w:p>
            <w:pPr>
              <w:spacing w:after="0"/>
              <w:rPr>
                <w:sz w:val="13"/>
                <w:szCs w:val="13"/>
                <w:color w:val="auto"/>
              </w:rPr>
            </w:pPr>
          </w:p>
        </w:tc>
      </w:tr>
      <w:tr>
        <w:trPr>
          <w:trHeight w:val="76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58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2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2021, as well as the following:</w:t>
      </w:r>
    </w:p>
    <w:p>
      <w:pPr>
        <w:spacing w:after="0" w:line="1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COVID-19 (including any variant of the virus) or any other pandemic;</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GIP and CEG;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GIP or CEG;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raise additional capital due to its indebtedness, corporate structure, market conditions or otherwise;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 as current offtake agreements expire;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GLOSSARY OF TERMS</w:t>
            </w:r>
          </w:p>
        </w:tc>
        <w:tc>
          <w:tcPr>
            <w:tcW w:w="0" w:type="dxa"/>
            <w:vAlign w:val="bottom"/>
          </w:tcPr>
          <w:p>
            <w:pPr>
              <w:spacing w:after="0"/>
              <w:rPr>
                <w:sz w:val="1"/>
                <w:szCs w:val="1"/>
                <w:color w:val="auto"/>
              </w:rPr>
            </w:pP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2025 Senior Notes</w:t>
            </w:r>
          </w:p>
        </w:tc>
        <w:tc>
          <w:tcPr>
            <w:tcW w:w="888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$600 million aggregate principal amount of 5.750% unsecured senior notes due 2025, issued by Clearway Energy Operating LLC, which were</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repurchased and redeemed in March 2021</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$850 million aggregate principal amount of 4.750% unsecured senior notes due 2028,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$925 million aggregate principal amount of 3.750% unsecured senior notes due 2031,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 million aggregate principal amount of 3.750% unsecured senior notes due 2032, issued by Clearway Energy Operating LLC</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performance</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ASC</w:t>
            </w:r>
          </w:p>
        </w:tc>
        <w:tc>
          <w:tcPr>
            <w:tcW w:w="88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authoritative GAAP</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At-The-Market Equity Offering Programs</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Bridge Loan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Senior secured bridge credit agreement entered into by Clearway Energy Operating LLC that provided a term loan facility in an aggregate principal</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 of $335 million and was repaid on May 3, 2022</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March 31, 2022 as Adjusted EBITDA plus cash distributions/return of</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distributions from noncontrolling interests, adjustments to</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Master Services Agreements entered into as of August 31, 2018 between the Company, Clearway Energy LLC and Clearway Energy Operating</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LLC, and CEG</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holding company through which the projects are owned by Clearway Energy Group LLC, the holder of Class B and Class D units, and</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the holder of the Class A and Class C units</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holder of all of the Company's Class B and Class D common shares and Clearway Energy LLC’s Class B and Class D units and from time to</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time, possibly shares of the Company’s Class A and/or Class C common stock</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holder of the project assets that are owned by Clearway Energy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California Valley Solar Ranch</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less than 20 MW in size (on an alternating current, or AC, basis), that primarily sell power produced to customers</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GenConn Energy LLC</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8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Global Infrastructure Partners</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8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KKR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KKR Thor Bidco, LLC, an affiliate of Kohlberg Kravis Roberts &amp; Co. L.P.</w:t>
            </w:r>
          </w:p>
        </w:tc>
        <w:tc>
          <w:tcPr>
            <w:tcW w:w="0" w:type="dxa"/>
            <w:vAlign w:val="bottom"/>
          </w:tcPr>
          <w:p>
            <w:pPr>
              <w:spacing w:after="0"/>
              <w:rPr>
                <w:sz w:val="1"/>
                <w:szCs w:val="1"/>
                <w:color w:val="auto"/>
              </w:rPr>
            </w:pPr>
          </w:p>
        </w:tc>
      </w:tr>
      <w:tr>
        <w:trPr>
          <w:trHeight w:val="488"/>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231F20"/>
              </w:rPr>
              <w:t>4</w:t>
            </w:r>
          </w:p>
        </w:tc>
        <w:tc>
          <w:tcPr>
            <w:tcW w:w="0" w:type="dxa"/>
            <w:vAlign w:val="bottom"/>
          </w:tcPr>
          <w:p>
            <w:pPr>
              <w:spacing w:after="0"/>
              <w:rPr>
                <w:sz w:val="1"/>
                <w:szCs w:val="1"/>
                <w:color w:val="auto"/>
              </w:rPr>
            </w:pPr>
          </w:p>
        </w:tc>
      </w:tr>
      <w:tr>
        <w:trPr>
          <w:trHeight w:val="278"/>
        </w:trPr>
        <w:tc>
          <w:tcPr>
            <w:tcW w:w="24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Megawatts Thermal Equivalent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OCL</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 comprehensive loss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Act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Tax Cuts and Jobs Act of 2017</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Thermal Business</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The Company's thermal business, which consists of thermal infrastructure assets that provide steam, hot water and/or chilled water, and in some</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instances electricity, to commercial businesses, universities, hospitals and governmental units</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Thermal Disposition</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On May 1, 2022, the Company completed the sale of 100% of its interests in the Thermal Business to KKR</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Value at Risk</w:t>
            </w:r>
          </w:p>
        </w:tc>
      </w:tr>
      <w:tr>
        <w:trPr>
          <w:trHeight w:val="18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679"/>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231F20"/>
              </w:rPr>
              <w:t>5</w:t>
            </w:r>
          </w:p>
        </w:tc>
      </w:tr>
      <w:tr>
        <w:trPr>
          <w:trHeight w:val="278"/>
        </w:trPr>
        <w:tc>
          <w:tcPr>
            <w:tcW w:w="204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0"/>
        </w:trPr>
        <w:tc>
          <w:tcPr>
            <w:tcW w:w="8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8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6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costs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7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Loss attributable to noncontrolling interests and redeemable interests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Income Attributable to Clearway Energy, Inc.</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8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(Losses) Earnings Per Share Attributable to Clearway Energy, Inc. Class A and Class C Common Stockholders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 and diluted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59"/>
        </w:trPr>
        <w:tc>
          <w:tcPr>
            <w:tcW w:w="830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(Losses) Earnings per Weighted Average Class A and Class C Common Share - Basic and Diluted</w:t>
            </w:r>
          </w:p>
        </w:tc>
        <w:tc>
          <w:tcPr>
            <w:tcW w:w="340" w:type="dxa"/>
            <w:vAlign w:val="bottom"/>
            <w:tcBorders>
              <w:bottom w:val="single" w:sz="8" w:color="auto"/>
            </w:tcBorders>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6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0.03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0.3240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30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0.3468</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0.3240</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 INCOME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3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830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BFE4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BFE4FF"/>
          </w:tcPr>
          <w:p>
            <w:pPr>
              <w:jc w:val="center"/>
              <w:ind w:left="733"/>
              <w:spacing w:after="0"/>
              <w:rPr>
                <w:sz w:val="20"/>
                <w:szCs w:val="20"/>
                <w:color w:val="auto"/>
              </w:rPr>
            </w:pPr>
            <w:r>
              <w:rPr>
                <w:rFonts w:ascii="Times New Roman" w:cs="Times New Roman" w:eastAsia="Times New Roman" w:hAnsi="Times New Roman"/>
                <w:sz w:val="14"/>
                <w:szCs w:val="14"/>
                <w:color w:val="auto"/>
                <w:w w:val="94"/>
              </w:rPr>
              <w:t>(97)</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30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4"/>
                <w:szCs w:val="14"/>
                <w:color w:val="auto"/>
              </w:rPr>
              <w:t>Unrealized gain on derivatives, net of income tax expense of, $2 and $2</w:t>
            </w: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center"/>
              <w:ind w:left="773"/>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830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Borders>
              <w:bottom w:val="single" w:sz="8" w:color="BFE4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830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jc w:val="center"/>
              <w:ind w:left="733"/>
              <w:spacing w:after="0"/>
              <w:rPr>
                <w:sz w:val="20"/>
                <w:szCs w:val="20"/>
                <w:color w:val="auto"/>
              </w:rPr>
            </w:pPr>
            <w:r>
              <w:rPr>
                <w:rFonts w:ascii="Times New Roman" w:cs="Times New Roman" w:eastAsia="Times New Roman" w:hAnsi="Times New Roman"/>
                <w:sz w:val="14"/>
                <w:szCs w:val="14"/>
                <w:color w:val="auto"/>
                <w:w w:val="94"/>
              </w:rPr>
              <w:t>(83)</w:t>
            </w:r>
          </w:p>
        </w:tc>
        <w:tc>
          <w:tcPr>
            <w:tcW w:w="100" w:type="dxa"/>
            <w:vAlign w:val="bottom"/>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830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interests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w w:val="94"/>
              </w:rPr>
              <w:t>(57)</w:t>
            </w: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6"/>
        </w:trPr>
        <w:tc>
          <w:tcPr>
            <w:tcW w:w="83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4"/>
                <w:szCs w:val="14"/>
                <w:b w:val="1"/>
                <w:bCs w:val="1"/>
                <w:color w:val="auto"/>
              </w:rPr>
              <w:t>Comprehensive (Loss) Income Attributable to Clearway Energy, Inc.</w:t>
            </w:r>
          </w:p>
        </w:tc>
        <w:tc>
          <w:tcPr>
            <w:tcW w:w="340" w:type="dxa"/>
            <w:vAlign w:val="bottom"/>
            <w:tcBorders>
              <w:bottom w:val="single" w:sz="8" w:color="auto"/>
            </w:tcBorders>
            <w:shd w:val="clear" w:color="auto" w:fill="BFE4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BFE4FF"/>
          </w:tcPr>
          <w:p>
            <w:pPr>
              <w:jc w:val="center"/>
              <w:ind w:left="733"/>
              <w:spacing w:after="0"/>
              <w:rPr>
                <w:sz w:val="20"/>
                <w:szCs w:val="20"/>
                <w:color w:val="auto"/>
              </w:rPr>
            </w:pPr>
            <w:r>
              <w:rPr>
                <w:rFonts w:ascii="Times New Roman" w:cs="Times New Roman" w:eastAsia="Times New Roman" w:hAnsi="Times New Roman"/>
                <w:sz w:val="14"/>
                <w:szCs w:val="14"/>
                <w:color w:val="auto"/>
                <w:w w:val="94"/>
              </w:rPr>
              <w:t>(26)</w:t>
            </w:r>
          </w:p>
        </w:tc>
        <w:tc>
          <w:tcPr>
            <w:tcW w:w="100" w:type="dxa"/>
            <w:vAlign w:val="bottom"/>
            <w:tcBorders>
              <w:bottom w:val="single" w:sz="8" w:color="BFE4FF"/>
            </w:tcBorders>
            <w:shd w:val="clear" w:color="auto" w:fill="BFE4FF"/>
          </w:tcPr>
          <w:p>
            <w:pPr>
              <w:spacing w:after="0"/>
              <w:rPr>
                <w:sz w:val="16"/>
                <w:szCs w:val="16"/>
                <w:color w:val="auto"/>
              </w:rPr>
            </w:pPr>
          </w:p>
        </w:tc>
        <w:tc>
          <w:tcPr>
            <w:tcW w:w="320" w:type="dxa"/>
            <w:vAlign w:val="bottom"/>
            <w:tcBorders>
              <w:bottom w:val="single" w:sz="8" w:color="auto"/>
            </w:tcBorders>
            <w:shd w:val="clear" w:color="auto" w:fill="BFE4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83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260" w:type="dxa"/>
            <w:vAlign w:val="bottom"/>
          </w:tcPr>
          <w:p>
            <w:pPr>
              <w:spacing w:after="0"/>
              <w:rPr>
                <w:sz w:val="13"/>
                <w:szCs w:val="13"/>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240" w:type="dxa"/>
            <w:vAlign w:val="bottom"/>
          </w:tcPr>
          <w:p>
            <w:pPr>
              <w:spacing w:after="0"/>
              <w:rPr>
                <w:sz w:val="13"/>
                <w:szCs w:val="13"/>
                <w:color w:val="auto"/>
              </w:rPr>
            </w:pPr>
          </w:p>
        </w:tc>
        <w:tc>
          <w:tcPr>
            <w:tcW w:w="148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55"/>
        </w:trPr>
        <w:tc>
          <w:tcPr>
            <w:tcW w:w="7740" w:type="dxa"/>
            <w:vAlign w:val="bottom"/>
          </w:tcPr>
          <w:p>
            <w:pPr>
              <w:ind w:left="36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held-for-sale</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6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7,650</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7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Right-of-use assets, net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3,632</w:t>
            </w:r>
          </w:p>
        </w:tc>
        <w:tc>
          <w:tcPr>
            <w:tcW w:w="0" w:type="dxa"/>
            <w:vAlign w:val="bottom"/>
          </w:tcPr>
          <w:p>
            <w:pPr>
              <w:spacing w:after="0"/>
              <w:rPr>
                <w:sz w:val="1"/>
                <w:szCs w:val="1"/>
                <w:color w:val="auto"/>
              </w:rPr>
            </w:pPr>
          </w:p>
        </w:tc>
      </w:tr>
      <w:tr>
        <w:trPr>
          <w:trHeight w:val="18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48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 trade</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liabilities held-for-sale</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168"/>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63"/>
        </w:trPr>
        <w:tc>
          <w:tcPr>
            <w:tcW w:w="7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0" w:type="dxa"/>
            <w:vAlign w:val="bottom"/>
          </w:tcPr>
          <w:p>
            <w:pPr>
              <w:spacing w:after="0"/>
              <w:rPr>
                <w:sz w:val="1"/>
                <w:szCs w:val="1"/>
                <w:color w:val="auto"/>
              </w:rPr>
            </w:pPr>
          </w:p>
        </w:tc>
      </w:tr>
      <w:tr>
        <w:trPr>
          <w:trHeight w:val="149"/>
        </w:trPr>
        <w:tc>
          <w:tcPr>
            <w:tcW w:w="77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7,882</w:t>
            </w:r>
          </w:p>
        </w:tc>
        <w:tc>
          <w:tcPr>
            <w:tcW w:w="0" w:type="dxa"/>
            <w:vAlign w:val="bottom"/>
          </w:tcPr>
          <w:p>
            <w:pPr>
              <w:spacing w:after="0"/>
              <w:rPr>
                <w:sz w:val="1"/>
                <w:szCs w:val="1"/>
                <w:color w:val="auto"/>
              </w:rPr>
            </w:pPr>
          </w:p>
        </w:tc>
      </w:tr>
      <w:tr>
        <w:trPr>
          <w:trHeight w:val="16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9,513</w:t>
            </w:r>
          </w:p>
        </w:tc>
        <w:tc>
          <w:tcPr>
            <w:tcW w:w="0" w:type="dxa"/>
            <w:vAlign w:val="bottom"/>
          </w:tcPr>
          <w:p>
            <w:pPr>
              <w:spacing w:after="0"/>
              <w:rPr>
                <w:sz w:val="1"/>
                <w:szCs w:val="1"/>
                <w:color w:val="auto"/>
              </w:rPr>
            </w:pPr>
          </w:p>
        </w:tc>
      </w:tr>
      <w:tr>
        <w:trPr>
          <w:trHeight w:val="149"/>
        </w:trPr>
        <w:tc>
          <w:tcPr>
            <w:tcW w:w="77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26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7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w w:val="98"/>
              </w:rPr>
              <w:t>Class A, Class B, Class C and Class D common stock, $0.01 par value; 3,000,000,000 shares authorized (Class A 500,000,000, Class B 500,000,000,</w:t>
            </w: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74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Class C 1,000,000,000, Class D 1,000,000,000); 201,995,385 shares issued and outstanding (Class A 34,599,645, Class B 42,738,750, Class C</w:t>
            </w: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74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w w:val="98"/>
              </w:rPr>
              <w:t>81,918,240, Class D 42,738,750) at March 31, 2022 and 201,856,166 shares issued and outstanding (Class A 34,599,645, Class B 42,738,750, Class</w:t>
            </w:r>
          </w:p>
        </w:tc>
        <w:tc>
          <w:tcPr>
            <w:tcW w:w="2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 81,779,021, Class D 42,738,750) at December 31, 2021</w:t>
            </w:r>
          </w:p>
        </w:tc>
        <w:tc>
          <w:tcPr>
            <w:tcW w:w="26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7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0" w:type="dxa"/>
            <w:vAlign w:val="bottom"/>
          </w:tcPr>
          <w:p>
            <w:pPr>
              <w:spacing w:after="0"/>
              <w:rPr>
                <w:sz w:val="1"/>
                <w:szCs w:val="1"/>
                <w:color w:val="auto"/>
              </w:rPr>
            </w:pPr>
          </w:p>
        </w:tc>
      </w:tr>
      <w:tr>
        <w:trPr>
          <w:trHeight w:val="18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deferred income taxes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derivative instruments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used in changes in other working capital</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 of Drop Down Assets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Asset purchase from affiliate</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6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dividends and distributions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Distributions to CEG of escrowed amounts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the revolving credit facility</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for the revolving credit facility</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80"/>
        </w:trPr>
        <w:tc>
          <w:tcPr>
            <w:tcW w:w="8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for long-term debt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80"/>
        </w:trPr>
        <w:tc>
          <w:tcPr>
            <w:tcW w:w="8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1"/>
        </w:trPr>
        <w:tc>
          <w:tcPr>
            <w:tcW w:w="8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Reclassification of Cash to Assets Held-for-Sale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96"/>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20" w:type="dxa"/>
            <w:vAlign w:val="bottom"/>
          </w:tcPr>
          <w:p>
            <w:pPr>
              <w:spacing w:after="0"/>
              <w:rPr>
                <w:sz w:val="10"/>
                <w:szCs w:val="10"/>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3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right="79"/>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Comprehensive Loss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67"/>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4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gain on derivatives, net of tax</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Mesquite Sky Drop Down</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Black Rock Drop Down</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Mililani I Drop Down</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2022</w:t>
            </w: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0" w:type="dxa"/>
            <w:vAlign w:val="bottom"/>
          </w:tcPr>
          <w:p>
            <w:pPr>
              <w:spacing w:after="0"/>
              <w:rPr>
                <w:sz w:val="1"/>
                <w:szCs w:val="1"/>
                <w:color w:val="auto"/>
              </w:rPr>
            </w:pPr>
          </w:p>
        </w:tc>
      </w:tr>
      <w:tr>
        <w:trPr>
          <w:trHeight w:val="514"/>
        </w:trPr>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CLEARWAY ENERGY, INC.</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980" w:type="dxa"/>
            <w:vAlign w:val="bottom"/>
            <w:gridSpan w:val="14"/>
          </w:tcPr>
          <w:p>
            <w:pPr>
              <w:jc w:val="center"/>
              <w:ind w:left="3196"/>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STOCKHOLDERS’ EQUITY</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2"/>
                <w:szCs w:val="22"/>
                <w:color w:val="auto"/>
              </w:rPr>
            </w:pPr>
          </w:p>
        </w:tc>
        <w:tc>
          <w:tcPr>
            <w:tcW w:w="3360" w:type="dxa"/>
            <w:vAlign w:val="bottom"/>
            <w:gridSpan w:val="11"/>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2021</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7"/>
                <w:szCs w:val="1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2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3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right="79"/>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Comprehensive Loss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67"/>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4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gain on derivatives, net of tax</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CEG, non-cash</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CEG, cash</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Agua Caliente acquisition</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Rattlesnake Drop Down</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3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2021</w:t>
            </w: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4"/>
          <w:szCs w:val="14"/>
          <w:color w:val="000000"/>
        </w:rPr>
        <w:t>From time to time, CEG may also hold shares of the Company’s Class A and/or Class C common stock.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owned 57.68% of the economic interests of Clearway Energy LLC, with CEG owning 42.32% of the economic interests of Clearway Energy LLC as of March 31,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structure of the Company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608195" cy="3482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8195" cy="348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2022, and results of operations, comprehensive (loss) income and cash flows for the three months ended March 31, 2022 and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 </w:t>
      </w:r>
      <w:r>
        <w:rPr>
          <w:rFonts w:ascii="Times New Roman" w:cs="Times New Roman" w:eastAsia="Times New Roman" w:hAnsi="Times New Roman"/>
          <w:sz w:val="14"/>
          <w:szCs w:val="14"/>
          <w:b w:val="1"/>
          <w:bCs w:val="1"/>
          <w:i w:val="1"/>
          <w:iCs w:val="1"/>
          <w:color w:val="auto"/>
        </w:rPr>
        <w:t>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project subsidiaries was $95 million and $146 million as of March 31, 2022 and December 31, 2021,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1"/>
        </w:trPr>
        <w:tc>
          <w:tcPr>
            <w:tcW w:w="7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46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projects that are restricted in their use. As of March 31, 2022, these restricted funds were comprised of $135 million designated to fund operating expenses, $38 million designated for current debt service payments and $135 million restricted for reserves including debt service, performance obligations and other reserves as well as capital expenditures. The remaining $18 million is held in distributions reserve accounts.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March 31, 2022, $23 million of the $49 million has been utilized to offset invoiced amounts under the projects’ PPAs.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 respectively,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2022 and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2,623</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42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35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7"/>
        </w:trPr>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and Class C common stock during the three months ended March 31, 2022: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74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4, 2022, the Company declared quarterly dividends on its Class A and Class C common stock of $0.3536 per share payable on June 15, 2022 to stockholders of record as of June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to CEG during the three months ended March 31, 2022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B Unit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4"/>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per Class D Unit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4, 2022, Clearway Energy LLC declared a distribution on its Class B and Class D units of $0.3536 per unit payable on June 15, 2022 to unit holders of record as of June 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operations.</w:t>
      </w:r>
    </w:p>
    <w:p>
      <w:pPr>
        <w:spacing w:after="0" w:line="9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67"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2022 and 2021,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w w:val="85"/>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333333"/>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333333"/>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333333"/>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232</w:t>
            </w:r>
          </w:p>
        </w:tc>
      </w:tr>
      <w:tr>
        <w:trPr>
          <w:trHeight w:val="24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128</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(42)</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22</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(126)</w:t>
            </w:r>
          </w:p>
        </w:tc>
      </w:tr>
      <w:tr>
        <w:trPr>
          <w:trHeight w:val="171"/>
        </w:trPr>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108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47</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59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214</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1"/>
        </w:trPr>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120" w:hanging="115"/>
        <w:spacing w:after="0"/>
        <w:tabs>
          <w:tab w:leader="none" w:pos="12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following amounts of energy and capacity revenue relate to leases and are accounted for under ASC 842: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96"/>
        </w:trPr>
        <w:tc>
          <w:tcPr>
            <w:tcW w:w="5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35"/>
        </w:trPr>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March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4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following amounts of energy and capacity revenue relate to leases and are accounted for under ASC 842: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0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40" w:type="dxa"/>
            <w:vAlign w:val="bottom"/>
          </w:tcPr>
          <w:p>
            <w:pPr>
              <w:spacing w:after="0"/>
              <w:rPr>
                <w:sz w:val="13"/>
                <w:szCs w:val="13"/>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6"/>
        </w:trPr>
        <w:tc>
          <w:tcPr>
            <w:tcW w:w="5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67"/>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231F20"/>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8"/>
        </w:trPr>
        <w:tc>
          <w:tcPr>
            <w:tcW w:w="5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and liabilities included on the Company’s consolidated balance sheets as of March 31, 2022 and December 31,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r>
      <w:tr>
        <w:trPr>
          <w:trHeight w:val="173"/>
        </w:trPr>
        <w:tc>
          <w:tcPr>
            <w:tcW w:w="7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15"/>
                <w:szCs w:val="15"/>
                <w:color w:val="auto"/>
              </w:rPr>
            </w:pP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144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1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440" w:type="dxa"/>
            <w:vAlign w:val="bottom"/>
            <w:tcBorders>
              <w:bottom w:val="single" w:sz="8" w:color="auto"/>
            </w:tcBorders>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March 31, 2022, the Company has applied the amendments to all of its eligible contract modifications, where applicable, during the reference rate reform period. Additionally, the Company has not elected any optional expedients provided in the standard.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 </w:t>
      </w:r>
      <w:r>
        <w:rPr>
          <w:rFonts w:ascii="Times New Roman" w:cs="Times New Roman" w:eastAsia="Times New Roman" w:hAnsi="Times New Roman"/>
          <w:sz w:val="14"/>
          <w:szCs w:val="14"/>
          <w:b w:val="1"/>
          <w:bCs w:val="1"/>
          <w:i w:val="1"/>
          <w:iCs w:val="1"/>
          <w:color w:val="auto"/>
        </w:rPr>
        <w:t>Acquisitions and Dispositions</w:t>
      </w:r>
    </w:p>
    <w:p>
      <w:pPr>
        <w:spacing w:after="0" w:line="13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Mililani I Drop Down — </w:t>
      </w: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Mililani I has a 20-year power purchase agreement with an investment-grade utility that commences when the project achieves commercial operations.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cash paid of $22 million and the historical cost of the Company’s net liabilities assumed of $8 million was recorded as an adjustment to CEG’s noncontrolling interest balance. In addition, the Company reflected $15 million of the Company’s purchase price, which was contributed back by CEG to pay down the acquired long-term debt, as distributions to CEG, net of contributions, in the consolidated statement of stockholders’ equity.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3"/>
                <w:szCs w:val="13"/>
                <w:b w:val="1"/>
                <w:bCs w:val="1"/>
                <w:color w:val="auto"/>
              </w:rPr>
              <w:t>Mililani I</w:t>
            </w:r>
          </w:p>
        </w:tc>
      </w:tr>
      <w:tr>
        <w:trPr>
          <w:trHeight w:val="17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Right-of-use-assets</w:t>
            </w: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6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2"/>
        </w:trPr>
        <w:tc>
          <w:tcPr>
            <w:tcW w:w="8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6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8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5"/>
        <w:spacing w:after="0" w:line="267" w:lineRule="auto"/>
        <w:tabs>
          <w:tab w:leader="none" w:pos="11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is included in restricted cash on the Company's consolidated balance sheet at March 31, 2022. The tax equity investor will contribute an additional $42 million when the project reaches substantial completion, which will be utilized, along with the $18 million in escrow, to repay the $60 million tax equity bridge loan. The project is expected to achieve commercial operations in the second half of 2022.</w:t>
      </w:r>
    </w:p>
    <w:p>
      <w:pPr>
        <w:spacing w:after="0" w:line="24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Thermal Disposition </w:t>
      </w:r>
      <w:r>
        <w:rPr>
          <w:rFonts w:ascii="Times New Roman" w:cs="Times New Roman" w:eastAsia="Times New Roman" w:hAnsi="Times New Roman"/>
          <w:sz w:val="14"/>
          <w:szCs w:val="14"/>
          <w:color w:val="auto"/>
        </w:rPr>
        <w:t>— On May 1, 2022, the Company completed the sale of 100% of its interests in the Thermal Business to KKR for net proceeds of approximately $1.46 billion, inclusive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working capital, which excludes approximately $20 million in transaction expenses that were incurred in connection with the disposition. The Company estimates that the Thermal Disposition will result in a gain of approximately $1.31 billion. Effective with the approval by the Board of Directors and signing of the agreement to sell the Thermal Business on October 22, 2021, the Company concluded that all entities that are included within the Thermal Business will be treated as held for sale on a prospective basis, thus the assets and liabilities were reported as separate held for sale line items on the Company’s consolidated balance sheets as of March 31, 2022 and December 31, 2021. As of March 31, 2022, property, plant and equipment represented 76% and intangible assets represented 9% of assets classified as held for sale while long-term debt represented 83% of liabilities classified as held for sale.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Accounted for by the Equity Method and Variable Interest Entities, </w:t>
      </w:r>
      <w:r>
        <w:rPr>
          <w:rFonts w:ascii="Times New Roman" w:cs="Times New Roman" w:eastAsia="Times New Roman" w:hAnsi="Times New Roman"/>
          <w:sz w:val="14"/>
          <w:szCs w:val="14"/>
          <w:color w:val="auto"/>
        </w:rPr>
        <w:t>to the consolidated financial statements included in the Company's 2021 Form 10-K.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March 31,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Buckthorn Renewables,</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Langford TE</w:t>
            </w:r>
          </w:p>
        </w:tc>
        <w:tc>
          <w:tcPr>
            <w:tcW w:w="100" w:type="dxa"/>
            <w:vAlign w:val="bottom"/>
          </w:tcPr>
          <w:p>
            <w:pPr>
              <w:spacing w:after="0"/>
              <w:rPr>
                <w:sz w:val="10"/>
                <w:szCs w:val="1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20" w:type="dxa"/>
            <w:vAlign w:val="bottom"/>
          </w:tcPr>
          <w:p>
            <w:pPr>
              <w:spacing w:after="0"/>
              <w:rPr>
                <w:sz w:val="10"/>
                <w:szCs w:val="10"/>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Alta TE Holdco</w:t>
            </w:r>
          </w:p>
        </w:tc>
        <w:tc>
          <w:tcPr>
            <w:tcW w:w="26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14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DGPV Funds</w:t>
            </w:r>
            <w:r>
              <w:rPr>
                <w:rFonts w:ascii="Times New Roman" w:cs="Times New Roman" w:eastAsia="Times New Roman" w:hAnsi="Times New Roman"/>
                <w:sz w:val="12"/>
                <w:szCs w:val="12"/>
                <w:b w:val="1"/>
                <w:bCs w:val="1"/>
                <w:color w:val="auto"/>
                <w:vertAlign w:val="superscript"/>
              </w:rPr>
              <w:t>(a)</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Kawailoa Partnership</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Partnership LLC</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Holdco LLC</w:t>
            </w:r>
            <w:r>
              <w:rPr>
                <w:rFonts w:ascii="Times New Roman" w:cs="Times New Roman" w:eastAsia="Times New Roman" w:hAnsi="Times New Roman"/>
                <w:sz w:val="12"/>
                <w:szCs w:val="12"/>
                <w:b w:val="1"/>
                <w:bCs w:val="1"/>
                <w:color w:val="auto"/>
                <w:w w:val="94"/>
                <w:vertAlign w:val="superscript"/>
              </w:rPr>
              <w:t>(b)</w:t>
            </w:r>
          </w:p>
        </w:tc>
        <w:tc>
          <w:tcPr>
            <w:tcW w:w="120" w:type="dxa"/>
            <w:vAlign w:val="bottom"/>
          </w:tcPr>
          <w:p>
            <w:pPr>
              <w:spacing w:after="0"/>
              <w:rPr>
                <w:sz w:val="12"/>
                <w:szCs w:val="12"/>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0"/>
                <w:szCs w:val="10"/>
                <w:b w:val="1"/>
                <w:bCs w:val="1"/>
                <w:color w:val="auto"/>
              </w:rPr>
              <w:t>Holdco 2 LLC</w:t>
            </w:r>
            <w:r>
              <w:rPr>
                <w:rFonts w:ascii="Times New Roman" w:cs="Times New Roman" w:eastAsia="Times New Roman" w:hAnsi="Times New Roman"/>
                <w:sz w:val="12"/>
                <w:szCs w:val="12"/>
                <w:b w:val="1"/>
                <w:bCs w:val="1"/>
                <w:color w:val="auto"/>
                <w:vertAlign w:val="superscript"/>
              </w:rPr>
              <w:t>(c)</w:t>
            </w: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71"/>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360" w:firstLine="5"/>
        <w:spacing w:after="0" w:line="285" w:lineRule="auto"/>
        <w:tabs>
          <w:tab w:leader="none" w:pos="137"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DGPV Funds is comprised of DGPV Fund 2 LLC, Clearway &amp; EFS Distributed Solar LLC, DGPV Fund 4 LLC, Golden Puma Fund LLC, Renew Solar CS4 Fund LLC and Chestnut Fund LLC. </w:t>
      </w:r>
      <w:r>
        <w:rPr>
          <w:rFonts w:ascii="Times New Roman" w:cs="Times New Roman" w:eastAsia="Times New Roman" w:hAnsi="Times New Roman"/>
          <w:sz w:val="17"/>
          <w:szCs w:val="17"/>
          <w:color w:val="auto"/>
          <w:vertAlign w:val="superscript"/>
        </w:rPr>
        <w:t>(b )</w:t>
      </w:r>
      <w:r>
        <w:rPr>
          <w:rFonts w:ascii="Times New Roman" w:cs="Times New Roman" w:eastAsia="Times New Roman" w:hAnsi="Times New Roman"/>
          <w:sz w:val="11"/>
          <w:szCs w:val="11"/>
          <w:color w:val="auto"/>
        </w:rPr>
        <w:t xml:space="preserve"> Lighthouse Renewable Holdco LLC consolidates Mesquite Star Tax Equity Holdco LLC, Black Rock TE Holdco LLC and Mililani TE Holdco LLC, which are also consolidated VIEs.</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187" w:lineRule="auto"/>
        <w:tabs>
          <w:tab w:leader="none" w:pos="14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which is also a consolidated VIE.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Oahu</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Pinnacle Repowering</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240" w:type="dxa"/>
            <w:vAlign w:val="bottom"/>
          </w:tcPr>
          <w:p>
            <w:pPr>
              <w:spacing w:after="0"/>
              <w:rPr>
                <w:sz w:val="10"/>
                <w:szCs w:val="1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Wildorado</w:t>
            </w:r>
          </w:p>
        </w:tc>
        <w:tc>
          <w:tcPr>
            <w:tcW w:w="280" w:type="dxa"/>
            <w:vAlign w:val="bottom"/>
          </w:tcPr>
          <w:p>
            <w:pPr>
              <w:spacing w:after="0"/>
              <w:rPr>
                <w:sz w:val="10"/>
                <w:szCs w:val="10"/>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2"/>
                <w:szCs w:val="12"/>
                <w:b w:val="1"/>
                <w:bCs w:val="1"/>
                <w:color w:val="auto"/>
                <w:vertAlign w:val="superscript"/>
              </w:rPr>
              <w:t>(a)</w:t>
            </w:r>
          </w:p>
        </w:tc>
        <w:tc>
          <w:tcPr>
            <w:tcW w:w="0" w:type="dxa"/>
            <w:vAlign w:val="bottom"/>
          </w:tcPr>
          <w:p>
            <w:pPr>
              <w:spacing w:after="0"/>
              <w:rPr>
                <w:sz w:val="1"/>
                <w:szCs w:val="1"/>
                <w:color w:val="auto"/>
              </w:rPr>
            </w:pPr>
          </w:p>
        </w:tc>
      </w:tr>
      <w:tr>
        <w:trPr>
          <w:trHeight w:val="138"/>
        </w:trPr>
        <w:tc>
          <w:tcPr>
            <w:tcW w:w="3160" w:type="dxa"/>
            <w:vAlign w:val="bottom"/>
            <w:vMerge w:val="continue"/>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Solar Partnership</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Partnership LLC</w:t>
            </w:r>
          </w:p>
        </w:tc>
        <w:tc>
          <w:tcPr>
            <w:tcW w:w="13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TE Holdco</w:t>
            </w: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2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0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02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Other is comprised of Crosswind Transmission, LLC, Hardin Hilltop Wind LLC, Elbow Creek TE Holdco and Spring Canyon TE Holdco projects.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VIEs during the three months ended March 31, 2022.</w:t>
      </w:r>
    </w:p>
    <w:p>
      <w:pPr>
        <w:spacing w:after="0" w:line="13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Lighthouse Renewable Holdco LLC — </w:t>
      </w:r>
      <w:r>
        <w:rPr>
          <w:rFonts w:ascii="Times New Roman" w:cs="Times New Roman" w:eastAsia="Times New Roman" w:hAnsi="Times New Roman"/>
          <w:sz w:val="14"/>
          <w:szCs w:val="14"/>
          <w:color w:val="auto"/>
        </w:rPr>
        <w:t>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March 25, 2022, Lighthouse Renewable Holdco LLC acquired the Class B interests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maximum exposure to loss as of March 31, 2022 is limited to its equity investment in the unconsolidated entities, as further summarized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800" w:type="dxa"/>
            <w:vAlign w:val="bottom"/>
            <w:tcBorders>
              <w:bottom w:val="single" w:sz="8" w:color="auto"/>
            </w:tcBorders>
          </w:tcPr>
          <w:p>
            <w:pPr>
              <w:jc w:val="center"/>
              <w:ind w:left="3270"/>
              <w:spacing w:after="0"/>
              <w:rPr>
                <w:sz w:val="20"/>
                <w:szCs w:val="20"/>
                <w:color w:val="auto"/>
              </w:rPr>
            </w:pPr>
            <w:r>
              <w:rPr>
                <w:rFonts w:ascii="Times New Roman" w:cs="Times New Roman" w:eastAsia="Times New Roman" w:hAnsi="Times New Roman"/>
                <w:sz w:val="13"/>
                <w:szCs w:val="13"/>
                <w:b w:val="1"/>
                <w:bCs w:val="1"/>
                <w:color w:val="auto"/>
                <w:w w:val="96"/>
              </w:rPr>
              <w:t>Economic Interest</w:t>
            </w: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Investment Balance</w:t>
            </w:r>
          </w:p>
        </w:tc>
      </w:tr>
      <w:tr>
        <w:trPr>
          <w:trHeight w:val="161"/>
        </w:trPr>
        <w:tc>
          <w:tcPr>
            <w:tcW w:w="4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4800" w:type="dxa"/>
            <w:vAlign w:val="bottom"/>
            <w:shd w:val="clear" w:color="auto" w:fill="CCEEFF"/>
          </w:tcPr>
          <w:p>
            <w:pPr>
              <w:jc w:val="center"/>
              <w:ind w:left="3270"/>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4800" w:type="dxa"/>
            <w:vAlign w:val="bottom"/>
          </w:tcPr>
          <w:p>
            <w:pPr>
              <w:jc w:val="center"/>
              <w:ind w:left="327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4800" w:type="dxa"/>
            <w:vAlign w:val="bottom"/>
            <w:shd w:val="clear" w:color="auto" w:fill="CCEEFF"/>
          </w:tcPr>
          <w:p>
            <w:pPr>
              <w:jc w:val="center"/>
              <w:ind w:left="3270"/>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44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(a)</w:t>
            </w:r>
          </w:p>
        </w:tc>
        <w:tc>
          <w:tcPr>
            <w:tcW w:w="4800" w:type="dxa"/>
            <w:vAlign w:val="bottom"/>
          </w:tcPr>
          <w:p>
            <w:pPr>
              <w:jc w:val="center"/>
              <w:ind w:left="3270"/>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4800" w:type="dxa"/>
            <w:vAlign w:val="bottom"/>
            <w:shd w:val="clear" w:color="auto" w:fill="CCEEFF"/>
          </w:tcPr>
          <w:p>
            <w:pPr>
              <w:jc w:val="center"/>
              <w:ind w:left="3270"/>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4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20"/>
        </w:trPr>
        <w:tc>
          <w:tcPr>
            <w:tcW w:w="4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GenConn is a variable interest entity.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amounts and estimated fair values of the Company’s recorded financial instruments not carried at fair market value or that do not approximate fair value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140" w:type="dxa"/>
            <w:vAlign w:val="bottom"/>
          </w:tcPr>
          <w:p>
            <w:pPr>
              <w:spacing w:after="0"/>
              <w:rPr>
                <w:sz w:val="13"/>
                <w:szCs w:val="13"/>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0"/>
        </w:trPr>
        <w:tc>
          <w:tcPr>
            <w:tcW w:w="6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39"/>
        </w:trPr>
        <w:tc>
          <w:tcPr>
            <w:tcW w:w="6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90"/>
        </w:trPr>
        <w:tc>
          <w:tcPr>
            <w:tcW w:w="616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7,822</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7,782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20" w:hanging="115"/>
        <w:spacing w:after="0"/>
        <w:tabs>
          <w:tab w:leader="none" w:pos="12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 w:name="page20"/>
    <w:bookmarkEnd w:id="1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2022 and December 31,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2,041</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2,159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r>
      <w:tr>
        <w:trPr>
          <w:trHeight w:val="124"/>
        </w:trPr>
        <w:tc>
          <w:tcPr>
            <w:tcW w:w="6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2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60" w:type="dxa"/>
            <w:vAlign w:val="bottom"/>
          </w:tcPr>
          <w:p>
            <w:pPr>
              <w:spacing w:after="0"/>
              <w:rPr>
                <w:sz w:val="12"/>
                <w:szCs w:val="12"/>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Pr>
          <w:p>
            <w:pPr>
              <w:spacing w:after="0"/>
              <w:rPr>
                <w:sz w:val="12"/>
                <w:szCs w:val="12"/>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(b)</w:t>
            </w: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Commodity contracts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0"/>
        </w:trPr>
        <w:tc>
          <w:tcPr>
            <w:tcW w:w="5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120" w:hanging="115"/>
        <w:spacing w:after="0"/>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There were no derivative assets classified as Level 1 or Level 3 and no liabilities classified as Level 1 as of March 31, 2022 and December 31, 2021.</w:t>
      </w:r>
    </w:p>
    <w:p>
      <w:pPr>
        <w:spacing w:after="0" w:line="54" w:lineRule="exact"/>
        <w:rPr>
          <w:rFonts w:ascii="Times New Roman" w:cs="Times New Roman" w:eastAsia="Times New Roman" w:hAnsi="Times New Roman"/>
          <w:sz w:val="14"/>
          <w:szCs w:val="14"/>
          <w:color w:val="auto"/>
          <w:vertAlign w:val="superscript"/>
        </w:rPr>
      </w:pPr>
    </w:p>
    <w:p>
      <w:pPr>
        <w:ind w:left="140" w:hanging="135"/>
        <w:spacing w:after="0" w:line="185" w:lineRule="auto"/>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SREC contract.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4"/>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center"/>
              <w:ind w:left="672"/>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due to loss of NPNS exception</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Change in unrealized losses included in earnings for derivatives and other financial instruments held as of March 31, 2022</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660" w:type="dxa"/>
            <w:vAlign w:val="bottom"/>
            <w:vMerge w:val="continue"/>
          </w:tcPr>
          <w:p>
            <w:pPr>
              <w:spacing w:after="0"/>
              <w:rPr>
                <w:sz w:val="12"/>
                <w:szCs w:val="12"/>
                <w:color w:val="auto"/>
              </w:rPr>
            </w:pPr>
          </w:p>
        </w:tc>
        <w:tc>
          <w:tcPr>
            <w:tcW w:w="440" w:type="dxa"/>
            <w:vAlign w:val="bottom"/>
          </w:tcPr>
          <w:p>
            <w:pPr>
              <w:jc w:val="right"/>
              <w:ind w:right="273"/>
              <w:spacing w:after="0" w:line="147"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March 31, 2022, contracts valued with prices provided by models and other valuation techniques make up 94% of derivative liabilities and 100% of other financial instruments.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 as of March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20" w:type="dxa"/>
            <w:vAlign w:val="bottom"/>
          </w:tcPr>
          <w:p>
            <w:pPr>
              <w:spacing w:after="0"/>
              <w:rPr>
                <w:sz w:val="11"/>
                <w:szCs w:val="11"/>
                <w:color w:val="auto"/>
              </w:rPr>
            </w:pPr>
          </w:p>
        </w:tc>
        <w:tc>
          <w:tcPr>
            <w:tcW w:w="10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1"/>
                <w:szCs w:val="11"/>
                <w:color w:val="auto"/>
              </w:rPr>
            </w:pPr>
          </w:p>
        </w:tc>
        <w:tc>
          <w:tcPr>
            <w:tcW w:w="11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1"/>
                <w:szCs w:val="11"/>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Commodity Contracts</w:t>
            </w:r>
          </w:p>
        </w:tc>
        <w:tc>
          <w:tcPr>
            <w:tcW w:w="920" w:type="dxa"/>
            <w:vAlign w:val="bottom"/>
            <w:vMerge w:val="restart"/>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w:t>
            </w:r>
          </w:p>
        </w:tc>
        <w:tc>
          <w:tcPr>
            <w:tcW w:w="0" w:type="dxa"/>
            <w:vAlign w:val="bottom"/>
          </w:tcPr>
          <w:p>
            <w:pPr>
              <w:spacing w:after="0"/>
              <w:rPr>
                <w:sz w:val="1"/>
                <w:szCs w:val="1"/>
                <w:color w:val="auto"/>
              </w:rPr>
            </w:pPr>
          </w:p>
        </w:tc>
      </w:tr>
      <w:tr>
        <w:trPr>
          <w:trHeight w:val="170"/>
        </w:trPr>
        <w:tc>
          <w:tcPr>
            <w:tcW w:w="18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920" w:type="dxa"/>
            <w:vAlign w:val="bottom"/>
          </w:tcPr>
          <w:p>
            <w:pPr>
              <w:spacing w:after="0"/>
              <w:rPr>
                <w:sz w:val="11"/>
                <w:szCs w:val="11"/>
                <w:color w:val="auto"/>
              </w:rPr>
            </w:pPr>
          </w:p>
        </w:tc>
        <w:tc>
          <w:tcPr>
            <w:tcW w:w="14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24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80,872 MWh</w:t>
            </w: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129,913 MWh</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124,783 MWh</w:t>
            </w:r>
          </w:p>
        </w:tc>
        <w:tc>
          <w:tcPr>
            <w:tcW w:w="0" w:type="dxa"/>
            <w:vAlign w:val="bottom"/>
          </w:tcPr>
          <w:p>
            <w:pPr>
              <w:spacing w:after="0"/>
              <w:rPr>
                <w:sz w:val="1"/>
                <w:szCs w:val="1"/>
                <w:color w:val="auto"/>
              </w:rPr>
            </w:pPr>
          </w:p>
        </w:tc>
      </w:tr>
      <w:tr>
        <w:trPr>
          <w:trHeight w:val="165"/>
        </w:trPr>
        <w:tc>
          <w:tcPr>
            <w:tcW w:w="18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March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Significant Observable Input</w:t>
            </w:r>
          </w:p>
        </w:tc>
        <w:tc>
          <w:tcPr>
            <w:tcW w:w="222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2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86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Impact on Fair Value Measurement</w:t>
            </w:r>
          </w:p>
        </w:tc>
      </w:tr>
      <w:tr>
        <w:trPr>
          <w:trHeight w:val="171"/>
        </w:trPr>
        <w:tc>
          <w:tcPr>
            <w:tcW w:w="39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222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Buy</w:t>
            </w:r>
          </w:p>
        </w:tc>
        <w:tc>
          <w:tcPr>
            <w:tcW w:w="222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Higher/(Lower)</w:t>
            </w:r>
          </w:p>
        </w:tc>
      </w:tr>
      <w:tr>
        <w:trPr>
          <w:trHeight w:val="180"/>
        </w:trPr>
        <w:tc>
          <w:tcPr>
            <w:tcW w:w="39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22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Sell</w:t>
            </w:r>
          </w:p>
        </w:tc>
        <w:tc>
          <w:tcPr>
            <w:tcW w:w="22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Lower/(Higher)</w:t>
            </w:r>
          </w:p>
        </w:tc>
      </w:tr>
      <w:tr>
        <w:trPr>
          <w:trHeight w:val="180"/>
        </w:trPr>
        <w:tc>
          <w:tcPr>
            <w:tcW w:w="39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222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Sell</w:t>
            </w:r>
          </w:p>
        </w:tc>
        <w:tc>
          <w:tcPr>
            <w:tcW w:w="222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Higher/(Lower)</w:t>
            </w: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2022, the non-performance reserve was a $32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Company's 2021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March 31,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Commodities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As of March 31, 2022, the Company had energy-related derivative instruments extending through 2033. At March 31, 2022, these contracts were not designated as cash flow or fair value hedges.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 as of March 31, 2022 and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17"/>
        </w:trPr>
        <w:tc>
          <w:tcPr>
            <w:tcW w:w="20" w:type="dxa"/>
            <w:vAlign w:val="bottom"/>
          </w:tcPr>
          <w:p>
            <w:pPr>
              <w:spacing w:after="0"/>
              <w:rPr>
                <w:sz w:val="10"/>
                <w:szCs w:val="10"/>
                <w:color w:val="auto"/>
              </w:rPr>
            </w:pPr>
          </w:p>
        </w:tc>
        <w:tc>
          <w:tcPr>
            <w:tcW w:w="19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20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gridSpan w:val="2"/>
          </w:tcPr>
          <w:p>
            <w:pPr>
              <w:jc w:val="center"/>
              <w:ind w:left="35"/>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MMBtu</w:t>
            </w:r>
          </w:p>
        </w:tc>
        <w:tc>
          <w:tcPr>
            <w:tcW w:w="3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w:t>
            </w: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MWh</w:t>
            </w:r>
          </w:p>
        </w:tc>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Dollars</w:t>
            </w:r>
          </w:p>
        </w:tc>
        <w:tc>
          <w:tcPr>
            <w:tcW w:w="4900" w:type="dxa"/>
            <w:vAlign w:val="bottom"/>
            <w:gridSpan w:val="2"/>
            <w:shd w:val="clear" w:color="auto" w:fill="CCEEFF"/>
          </w:tcPr>
          <w:p>
            <w:pPr>
              <w:jc w:val="right"/>
              <w:ind w:right="12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1,223</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61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231F20"/>
              </w:rPr>
              <w:t>22</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0"/>
        </w:trPr>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current</w:t>
            </w:r>
          </w:p>
        </w:tc>
        <w:tc>
          <w:tcPr>
            <w:tcW w:w="26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long-term</w:t>
            </w:r>
          </w:p>
        </w:tc>
        <w:tc>
          <w:tcPr>
            <w:tcW w:w="2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March 31, 2022 and December 31, 2021, there was no outstanding collateral paid or received.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6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4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71"/>
        </w:trPr>
        <w:tc>
          <w:tcPr>
            <w:tcW w:w="45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6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97"/>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231F20"/>
              </w:rPr>
              <w:t>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8"/>
        </w:trPr>
        <w:tc>
          <w:tcPr>
            <w:tcW w:w="4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Loss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OCL balance attributable to interest rate swaps designated as cash flow hedge derivatives, net of tax:</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3"/>
                <w:szCs w:val="13"/>
                <w:color w:val="auto"/>
              </w:rPr>
            </w:pPr>
          </w:p>
        </w:tc>
      </w:tr>
      <w:tr>
        <w:trPr>
          <w:trHeight w:val="154"/>
        </w:trPr>
        <w:tc>
          <w:tcPr>
            <w:tcW w:w="8200" w:type="dxa"/>
            <w:vAlign w:val="bottom"/>
          </w:tcPr>
          <w:p>
            <w:pPr>
              <w:spacing w:after="0"/>
              <w:rPr>
                <w:sz w:val="13"/>
                <w:szCs w:val="13"/>
                <w:color w:val="auto"/>
              </w:rPr>
            </w:pPr>
          </w:p>
        </w:tc>
        <w:tc>
          <w:tcPr>
            <w:tcW w:w="10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r>
      <w:tr>
        <w:trPr>
          <w:trHeight w:val="144"/>
        </w:trPr>
        <w:tc>
          <w:tcPr>
            <w:tcW w:w="8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gridSpan w:val="3"/>
          </w:tcPr>
          <w:p>
            <w:pPr>
              <w:jc w:val="right"/>
              <w:ind w:right="79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2"/>
                <w:szCs w:val="12"/>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beginning balance</w:t>
            </w:r>
          </w:p>
        </w:tc>
        <w:tc>
          <w:tcPr>
            <w:tcW w:w="102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Reclassified from accumulated OCL to income due to realization of previously deferred amounts</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OCL ending balance, net of income tax (expense) benefit of $(2) and $4, respectively</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OCL attributable to noncontrolling interests</w:t>
            </w:r>
          </w:p>
        </w:tc>
        <w:tc>
          <w:tcPr>
            <w:tcW w:w="10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OCL attributable to Clearway Energy, Inc.</w:t>
            </w:r>
          </w:p>
        </w:tc>
        <w:tc>
          <w:tcPr>
            <w:tcW w:w="102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expected to be realized from OCL during the next 12 months, net of income tax benefit of $1</w:t>
            </w:r>
          </w:p>
        </w:tc>
        <w:tc>
          <w:tcPr>
            <w:tcW w:w="102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OCL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 and losses related to the Company’s derivatives are recorded in the consolidated statements of operations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60" w:type="dxa"/>
            <w:vAlign w:val="bottom"/>
            <w:tcBorders>
              <w:bottom w:val="single" w:sz="8" w:color="auto"/>
            </w:tcBorders>
          </w:tcPr>
          <w:p>
            <w:pPr>
              <w:spacing w:after="0"/>
              <w:rPr>
                <w:sz w:val="13"/>
                <w:szCs w:val="13"/>
                <w:color w:val="auto"/>
              </w:rPr>
            </w:pPr>
          </w:p>
        </w:tc>
      </w:tr>
      <w:tr>
        <w:trPr>
          <w:trHeight w:val="154"/>
        </w:trPr>
        <w:tc>
          <w:tcPr>
            <w:tcW w:w="8140" w:type="dxa"/>
            <w:vAlign w:val="bottom"/>
          </w:tcPr>
          <w:p>
            <w:pPr>
              <w:spacing w:after="0"/>
              <w:rPr>
                <w:sz w:val="13"/>
                <w:szCs w:val="13"/>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r>
      <w:tr>
        <w:trPr>
          <w:trHeight w:val="144"/>
        </w:trPr>
        <w:tc>
          <w:tcPr>
            <w:tcW w:w="8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3"/>
          </w:tcPr>
          <w:p>
            <w:pPr>
              <w:jc w:val="right"/>
              <w:ind w:right="7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2"/>
                <w:szCs w:val="12"/>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10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color w:val="242424"/>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41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Commodity Contracts (Mark-to-market for economic hedging activities) </w:t>
            </w:r>
            <w:r>
              <w:rPr>
                <w:rFonts w:ascii="Times New Roman" w:cs="Times New Roman" w:eastAsia="Times New Roman" w:hAnsi="Times New Roman"/>
                <w:sz w:val="18"/>
                <w:szCs w:val="18"/>
                <w:color w:val="auto"/>
                <w:vertAlign w:val="superscript"/>
              </w:rPr>
              <w:t>(a)</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(125)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27" w:lineRule="exact"/>
        <w:rPr>
          <w:sz w:val="20"/>
          <w:szCs w:val="20"/>
          <w:color w:val="auto"/>
        </w:rPr>
      </w:pPr>
    </w:p>
    <w:p>
      <w:pPr>
        <w:ind w:firstLine="5"/>
        <w:spacing w:after="0" w:line="300" w:lineRule="auto"/>
        <w:tabs>
          <w:tab w:leader="none" w:pos="100" w:val="left"/>
        </w:tabs>
        <w:numPr>
          <w:ilvl w:val="0"/>
          <w:numId w:val="1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Relates to long-term commodity contracts at Elbow Creek Wind Project LLC, or Elbow Creek, Mesquite Star, Mt. Storm, Langford and Mesquite Sky and gains or losses are recognized in operating revenues. During the three months ended March 31, 2022, the commodity contract for Langford, which previously met the NPNS exception, no longer qualified for NPNS treatment and, accordingly, is accounted for as a derivative and marked to market value through operating revenues.</w:t>
      </w:r>
    </w:p>
    <w:p>
      <w:pPr>
        <w:spacing w:after="0" w:line="9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 portion of the Company’s derivative commodity contracts relate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included in the Company's 2021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4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120" w:type="dxa"/>
            <w:vAlign w:val="bottom"/>
          </w:tcPr>
          <w:p>
            <w:pPr>
              <w:spacing w:after="0"/>
              <w:rPr>
                <w:sz w:val="11"/>
                <w:szCs w:val="11"/>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Pr>
          <w:p>
            <w:pPr>
              <w:spacing w:after="0"/>
              <w:rPr>
                <w:sz w:val="11"/>
                <w:szCs w:val="11"/>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March 31, 2022 interest rate % </w:t>
            </w:r>
            <w:r>
              <w:rPr>
                <w:rFonts w:ascii="Times New Roman" w:cs="Times New Roman" w:eastAsia="Times New Roman" w:hAnsi="Times New Roman"/>
                <w:sz w:val="14"/>
                <w:szCs w:val="14"/>
                <w:b w:val="1"/>
                <w:bCs w:val="1"/>
                <w:color w:val="auto"/>
                <w:vertAlign w:val="superscript"/>
              </w:rPr>
              <w:t>(a)</w:t>
            </w: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Letters of Credit Outstanding at</w:t>
            </w:r>
          </w:p>
        </w:tc>
        <w:tc>
          <w:tcPr>
            <w:tcW w:w="0" w:type="dxa"/>
            <w:vAlign w:val="bottom"/>
          </w:tcPr>
          <w:p>
            <w:pPr>
              <w:spacing w:after="0"/>
              <w:rPr>
                <w:sz w:val="1"/>
                <w:szCs w:val="1"/>
                <w:color w:val="auto"/>
              </w:rPr>
            </w:pPr>
          </w:p>
        </w:tc>
      </w:tr>
      <w:tr>
        <w:trPr>
          <w:trHeight w:val="157"/>
        </w:trPr>
        <w:tc>
          <w:tcPr>
            <w:tcW w:w="5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60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0" w:type="dxa"/>
            <w:vAlign w:val="bottom"/>
          </w:tcPr>
          <w:p>
            <w:pPr>
              <w:spacing w:after="0"/>
              <w:rPr>
                <w:sz w:val="1"/>
                <w:szCs w:val="1"/>
                <w:color w:val="auto"/>
              </w:rPr>
            </w:pPr>
          </w:p>
        </w:tc>
      </w:tr>
      <w:tr>
        <w:trPr>
          <w:trHeight w:val="16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ind w:left="1217"/>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2023 </w:t>
            </w:r>
            <w:r>
              <w:rPr>
                <w:rFonts w:ascii="Times New Roman" w:cs="Times New Roman" w:eastAsia="Times New Roman" w:hAnsi="Times New Roman"/>
                <w:sz w:val="16"/>
                <w:szCs w:val="16"/>
                <w:color w:val="auto"/>
                <w:vertAlign w:val="superscript"/>
              </w:rPr>
              <w:t>(b)</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82</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Bridge Loan, due 2022 </w:t>
            </w:r>
            <w:r>
              <w:rPr>
                <w:rFonts w:ascii="Times New Roman" w:cs="Times New Roman" w:eastAsia="Times New Roman" w:hAnsi="Times New Roman"/>
                <w:sz w:val="16"/>
                <w:szCs w:val="16"/>
                <w:color w:val="auto"/>
                <w:vertAlign w:val="superscript"/>
              </w:rPr>
              <w:t>(c)</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9"/>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Project-level debt: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2.395 - 3.633</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45</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L+2.625</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5.696 - 7.015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35</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1097"/>
              <w:spacing w:after="0"/>
              <w:rPr>
                <w:sz w:val="20"/>
                <w:szCs w:val="20"/>
                <w:color w:val="auto"/>
              </w:rPr>
            </w:pPr>
            <w:r>
              <w:rPr>
                <w:rFonts w:ascii="Times New Roman" w:cs="Times New Roman" w:eastAsia="Times New Roman" w:hAnsi="Times New Roman"/>
                <w:sz w:val="13"/>
                <w:szCs w:val="13"/>
                <w:color w:val="auto"/>
                <w:w w:val="97"/>
              </w:rPr>
              <w:t>Various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22</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77</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Holdco, due 2038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2.339 - 3.775</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13</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 Segundo Energy Center, due 2023</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L+1.875 - L+2.500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138</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Kawailoa Solar Portfolio LLC, due 2026</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Laredo Ridge, due 2028 </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L+2.125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Marsh Landing, due 2023</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L+2.375</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62</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I, due 2022 and 2024</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L+1.000 - L+1.250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NIMH Solar, due 2024</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L+2.000</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11</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Rosie Class B LLC, due 2027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Tapestry Wind LLC, due 2031</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Viento Funding II, LLC, due 2023 and 2029 </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34</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Walnut Creek, due 2023</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126</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WCEP Holdings, LLC, due 2023</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L+3.000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gridSpan w:val="2"/>
          </w:tcPr>
          <w:p>
            <w:pPr>
              <w:jc w:val="center"/>
              <w:ind w:left="1097"/>
              <w:spacing w:after="0"/>
              <w:rPr>
                <w:sz w:val="20"/>
                <w:szCs w:val="20"/>
                <w:color w:val="auto"/>
              </w:rPr>
            </w:pPr>
            <w:r>
              <w:rPr>
                <w:rFonts w:ascii="Times New Roman" w:cs="Times New Roman" w:eastAsia="Times New Roman" w:hAnsi="Times New Roman"/>
                <w:sz w:val="13"/>
                <w:szCs w:val="13"/>
                <w:color w:val="auto"/>
                <w:w w:val="97"/>
              </w:rPr>
              <w:t>Various</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242424"/>
              </w:rPr>
              <w:t>191</w:t>
            </w: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Subtotal project-level debt:</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(e)</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March 31, 2022, L+ equals 3 month LIBOR plus x%, except Clearway Energy Operating LLC Revolving Credit Facility, due 2023, Marsh Landing, due 2023, Mililani I, due 2022 and 2024, and Walnut Creek, due 2023, where L+ equals 1 month LIBOR plus x%.</w:t>
      </w:r>
    </w:p>
    <w:p>
      <w:pPr>
        <w:spacing w:after="0" w:line="121" w:lineRule="exact"/>
        <w:rPr>
          <w:rFonts w:ascii="Times New Roman" w:cs="Times New Roman" w:eastAsia="Times New Roman" w:hAnsi="Times New Roman"/>
          <w:sz w:val="14"/>
          <w:szCs w:val="14"/>
          <w:color w:val="auto"/>
          <w:vertAlign w:val="superscript"/>
        </w:rPr>
      </w:pPr>
    </w:p>
    <w:p>
      <w:pPr>
        <w:ind w:left="120" w:hanging="11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S+ equals SOFR, plus x%.</w:t>
      </w:r>
    </w:p>
    <w:p>
      <w:pPr>
        <w:spacing w:after="0" w:line="35" w:lineRule="exact"/>
        <w:rPr>
          <w:rFonts w:ascii="Times New Roman" w:cs="Times New Roman" w:eastAsia="Times New Roman" w:hAnsi="Times New Roman"/>
          <w:sz w:val="14"/>
          <w:szCs w:val="14"/>
          <w:color w:val="auto"/>
          <w:vertAlign w:val="superscript"/>
        </w:rPr>
      </w:pPr>
    </w:p>
    <w:p>
      <w:pPr>
        <w:ind w:firstLine="5"/>
        <w:spacing w:after="0" w:line="237" w:lineRule="auto"/>
        <w:tabs>
          <w:tab w:leader="none" w:pos="125"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Laredo Ridge, due 2028; Tapestry Wind, LLC, due 2031; and Viento Funding II, LLC, due 2023 project-level debt was repaid on March 16, 2022 totaling $186 million and was replaced with $190 million in new project-level debt under Viento Funding II, LLC that was obtained on March 16, 2022 and is due in 2029, as discussed further below.</w:t>
      </w:r>
    </w:p>
    <w:p>
      <w:pPr>
        <w:ind w:left="120" w:hanging="115"/>
        <w:spacing w:after="0" w:line="237" w:lineRule="auto"/>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March 31, 2022, the Company was in compliance with all of the required covenants.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three months ended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As of March 31, 2022, the Company had $305 million in outstanding borrowings under the revolving credit facility and $82 million in letters of credit outstanding. During the three months ended March 31, 2022, the Company borrowed $80 million under the revolving credit facility, and subsequently repaid $20 million. On May 3, 2022, the Company repaid the $305 million in outstanding borrowings under the revolving credit facility utilizing the proceeds received from the Thermal Disposition,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Bridge Loan Agreement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March 31, 2022, the Company had $335 million in outstanding borrowings under the Bridge Loan Agreement. 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Project - 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Viento Funding II, LLC</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Mililani I</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March 25, 2022, as part of the acquisition of Mililani I,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(Losses) Earnings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(losses) earnings per common share is computed by dividing net income by the weighted average number of common shares outstanding. Shares issued during the year are weighted for the portion of the year that they were outstanding. Diluted (losses) earnings per share is computed in a manner consistent with that of basic (losses) earnings per share while giving effect to all potentially dilutive common shares that were outstanding during the period.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(losses) earnings per share is shown in the following tables: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4"/>
                <w:szCs w:val="14"/>
                <w:b w:val="1"/>
                <w:bCs w:val="1"/>
                <w:color w:val="auto"/>
                <w:vertAlign w:val="superscript"/>
              </w:rPr>
              <w:t>(a)</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Common Class C</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(losses) earnings per share attributable to Clearway Energy, Inc. common stockholders</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Clearway Energy,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(Losses) earnings per weighted average common share — basic and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6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104"/>
        <w:spacing w:after="0"/>
        <w:tabs>
          <w:tab w:leader="none" w:pos="300"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Net (loss) income attributable to Clearway Energy, Inc. and basic and diluted (losses) earnings per share might not recalculate due to presenting values in millions rather than whole dollars.</w:t>
      </w:r>
    </w:p>
    <w:p>
      <w:pPr>
        <w:spacing w:after="0" w:line="200" w:lineRule="exact"/>
        <w:rPr>
          <w:rFonts w:ascii="Times New Roman" w:cs="Times New Roman" w:eastAsia="Times New Roman" w:hAnsi="Times New Roman"/>
          <w:sz w:val="14"/>
          <w:szCs w:val="14"/>
          <w:color w:val="auto"/>
          <w:vertAlign w:val="superscript"/>
        </w:rPr>
      </w:pPr>
    </w:p>
    <w:p>
      <w:pPr>
        <w:spacing w:after="0" w:line="200" w:lineRule="exact"/>
        <w:rPr>
          <w:rFonts w:ascii="Times New Roman" w:cs="Times New Roman" w:eastAsia="Times New Roman" w:hAnsi="Times New Roman"/>
          <w:sz w:val="14"/>
          <w:szCs w:val="14"/>
          <w:color w:val="auto"/>
          <w:vertAlign w:val="superscript"/>
        </w:rPr>
      </w:pPr>
    </w:p>
    <w:p>
      <w:pPr>
        <w:spacing w:after="0" w:line="200" w:lineRule="exact"/>
        <w:rPr>
          <w:rFonts w:ascii="Times New Roman" w:cs="Times New Roman" w:eastAsia="Times New Roman" w:hAnsi="Times New Roman"/>
          <w:sz w:val="14"/>
          <w:szCs w:val="14"/>
          <w:color w:val="auto"/>
          <w:vertAlign w:val="superscript"/>
        </w:rPr>
      </w:pPr>
    </w:p>
    <w:p>
      <w:pPr>
        <w:spacing w:after="0" w:line="264" w:lineRule="exact"/>
        <w:rPr>
          <w:rFonts w:ascii="Times New Roman" w:cs="Times New Roman" w:eastAsia="Times New Roman" w:hAnsi="Times New Roman"/>
          <w:sz w:val="14"/>
          <w:szCs w:val="14"/>
          <w:color w:val="auto"/>
          <w:vertAlign w:val="superscript"/>
        </w:rPr>
      </w:pPr>
    </w:p>
    <w:p>
      <w:pPr>
        <w:ind w:left="5580"/>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right="40" w:firstLine="318"/>
        <w:spacing w:after="0" w:line="261"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renewable businesses which consist of solar and wind, and the Thermal Business, which was classified as held for sale as of March 31, 2022. On May 1, 2022, the Company completed the sale of 100% of its interests in the Thermal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10"/>
          </w:tcPr>
          <w:p>
            <w:pPr>
              <w:jc w:val="center"/>
              <w:ind w:left="591"/>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color w:val="auto"/>
                <w:vertAlign w:val="superscript"/>
              </w:rPr>
              <w:t>(a)</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52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522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separately below</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shd w:val="clear" w:color="auto" w:fill="CCEEFF"/>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shd w:val="clear" w:color="auto" w:fill="CCEEFF"/>
          </w:tcPr>
          <w:p>
            <w:pPr>
              <w:spacing w:after="0"/>
              <w:rPr>
                <w:sz w:val="15"/>
                <w:szCs w:val="15"/>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Development costs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shd w:val="clear" w:color="auto" w:fill="CCEEFF"/>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bottom w:val="single" w:sz="8" w:color="CCEEFF"/>
            </w:tcBorders>
          </w:tcPr>
          <w:p>
            <w:pPr>
              <w:spacing w:after="0"/>
              <w:rPr>
                <w:sz w:val="15"/>
                <w:szCs w:val="15"/>
                <w:color w:val="auto"/>
              </w:rPr>
            </w:pPr>
          </w:p>
        </w:tc>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tax benefit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Total Assets </w:t>
            </w:r>
            <w:r>
              <w:rPr>
                <w:rFonts w:ascii="Times New Roman" w:cs="Times New Roman" w:eastAsia="Times New Roman" w:hAnsi="Times New Roman"/>
                <w:sz w:val="18"/>
                <w:szCs w:val="18"/>
                <w:b w:val="1"/>
                <w:bCs w:val="1"/>
                <w:color w:val="auto"/>
                <w:vertAlign w:val="superscript"/>
              </w:rPr>
              <w:t>(b)</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80" w:type="dxa"/>
            <w:vAlign w:val="bottom"/>
            <w:gridSpan w:val="2"/>
            <w:vMerge w:val="continue"/>
          </w:tcPr>
          <w:p>
            <w:pPr>
              <w:spacing w:after="0"/>
              <w:rPr>
                <w:sz w:val="17"/>
                <w:szCs w:val="17"/>
                <w:color w:val="auto"/>
              </w:rPr>
            </w:pPr>
          </w:p>
        </w:tc>
        <w:tc>
          <w:tcPr>
            <w:tcW w:w="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Thermal Business assets were classified as held for sale at March 31, 2022.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0"/>
          </w:tcPr>
          <w:p>
            <w:pPr>
              <w:jc w:val="center"/>
              <w:ind w:left="671"/>
              <w:spacing w:after="0"/>
              <w:rPr>
                <w:sz w:val="20"/>
                <w:szCs w:val="20"/>
                <w:color w:val="auto"/>
              </w:rPr>
            </w:pPr>
            <w:r>
              <w:rPr>
                <w:rFonts w:ascii="Times New Roman" w:cs="Times New Roman" w:eastAsia="Times New Roman" w:hAnsi="Times New Roman"/>
                <w:sz w:val="11"/>
                <w:szCs w:val="11"/>
                <w:b w:val="1"/>
                <w:bCs w:val="1"/>
                <w:color w:val="auto"/>
              </w:rPr>
              <w:t>Three months ended March 31, 2021</w:t>
            </w: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5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2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0" w:type="dxa"/>
            <w:vAlign w:val="bottom"/>
            <w:tcBorders>
              <w:top w:val="single" w:sz="8" w:color="BFE4FF"/>
            </w:tcBorders>
            <w:shd w:val="clear" w:color="auto" w:fill="BFE4FF"/>
          </w:tcPr>
          <w:p>
            <w:pPr>
              <w:spacing w:after="0"/>
              <w:rPr>
                <w:sz w:val="15"/>
                <w:szCs w:val="15"/>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Borders>
              <w:top w:val="single" w:sz="8" w:color="auto"/>
            </w:tcBorders>
            <w:shd w:val="clear" w:color="auto" w:fill="BFE4FF"/>
          </w:tcPr>
          <w:p>
            <w:pPr>
              <w:spacing w:after="0"/>
              <w:rPr>
                <w:sz w:val="15"/>
                <w:szCs w:val="15"/>
                <w:color w:val="auto"/>
              </w:rPr>
            </w:pPr>
          </w:p>
        </w:tc>
        <w:tc>
          <w:tcPr>
            <w:tcW w:w="60" w:type="dxa"/>
            <w:vAlign w:val="bottom"/>
            <w:tcBorders>
              <w:top w:val="single" w:sz="8" w:color="BFE4FF"/>
            </w:tcBorders>
            <w:shd w:val="clear" w:color="auto" w:fill="BFE4FF"/>
          </w:tcPr>
          <w:p>
            <w:pPr>
              <w:spacing w:after="0"/>
              <w:rPr>
                <w:sz w:val="15"/>
                <w:szCs w:val="15"/>
                <w:color w:val="auto"/>
              </w:rPr>
            </w:pPr>
          </w:p>
        </w:tc>
        <w:tc>
          <w:tcPr>
            <w:tcW w:w="40" w:type="dxa"/>
            <w:vAlign w:val="bottom"/>
            <w:tcBorders>
              <w:top w:val="single" w:sz="8" w:color="BFE4FF"/>
            </w:tcBorders>
            <w:shd w:val="clear" w:color="auto" w:fill="BFE4FF"/>
          </w:tcPr>
          <w:p>
            <w:pPr>
              <w:spacing w:after="0"/>
              <w:rPr>
                <w:sz w:val="15"/>
                <w:szCs w:val="15"/>
                <w:color w:val="auto"/>
              </w:rPr>
            </w:pPr>
          </w:p>
        </w:tc>
        <w:tc>
          <w:tcPr>
            <w:tcW w:w="160" w:type="dxa"/>
            <w:vAlign w:val="bottom"/>
            <w:tcBorders>
              <w:top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Borders>
              <w:top w:val="single" w:sz="8" w:color="auto"/>
            </w:tcBorders>
            <w:shd w:val="clear" w:color="auto" w:fill="BFE4FF"/>
          </w:tcPr>
          <w:p>
            <w:pPr>
              <w:spacing w:after="0"/>
              <w:rPr>
                <w:sz w:val="15"/>
                <w:szCs w:val="15"/>
                <w:color w:val="auto"/>
              </w:rPr>
            </w:pPr>
          </w:p>
        </w:tc>
        <w:tc>
          <w:tcPr>
            <w:tcW w:w="60" w:type="dxa"/>
            <w:vAlign w:val="bottom"/>
            <w:tcBorders>
              <w:top w:val="single" w:sz="8" w:color="BFE4FF"/>
            </w:tcBorders>
            <w:shd w:val="clear" w:color="auto" w:fill="BFE4FF"/>
          </w:tcPr>
          <w:p>
            <w:pPr>
              <w:spacing w:after="0"/>
              <w:rPr>
                <w:sz w:val="15"/>
                <w:szCs w:val="15"/>
                <w:color w:val="auto"/>
              </w:rPr>
            </w:pPr>
          </w:p>
        </w:tc>
        <w:tc>
          <w:tcPr>
            <w:tcW w:w="40" w:type="dxa"/>
            <w:vAlign w:val="bottom"/>
            <w:tcBorders>
              <w:top w:val="single" w:sz="8" w:color="BFE4FF"/>
            </w:tcBorders>
            <w:shd w:val="clear" w:color="auto" w:fill="BFE4FF"/>
          </w:tcPr>
          <w:p>
            <w:pPr>
              <w:spacing w:after="0"/>
              <w:rPr>
                <w:sz w:val="15"/>
                <w:szCs w:val="15"/>
                <w:color w:val="auto"/>
              </w:rPr>
            </w:pPr>
          </w:p>
        </w:tc>
        <w:tc>
          <w:tcPr>
            <w:tcW w:w="200" w:type="dxa"/>
            <w:vAlign w:val="bottom"/>
            <w:tcBorders>
              <w:top w:val="single" w:sz="8" w:color="auto"/>
            </w:tcBorders>
            <w:shd w:val="clear" w:color="auto" w:fill="BFE4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tcBorders>
              <w:top w:val="single" w:sz="8" w:color="auto"/>
            </w:tcBorders>
            <w:shd w:val="clear" w:color="auto" w:fill="BFE4FF"/>
          </w:tcPr>
          <w:p>
            <w:pPr>
              <w:spacing w:after="0"/>
              <w:rPr>
                <w:sz w:val="15"/>
                <w:szCs w:val="15"/>
                <w:color w:val="auto"/>
              </w:rPr>
            </w:pPr>
          </w:p>
        </w:tc>
        <w:tc>
          <w:tcPr>
            <w:tcW w:w="60" w:type="dxa"/>
            <w:vAlign w:val="bottom"/>
            <w:tcBorders>
              <w:top w:val="single" w:sz="8" w:color="BFE4FF"/>
            </w:tcBorders>
            <w:shd w:val="clear" w:color="auto" w:fill="BFE4FF"/>
          </w:tcPr>
          <w:p>
            <w:pPr>
              <w:spacing w:after="0"/>
              <w:rPr>
                <w:sz w:val="15"/>
                <w:szCs w:val="15"/>
                <w:color w:val="auto"/>
              </w:rPr>
            </w:pPr>
          </w:p>
        </w:tc>
        <w:tc>
          <w:tcPr>
            <w:tcW w:w="40" w:type="dxa"/>
            <w:vAlign w:val="bottom"/>
            <w:tcBorders>
              <w:top w:val="single" w:sz="8" w:color="BFE4FF"/>
            </w:tcBorders>
            <w:shd w:val="clear" w:color="auto" w:fill="BFE4FF"/>
          </w:tcPr>
          <w:p>
            <w:pPr>
              <w:spacing w:after="0"/>
              <w:rPr>
                <w:sz w:val="15"/>
                <w:szCs w:val="15"/>
                <w:color w:val="auto"/>
              </w:rPr>
            </w:pPr>
          </w:p>
        </w:tc>
        <w:tc>
          <w:tcPr>
            <w:tcW w:w="220" w:type="dxa"/>
            <w:vAlign w:val="bottom"/>
            <w:tcBorders>
              <w:top w:val="single" w:sz="8" w:color="auto"/>
            </w:tcBorders>
            <w:shd w:val="clear" w:color="auto" w:fill="BFE4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BFE4FF"/>
            </w:tcBorders>
            <w:shd w:val="clear" w:color="auto" w:fill="BFE4FF"/>
          </w:tcPr>
          <w:p>
            <w:pPr>
              <w:spacing w:after="0"/>
              <w:rPr>
                <w:sz w:val="15"/>
                <w:szCs w:val="15"/>
                <w:color w:val="auto"/>
              </w:rPr>
            </w:pPr>
          </w:p>
        </w:tc>
        <w:tc>
          <w:tcPr>
            <w:tcW w:w="60" w:type="dxa"/>
            <w:vAlign w:val="bottom"/>
            <w:tcBorders>
              <w:top w:val="single" w:sz="8" w:color="BFE4FF"/>
            </w:tcBorders>
            <w:shd w:val="clear" w:color="auto" w:fill="BFE4FF"/>
          </w:tcPr>
          <w:p>
            <w:pPr>
              <w:spacing w:after="0"/>
              <w:rPr>
                <w:sz w:val="15"/>
                <w:szCs w:val="15"/>
                <w:color w:val="auto"/>
              </w:rPr>
            </w:pPr>
          </w:p>
        </w:tc>
        <w:tc>
          <w:tcPr>
            <w:tcW w:w="240" w:type="dxa"/>
            <w:vAlign w:val="bottom"/>
            <w:tcBorders>
              <w:top w:val="single" w:sz="8" w:color="auto"/>
            </w:tcBorders>
            <w:shd w:val="clear" w:color="auto" w:fill="BFE4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w w:val="95"/>
              </w:rPr>
              <w:t>237</w:t>
            </w:r>
          </w:p>
        </w:tc>
        <w:tc>
          <w:tcPr>
            <w:tcW w:w="40" w:type="dxa"/>
            <w:vAlign w:val="bottom"/>
            <w:tcBorders>
              <w:top w:val="single" w:sz="8" w:color="auto"/>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5220" w:type="dxa"/>
            <w:vAlign w:val="bottom"/>
          </w:tcPr>
          <w:p>
            <w:pPr>
              <w:ind w:left="16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separately below</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5"/>
              </w:rPr>
              <w:t>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52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940" w:type="dxa"/>
            <w:vAlign w:val="bottom"/>
            <w:gridSpan w:val="3"/>
            <w:shd w:val="clear" w:color="auto" w:fill="BFE4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w w:val="95"/>
              </w:rPr>
              <w:t>128</w:t>
            </w:r>
          </w:p>
        </w:tc>
        <w:tc>
          <w:tcPr>
            <w:tcW w:w="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4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2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98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Development costs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Borders>
              <w:top w:val="single" w:sz="8" w:color="BFE4FF"/>
            </w:tcBorders>
            <w:shd w:val="clear" w:color="auto" w:fill="BFE4FF"/>
          </w:tcPr>
          <w:p>
            <w:pPr>
              <w:spacing w:after="0"/>
              <w:rPr>
                <w:sz w:val="14"/>
                <w:szCs w:val="14"/>
                <w:color w:val="auto"/>
              </w:rPr>
            </w:pPr>
          </w:p>
        </w:tc>
        <w:tc>
          <w:tcPr>
            <w:tcW w:w="160" w:type="dxa"/>
            <w:vAlign w:val="bottom"/>
            <w:tcBorders>
              <w:top w:val="single" w:sz="8" w:color="auto"/>
            </w:tcBorders>
            <w:shd w:val="clear" w:color="auto" w:fill="BFE4FF"/>
          </w:tcPr>
          <w:p>
            <w:pPr>
              <w:spacing w:after="0"/>
              <w:rPr>
                <w:sz w:val="14"/>
                <w:szCs w:val="14"/>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top w:val="single" w:sz="8" w:color="auto"/>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40" w:type="dxa"/>
            <w:vAlign w:val="bottom"/>
            <w:tcBorders>
              <w:top w:val="single" w:sz="8" w:color="BFE4FF"/>
            </w:tcBorders>
            <w:shd w:val="clear" w:color="auto" w:fill="BFE4FF"/>
          </w:tcPr>
          <w:p>
            <w:pPr>
              <w:spacing w:after="0"/>
              <w:rPr>
                <w:sz w:val="14"/>
                <w:szCs w:val="14"/>
                <w:color w:val="auto"/>
              </w:rPr>
            </w:pPr>
          </w:p>
        </w:tc>
        <w:tc>
          <w:tcPr>
            <w:tcW w:w="160" w:type="dxa"/>
            <w:vAlign w:val="bottom"/>
            <w:tcBorders>
              <w:top w:val="single" w:sz="8" w:color="auto"/>
            </w:tcBorders>
            <w:shd w:val="clear" w:color="auto" w:fill="BFE4FF"/>
          </w:tcPr>
          <w:p>
            <w:pPr>
              <w:spacing w:after="0"/>
              <w:rPr>
                <w:sz w:val="14"/>
                <w:szCs w:val="14"/>
                <w:color w:val="auto"/>
              </w:rPr>
            </w:pPr>
          </w:p>
        </w:tc>
        <w:tc>
          <w:tcPr>
            <w:tcW w:w="960" w:type="dxa"/>
            <w:vAlign w:val="bottom"/>
            <w:tcBorders>
              <w:top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top w:val="single" w:sz="8" w:color="BFE4FF"/>
            </w:tcBorders>
            <w:shd w:val="clear" w:color="auto" w:fill="BFE4FF"/>
          </w:tcPr>
          <w:p>
            <w:pPr>
              <w:spacing w:after="0"/>
              <w:rPr>
                <w:sz w:val="14"/>
                <w:szCs w:val="14"/>
                <w:color w:val="auto"/>
              </w:rPr>
            </w:pPr>
          </w:p>
        </w:tc>
        <w:tc>
          <w:tcPr>
            <w:tcW w:w="40" w:type="dxa"/>
            <w:vAlign w:val="bottom"/>
            <w:tcBorders>
              <w:top w:val="single" w:sz="8" w:color="BFE4FF"/>
            </w:tcBorders>
            <w:shd w:val="clear" w:color="auto" w:fill="BFE4FF"/>
          </w:tcPr>
          <w:p>
            <w:pPr>
              <w:spacing w:after="0"/>
              <w:rPr>
                <w:sz w:val="14"/>
                <w:szCs w:val="14"/>
                <w:color w:val="auto"/>
              </w:rPr>
            </w:pPr>
          </w:p>
        </w:tc>
        <w:tc>
          <w:tcPr>
            <w:tcW w:w="200" w:type="dxa"/>
            <w:vAlign w:val="bottom"/>
            <w:tcBorders>
              <w:top w:val="single" w:sz="8" w:color="auto"/>
            </w:tcBorders>
            <w:shd w:val="clear" w:color="auto" w:fill="BFE4FF"/>
          </w:tcPr>
          <w:p>
            <w:pPr>
              <w:spacing w:after="0"/>
              <w:rPr>
                <w:sz w:val="14"/>
                <w:szCs w:val="14"/>
                <w:color w:val="auto"/>
              </w:rPr>
            </w:pPr>
          </w:p>
        </w:tc>
        <w:tc>
          <w:tcPr>
            <w:tcW w:w="9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4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auto"/>
            </w:tcBorders>
            <w:shd w:val="clear" w:color="auto" w:fill="BFE4FF"/>
          </w:tcPr>
          <w:p>
            <w:pPr>
              <w:spacing w:after="0"/>
              <w:rPr>
                <w:sz w:val="14"/>
                <w:szCs w:val="14"/>
                <w:color w:val="auto"/>
              </w:rPr>
            </w:pPr>
          </w:p>
        </w:tc>
        <w:tc>
          <w:tcPr>
            <w:tcW w:w="900" w:type="dxa"/>
            <w:vAlign w:val="bottom"/>
            <w:tcBorders>
              <w:top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top w:val="single" w:sz="8" w:color="BFE4FF"/>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240" w:type="dxa"/>
            <w:vAlign w:val="bottom"/>
            <w:tcBorders>
              <w:top w:val="single" w:sz="8" w:color="auto"/>
            </w:tcBorders>
            <w:shd w:val="clear" w:color="auto" w:fill="BFE4FF"/>
          </w:tcPr>
          <w:p>
            <w:pPr>
              <w:spacing w:after="0"/>
              <w:rPr>
                <w:sz w:val="14"/>
                <w:szCs w:val="14"/>
                <w:color w:val="auto"/>
              </w:rPr>
            </w:pPr>
          </w:p>
        </w:tc>
        <w:tc>
          <w:tcPr>
            <w:tcW w:w="880" w:type="dxa"/>
            <w:vAlign w:val="bottom"/>
            <w:tcBorders>
              <w:top w:val="single" w:sz="8" w:color="auto"/>
            </w:tcBorders>
            <w:gridSpan w:val="2"/>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2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98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940" w:type="dxa"/>
            <w:vAlign w:val="bottom"/>
            <w:gridSpan w:val="3"/>
            <w:shd w:val="clear" w:color="auto" w:fill="BFE4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BFE4FF"/>
          </w:tcPr>
          <w:p>
            <w:pPr>
              <w:spacing w:after="0"/>
              <w:rPr>
                <w:sz w:val="15"/>
                <w:szCs w:val="15"/>
                <w:color w:val="auto"/>
              </w:rPr>
            </w:pPr>
          </w:p>
        </w:tc>
        <w:tc>
          <w:tcPr>
            <w:tcW w:w="160" w:type="dxa"/>
            <w:vAlign w:val="bottom"/>
            <w:tcBorders>
              <w:bottom w:val="single" w:sz="8" w:color="auto"/>
            </w:tcBorders>
            <w:shd w:val="clear" w:color="auto" w:fill="BFE4FF"/>
          </w:tcPr>
          <w:p>
            <w:pPr>
              <w:spacing w:after="0"/>
              <w:rPr>
                <w:sz w:val="15"/>
                <w:szCs w:val="15"/>
                <w:color w:val="auto"/>
              </w:rPr>
            </w:pPr>
          </w:p>
        </w:tc>
        <w:tc>
          <w:tcPr>
            <w:tcW w:w="980" w:type="dxa"/>
            <w:vAlign w:val="bottom"/>
            <w:tcBorders>
              <w:bottom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160" w:type="dxa"/>
            <w:vAlign w:val="bottom"/>
            <w:tcBorders>
              <w:bottom w:val="single" w:sz="8" w:color="auto"/>
            </w:tcBorders>
            <w:shd w:val="clear" w:color="auto" w:fill="BFE4FF"/>
          </w:tcPr>
          <w:p>
            <w:pPr>
              <w:spacing w:after="0"/>
              <w:rPr>
                <w:sz w:val="15"/>
                <w:szCs w:val="15"/>
                <w:color w:val="auto"/>
              </w:rPr>
            </w:pPr>
          </w:p>
        </w:tc>
        <w:tc>
          <w:tcPr>
            <w:tcW w:w="960" w:type="dxa"/>
            <w:vAlign w:val="bottom"/>
            <w:tcBorders>
              <w:bottom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200" w:type="dxa"/>
            <w:vAlign w:val="bottom"/>
            <w:tcBorders>
              <w:bottom w:val="single" w:sz="8" w:color="auto"/>
            </w:tcBorders>
            <w:shd w:val="clear" w:color="auto" w:fill="BFE4FF"/>
          </w:tcPr>
          <w:p>
            <w:pPr>
              <w:spacing w:after="0"/>
              <w:rPr>
                <w:sz w:val="15"/>
                <w:szCs w:val="15"/>
                <w:color w:val="auto"/>
              </w:rPr>
            </w:pPr>
          </w:p>
        </w:tc>
        <w:tc>
          <w:tcPr>
            <w:tcW w:w="920" w:type="dxa"/>
            <w:vAlign w:val="bottom"/>
            <w:tcBorders>
              <w:bottom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BFE4FF"/>
          </w:tcPr>
          <w:p>
            <w:pPr>
              <w:spacing w:after="0"/>
              <w:rPr>
                <w:sz w:val="15"/>
                <w:szCs w:val="15"/>
                <w:color w:val="auto"/>
              </w:rPr>
            </w:pPr>
          </w:p>
        </w:tc>
        <w:tc>
          <w:tcPr>
            <w:tcW w:w="40" w:type="dxa"/>
            <w:vAlign w:val="bottom"/>
            <w:shd w:val="clear" w:color="auto" w:fill="BFE4FF"/>
          </w:tcPr>
          <w:p>
            <w:pPr>
              <w:spacing w:after="0"/>
              <w:rPr>
                <w:sz w:val="15"/>
                <w:szCs w:val="15"/>
                <w:color w:val="auto"/>
              </w:rPr>
            </w:pPr>
          </w:p>
        </w:tc>
        <w:tc>
          <w:tcPr>
            <w:tcW w:w="220" w:type="dxa"/>
            <w:vAlign w:val="bottom"/>
            <w:tcBorders>
              <w:bottom w:val="single" w:sz="8" w:color="auto"/>
            </w:tcBorders>
            <w:shd w:val="clear" w:color="auto" w:fill="BFE4FF"/>
          </w:tcPr>
          <w:p>
            <w:pPr>
              <w:spacing w:after="0"/>
              <w:rPr>
                <w:sz w:val="15"/>
                <w:szCs w:val="15"/>
                <w:color w:val="auto"/>
              </w:rPr>
            </w:pPr>
          </w:p>
        </w:tc>
        <w:tc>
          <w:tcPr>
            <w:tcW w:w="900" w:type="dxa"/>
            <w:vAlign w:val="bottom"/>
            <w:tcBorders>
              <w:bottom w:val="single" w:sz="8" w:color="auto"/>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240" w:type="dxa"/>
            <w:vAlign w:val="bottom"/>
            <w:tcBorders>
              <w:bottom w:val="single" w:sz="8" w:color="auto"/>
            </w:tcBorders>
            <w:shd w:val="clear" w:color="auto" w:fill="BFE4FF"/>
          </w:tcPr>
          <w:p>
            <w:pPr>
              <w:spacing w:after="0"/>
              <w:rPr>
                <w:sz w:val="15"/>
                <w:szCs w:val="15"/>
                <w:color w:val="auto"/>
              </w:rPr>
            </w:pPr>
          </w:p>
        </w:tc>
        <w:tc>
          <w:tcPr>
            <w:tcW w:w="880" w:type="dxa"/>
            <w:vAlign w:val="bottom"/>
            <w:tcBorders>
              <w:bottom w:val="single" w:sz="8" w:color="auto"/>
            </w:tcBorders>
            <w:gridSpan w:val="2"/>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Income tax benefit</w:t>
            </w:r>
          </w:p>
        </w:tc>
        <w:tc>
          <w:tcPr>
            <w:tcW w:w="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4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102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980" w:type="dxa"/>
            <w:vAlign w:val="bottom"/>
            <w:gridSpan w:val="3"/>
            <w:shd w:val="clear" w:color="auto" w:fill="BFE4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900" w:type="dxa"/>
            <w:vAlign w:val="bottom"/>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80" w:type="dxa"/>
            <w:vAlign w:val="bottom"/>
            <w:gridSpan w:val="2"/>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231F20"/>
              </w:rPr>
              <w:t>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20"/>
          </w:cols>
          <w:pgMar w:left="300" w:top="728"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 xml:space="preserve">Note 10 — </w:t>
      </w:r>
      <w:r>
        <w:rPr>
          <w:rFonts w:ascii="Times New Roman" w:cs="Times New Roman" w:eastAsia="Times New Roman" w:hAnsi="Times New Roman"/>
          <w:sz w:val="14"/>
          <w:szCs w:val="14"/>
          <w:b w:val="1"/>
          <w:bCs w:val="1"/>
          <w:i w:val="1"/>
          <w:iCs w:val="1"/>
          <w:color w:val="auto"/>
        </w:rPr>
        <w:t>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center"/>
              <w:ind w:right="33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r>
      <w:tr>
        <w:trPr>
          <w:trHeight w:val="154"/>
        </w:trPr>
        <w:tc>
          <w:tcPr>
            <w:tcW w:w="78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50"/>
        </w:trPr>
        <w:tc>
          <w:tcPr>
            <w:tcW w:w="7840" w:type="dxa"/>
            <w:vAlign w:val="bottom"/>
          </w:tcPr>
          <w:p>
            <w:pPr>
              <w:spacing w:after="0"/>
              <w:rPr>
                <w:sz w:val="13"/>
                <w:szCs w:val="13"/>
                <w:color w:val="auto"/>
              </w:rPr>
            </w:pPr>
          </w:p>
        </w:tc>
        <w:tc>
          <w:tcPr>
            <w:tcW w:w="2880" w:type="dxa"/>
            <w:vAlign w:val="bottom"/>
            <w:gridSpan w:val="3"/>
          </w:tcPr>
          <w:p>
            <w:pPr>
              <w:jc w:val="center"/>
              <w:ind w:left="499"/>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560" w:type="dxa"/>
            <w:vAlign w:val="bottom"/>
          </w:tcPr>
          <w:p>
            <w:pPr>
              <w:spacing w:after="0"/>
              <w:rPr>
                <w:sz w:val="13"/>
                <w:szCs w:val="13"/>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(98)</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9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tcPr>
          <w:p>
            <w:pPr>
              <w:spacing w:after="0"/>
              <w:rPr>
                <w:sz w:val="15"/>
                <w:szCs w:val="15"/>
                <w:color w:val="auto"/>
              </w:rPr>
            </w:pP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r>
    </w:tbl>
    <w:p>
      <w:pPr>
        <w:spacing w:after="0" w:line="13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2022 and 2021, the overall effective tax rate was different than the statutory rate of 21% primarily due to taxable earnings and losses allocated to partners’ interest in Clearway Energy LLC, which includes the effects of applying the HLBV method of accounting for book purposes of certain partnerships.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tax purposes, Clearway Energy LLC is treated as a partnership; therefore, the Company and CEG each record their respective share of taxable income or loss.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 xml:space="preserve">Note 11 — </w:t>
      </w:r>
      <w:r>
        <w:rPr>
          <w:rFonts w:ascii="Times New Roman" w:cs="Times New Roman" w:eastAsia="Times New Roman" w:hAnsi="Times New Roman"/>
          <w:sz w:val="14"/>
          <w:szCs w:val="14"/>
          <w:b w:val="1"/>
          <w:bCs w:val="1"/>
          <w:i w:val="1"/>
          <w:iCs w:val="1"/>
          <w:color w:val="auto"/>
        </w:rPr>
        <w:t>Related Party Transactions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$15 million and $13 million for the three months ended March 31, 2022 and 2021, respectively. There was a balance of $9 million due to RENOM as of both March 31, 2022 and December 31, 2021.</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$3 million for each of the three months ended March 31, 2022 and 2021. There was a balance of $2 million due to CEG as of both March 31, 2022 and December 31, 2021.</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Agreements</w:t>
      </w:r>
    </w:p>
    <w:p>
      <w:pPr>
        <w:spacing w:after="0" w:line="138"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4"/>
          <w:szCs w:val="14"/>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March 31, 2022 and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 </w:t>
      </w:r>
      <w:r>
        <w:rPr>
          <w:rFonts w:ascii="Times New Roman" w:cs="Times New Roman" w:eastAsia="Times New Roman" w:hAnsi="Times New Roman"/>
          <w:sz w:val="14"/>
          <w:szCs w:val="14"/>
          <w:b w:val="1"/>
          <w:bCs w:val="1"/>
          <w:i w:val="1"/>
          <w:iCs w:val="1"/>
          <w:color w:val="auto"/>
        </w:rPr>
        <w:t>Contingencies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included in the Company's 2021 Form 10-K.</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4"/>
          <w:szCs w:val="14"/>
          <w:i w:val="1"/>
          <w:iCs w:val="1"/>
          <w:color w:val="auto"/>
        </w:rPr>
        <w:t>Buckthorn Solar Litigation</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w:t>
      </w:r>
    </w:p>
    <w:p>
      <w:pPr>
        <w:spacing w:after="0" w:line="2" w:lineRule="exact"/>
        <w:rPr>
          <w:sz w:val="20"/>
          <w:szCs w:val="20"/>
          <w:color w:val="auto"/>
        </w:rPr>
      </w:pPr>
    </w:p>
    <w:p>
      <w:pPr>
        <w:ind w:firstLine="5"/>
        <w:spacing w:after="0" w:line="266" w:lineRule="auto"/>
        <w:tabs>
          <w:tab w:leader="none" w:pos="20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relief to which it is entitled at law or in equity. The current deadline to complete discovery is June 24, 2022, and a bench trial is expected to be scheduled for September or October 2022. Buckthorn Westex believes the allegations of Georgetown are meritless, and Buckthorn Westex is vigorously defending its rights under the PPA.</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you read this discussion and analysis, refer to the Company's consolidated financial statements to this Form 10-Q, which present the results of operations for the three months ended March 31, 2022 and 2021. Also refer to the Company's 2021 Form 10-K, which includes detailed discussions of various items impacting the Company's business, results of operations and financial condition.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60" w:firstLine="9"/>
        <w:spacing w:after="0" w:line="287" w:lineRule="auto"/>
        <w:tabs>
          <w:tab w:leader="none" w:pos="101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9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March 31, 2022 </w:t>
      </w:r>
      <w:r>
        <w:rPr>
          <w:rFonts w:ascii="Times New Roman" w:cs="Times New Roman" w:eastAsia="Times New Roman" w:hAnsi="Times New Roman"/>
          <w:sz w:val="14"/>
          <w:szCs w:val="14"/>
          <w:color w:val="231F20"/>
        </w:rPr>
        <w:t>based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CAFD.</w:t>
      </w:r>
    </w:p>
    <w:p>
      <w:pPr>
        <w:spacing w:after="0" w:line="26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2022, the Company's operating assets are comprised of the following projects:</w:t>
      </w:r>
    </w:p>
    <w:p>
      <w:pPr>
        <w:spacing w:after="0" w:line="67"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1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Projects</w:t>
            </w:r>
          </w:p>
        </w:tc>
        <w:tc>
          <w:tcPr>
            <w:tcW w:w="2060" w:type="dxa"/>
            <w:vAlign w:val="bottom"/>
            <w:vMerge w:val="restart"/>
          </w:tcPr>
          <w:p>
            <w:pPr>
              <w:ind w:left="88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5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7"/>
                <w:szCs w:val="7"/>
                <w:b w:val="1"/>
                <w:bCs w:val="1"/>
                <w:color w:val="auto"/>
              </w:rPr>
              <w:t>(a)</w:t>
            </w:r>
          </w:p>
        </w:tc>
        <w:tc>
          <w:tcPr>
            <w:tcW w:w="25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Carlsbad</w:t>
            </w:r>
          </w:p>
        </w:tc>
        <w:tc>
          <w:tcPr>
            <w:tcW w:w="250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100 %</w:t>
            </w: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527</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 Segundo</w:t>
            </w:r>
          </w:p>
        </w:tc>
        <w:tc>
          <w:tcPr>
            <w:tcW w:w="250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100 %</w:t>
            </w: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550</w:t>
            </w:r>
          </w:p>
        </w:tc>
        <w:tc>
          <w:tcPr>
            <w:tcW w:w="2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2023</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GenConn Devon</w:t>
            </w:r>
          </w:p>
        </w:tc>
        <w:tc>
          <w:tcPr>
            <w:tcW w:w="250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50 %</w:t>
            </w: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95</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GenConn Middletown</w:t>
            </w:r>
          </w:p>
        </w:tc>
        <w:tc>
          <w:tcPr>
            <w:tcW w:w="250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50 %</w:t>
            </w: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95</w:t>
            </w:r>
          </w:p>
        </w:tc>
        <w:tc>
          <w:tcPr>
            <w:tcW w:w="2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Marsh Landing</w:t>
            </w:r>
          </w:p>
        </w:tc>
        <w:tc>
          <w:tcPr>
            <w:tcW w:w="250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100 %</w:t>
            </w: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720</w:t>
            </w:r>
          </w:p>
        </w:tc>
        <w:tc>
          <w:tcPr>
            <w:tcW w:w="2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2023 - 2030</w:t>
            </w:r>
          </w:p>
        </w:tc>
      </w:tr>
      <w:tr>
        <w:trPr>
          <w:trHeight w:val="147"/>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Walnut Creek</w:t>
            </w:r>
          </w:p>
        </w:tc>
        <w:tc>
          <w:tcPr>
            <w:tcW w:w="250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100 %</w:t>
            </w: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485</w:t>
            </w:r>
          </w:p>
        </w:tc>
        <w:tc>
          <w:tcPr>
            <w:tcW w:w="2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18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292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Agua Caliente</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Alpine</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Avenal</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Avra Valley</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Blythe</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Borrego</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(b)</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CVSR</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Desert Sunlight 250</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Desert Sunlight 300</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South</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31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Kawailoa </w:t>
            </w:r>
            <w:r>
              <w:rPr>
                <w:rFonts w:ascii="Times New Roman" w:cs="Times New Roman" w:eastAsia="Times New Roman" w:hAnsi="Times New Roman"/>
                <w:sz w:val="14"/>
                <w:szCs w:val="14"/>
                <w:color w:val="auto"/>
                <w:vertAlign w:val="superscript"/>
              </w:rPr>
              <w:t>(b)</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48 %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9"/>
        </w:trPr>
        <w:tc>
          <w:tcPr>
            <w:tcW w:w="31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Oahu Solar Projects </w:t>
            </w:r>
            <w:r>
              <w:rPr>
                <w:rFonts w:ascii="Times New Roman" w:cs="Times New Roman" w:eastAsia="Times New Roman" w:hAnsi="Times New Roman"/>
                <w:sz w:val="14"/>
                <w:szCs w:val="14"/>
                <w:color w:val="auto"/>
                <w:vertAlign w:val="superscript"/>
              </w:rPr>
              <w:t>(b)</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Roadrunner</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(b)</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53"/>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 High Desert</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Utah Solar Portfolio</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49"/>
        </w:trPr>
        <w:tc>
          <w:tcPr>
            <w:tcW w:w="316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Solar</w:t>
            </w:r>
          </w:p>
        </w:tc>
        <w:tc>
          <w:tcPr>
            <w:tcW w:w="18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29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9"/>
        </w:trPr>
        <w:tc>
          <w:tcPr>
            <w:tcW w:w="31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DGPV Fund Projects </w:t>
            </w:r>
            <w:r>
              <w:rPr>
                <w:rFonts w:ascii="Times New Roman" w:cs="Times New Roman" w:eastAsia="Times New Roman" w:hAnsi="Times New Roman"/>
                <w:sz w:val="14"/>
                <w:szCs w:val="14"/>
                <w:color w:val="auto"/>
                <w:vertAlign w:val="superscript"/>
              </w:rPr>
              <w:t>(b)</w:t>
            </w: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2030 - 2044</w:t>
            </w:r>
          </w:p>
        </w:tc>
      </w:tr>
      <w:tr>
        <w:trPr>
          <w:trHeight w:val="15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Solar Power Partners (SPP) Projects</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2026 - 2037</w:t>
            </w:r>
          </w:p>
        </w:tc>
      </w:tr>
      <w:tr>
        <w:trPr>
          <w:trHeight w:val="15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DG Projects</w:t>
            </w:r>
          </w:p>
        </w:tc>
        <w:tc>
          <w:tcPr>
            <w:tcW w:w="182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Borders>
              <w:bottom w:val="single" w:sz="8" w:color="CCEEFF"/>
            </w:tcBorders>
          </w:tcPr>
          <w:p>
            <w:pPr>
              <w:jc w:val="center"/>
              <w:ind w:left="1203"/>
              <w:spacing w:after="0"/>
              <w:rPr>
                <w:sz w:val="20"/>
                <w:szCs w:val="20"/>
                <w:color w:val="auto"/>
              </w:rPr>
            </w:pPr>
            <w:r>
              <w:rPr>
                <w:rFonts w:ascii="Times New Roman" w:cs="Times New Roman" w:eastAsia="Times New Roman" w:hAnsi="Times New Roman"/>
                <w:sz w:val="11"/>
                <w:szCs w:val="11"/>
                <w:color w:val="auto"/>
              </w:rPr>
              <w:t>2023 - 2039</w:t>
            </w:r>
          </w:p>
        </w:tc>
      </w:tr>
      <w:tr>
        <w:trPr>
          <w:trHeight w:val="156"/>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8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29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w:t>
            </w:r>
          </w:p>
        </w:tc>
        <w:tc>
          <w:tcPr>
            <w:tcW w:w="1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2035</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1"/>
                <w:szCs w:val="11"/>
                <w:b w:val="1"/>
                <w:bCs w:val="1"/>
                <w:color w:val="auto"/>
              </w:rPr>
              <w:t>Projects</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80" w:type="dxa"/>
            <w:vAlign w:val="bottom"/>
          </w:tcPr>
          <w:p>
            <w:pPr>
              <w:spacing w:after="0"/>
              <w:rPr>
                <w:sz w:val="11"/>
                <w:szCs w:val="11"/>
                <w:color w:val="auto"/>
              </w:rPr>
            </w:pPr>
          </w:p>
        </w:tc>
        <w:tc>
          <w:tcPr>
            <w:tcW w:w="41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7"/>
                <w:szCs w:val="7"/>
                <w:b w:val="1"/>
                <w:bCs w:val="1"/>
                <w:color w:val="auto"/>
              </w:rPr>
              <w:t>(a)</w:t>
            </w:r>
          </w:p>
        </w:tc>
        <w:tc>
          <w:tcPr>
            <w:tcW w:w="8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Alta II</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3"/>
                <w:szCs w:val="13"/>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2035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III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2035</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Alta IV</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V</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2035</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Alta X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2038</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Alta XI </w:t>
            </w:r>
            <w:r>
              <w:rPr>
                <w:rFonts w:ascii="Times New Roman" w:cs="Times New Roman" w:eastAsia="Times New Roman" w:hAnsi="Times New Roman"/>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2038</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Toyota and AEP</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2036</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Buffalo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2033</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Crosswinds</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Corn Belt Power Cooperative</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Elkhorn Ridge</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Forward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Goat Wind</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Hardin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Interstate Power and Light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2033</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Laredo Ridge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Lookout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2030</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Mt. Storm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Citigroup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Ocotillo</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Odin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(b) (d)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2040</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San Juan Mesa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49"/>
        </w:trPr>
        <w:tc>
          <w:tcPr>
            <w:tcW w:w="372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3,285</w:t>
            </w:r>
          </w:p>
        </w:tc>
        <w:tc>
          <w:tcPr>
            <w:tcW w:w="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20" w:type="dxa"/>
            <w:vAlign w:val="bottom"/>
            <w:tcBorders>
              <w:bottom w:val="single" w:sz="8" w:color="CCEEFF"/>
            </w:tcBorders>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Thermal generation </w:t>
            </w:r>
            <w:r>
              <w:rPr>
                <w:rFonts w:ascii="Times New Roman" w:cs="Times New Roman" w:eastAsia="Times New Roman" w:hAnsi="Times New Roman"/>
                <w:sz w:val="14"/>
                <w:szCs w:val="14"/>
                <w:color w:val="auto"/>
                <w:vertAlign w:val="superscript"/>
              </w:rPr>
              <w:t>(e)</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Borders>
              <w:bottom w:val="single" w:sz="8" w:color="CCEEFF"/>
            </w:tcBorders>
          </w:tcPr>
          <w:p>
            <w:pPr>
              <w:spacing w:after="0"/>
              <w:rPr>
                <w:sz w:val="13"/>
                <w:szCs w:val="13"/>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0" w:type="dxa"/>
            <w:vAlign w:val="bottom"/>
          </w:tcPr>
          <w:p>
            <w:pPr>
              <w:spacing w:after="0"/>
              <w:rPr>
                <w:sz w:val="1"/>
                <w:szCs w:val="1"/>
                <w:color w:val="auto"/>
              </w:rPr>
            </w:pPr>
          </w:p>
        </w:tc>
      </w:tr>
      <w:tr>
        <w:trPr>
          <w:trHeight w:val="139"/>
        </w:trPr>
        <w:tc>
          <w:tcPr>
            <w:tcW w:w="3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7,749</w:t>
            </w:r>
          </w:p>
        </w:tc>
        <w:tc>
          <w:tcPr>
            <w:tcW w:w="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Thermal equivalent MWt </w:t>
            </w:r>
            <w:r>
              <w:rPr>
                <w:rFonts w:ascii="Times New Roman" w:cs="Times New Roman" w:eastAsia="Times New Roman" w:hAnsi="Times New Roman"/>
                <w:sz w:val="14"/>
                <w:szCs w:val="14"/>
                <w:color w:val="auto"/>
                <w:vertAlign w:val="superscript"/>
              </w:rPr>
              <w:t>(c) (e)</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tcPr>
          <w:p>
            <w:pPr>
              <w:spacing w:after="0"/>
              <w:rPr>
                <w:sz w:val="16"/>
                <w:szCs w:val="16"/>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13881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0" w:lineRule="exact"/>
        <w:rPr>
          <w:sz w:val="20"/>
          <w:szCs w:val="20"/>
          <w:color w:val="auto"/>
        </w:rPr>
      </w:pPr>
    </w:p>
    <w:p>
      <w:pPr>
        <w:ind w:left="100" w:hanging="95"/>
        <w:spacing w:after="0"/>
        <w:tabs>
          <w:tab w:leader="none" w:pos="100" w:val="left"/>
        </w:tabs>
        <w:numPr>
          <w:ilvl w:val="0"/>
          <w:numId w:val="1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capacity represents the maximum, or rated, generating capacity of the facility multiplied by the Company's percentage ownership in the facility as of March 31, 2022.</w:t>
      </w:r>
    </w:p>
    <w:p>
      <w:pPr>
        <w:spacing w:after="0" w:line="51"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Projects are part of tax equity arrangements and ownership percentage is based on cash to be distributed, as further described in Item 1 — Note 4, </w:t>
      </w:r>
      <w:r>
        <w:rPr>
          <w:rFonts w:ascii="Times New Roman" w:cs="Times New Roman" w:eastAsia="Times New Roman" w:hAnsi="Times New Roman"/>
          <w:sz w:val="9"/>
          <w:szCs w:val="9"/>
          <w:i w:val="1"/>
          <w:iCs w:val="1"/>
          <w:color w:val="auto"/>
        </w:rPr>
        <w:t>Investments Accounted for by the Equity Method and Variable Interest Entities.</w:t>
      </w:r>
    </w:p>
    <w:p>
      <w:pPr>
        <w:spacing w:after="0" w:line="54" w:lineRule="exact"/>
        <w:rPr>
          <w:rFonts w:ascii="Times New Roman" w:cs="Times New Roman" w:eastAsia="Times New Roman" w:hAnsi="Times New Roman"/>
          <w:sz w:val="12"/>
          <w:szCs w:val="12"/>
          <w:color w:val="auto"/>
          <w:vertAlign w:val="superscript"/>
        </w:rPr>
      </w:pPr>
    </w:p>
    <w:p>
      <w:pPr>
        <w:ind w:left="100" w:hanging="95"/>
        <w:spacing w:after="0" w:line="237" w:lineRule="auto"/>
        <w:tabs>
          <w:tab w:leader="none" w:pos="1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Net MWt capacity excludes 43 MWt available under the right-to-use provisions contained in agreements between one of the Company's thermal facilities and certain of its customers.</w:t>
      </w:r>
    </w:p>
    <w:p>
      <w:pPr>
        <w:spacing w:after="0" w:line="44" w:lineRule="exact"/>
        <w:rPr>
          <w:rFonts w:ascii="Times New Roman" w:cs="Times New Roman" w:eastAsia="Times New Roman" w:hAnsi="Times New Roman"/>
          <w:sz w:val="12"/>
          <w:szCs w:val="12"/>
          <w:color w:val="auto"/>
          <w:vertAlign w:val="superscript"/>
        </w:rPr>
      </w:pPr>
    </w:p>
    <w:p>
      <w:pPr>
        <w:ind w:left="120" w:hanging="115"/>
        <w:spacing w:after="0" w:line="203" w:lineRule="auto"/>
        <w:tabs>
          <w:tab w:leader="none" w:pos="12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Rattlesnake has a deliverable capacity of 144 MW.</w:t>
      </w:r>
    </w:p>
    <w:p>
      <w:pPr>
        <w:spacing w:after="0" w:line="44" w:lineRule="exact"/>
        <w:rPr>
          <w:rFonts w:ascii="Times New Roman" w:cs="Times New Roman" w:eastAsia="Times New Roman" w:hAnsi="Times New Roman"/>
          <w:sz w:val="14"/>
          <w:szCs w:val="14"/>
          <w:color w:val="auto"/>
          <w:vertAlign w:val="superscript"/>
        </w:rPr>
      </w:pPr>
    </w:p>
    <w:p>
      <w:pPr>
        <w:ind w:left="100" w:hanging="95"/>
        <w:spacing w:after="0" w:line="237" w:lineRule="auto"/>
        <w:tabs>
          <w:tab w:leader="none" w:pos="1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Includes Thermal assets sold on May 1, 2022, as further described in Item 1 — Note 3, </w:t>
      </w:r>
      <w:r>
        <w:rPr>
          <w:rFonts w:ascii="Times New Roman" w:cs="Times New Roman" w:eastAsia="Times New Roman" w:hAnsi="Times New Roman"/>
          <w:sz w:val="9"/>
          <w:szCs w:val="9"/>
          <w:i w:val="1"/>
          <w:iCs w:val="1"/>
          <w:color w:val="auto"/>
        </w:rPr>
        <w:t>Acquisitions and Dispositions</w:t>
      </w: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Thermal Disposition</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May 1, 2022, the Company completed the sale of 100% of its interests in the Thermal Business to KKR for net proceeds of approximately $1.46 billion, inclusive of working capital, which excludes approximately $20 million in transaction expenses that were incurred in connection with the disposition. The Company estimates that the Thermal Disposition will result in a gain of approximately $1.31 billion.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Financing Activities</w:t>
      </w:r>
    </w:p>
    <w:p>
      <w:pPr>
        <w:spacing w:after="0" w:line="138" w:lineRule="exact"/>
        <w:rPr>
          <w:sz w:val="20"/>
          <w:szCs w:val="20"/>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Project-Level Financing Activities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6"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commences when the project achieves commercial operations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10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in connection with the Company’s 2021 acquisition of the Class B membership interests in Black Rock Wind Holding LLC, through its indirect subsidiary Lighthouse Renewable Holding Sub LLC, from Clearway Renew LLC, a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Proposed Federal Reclassification of Northern Long-Eared Bat </w:t>
      </w:r>
      <w:r>
        <w:rPr>
          <w:rFonts w:ascii="Times New Roman" w:cs="Times New Roman" w:eastAsia="Times New Roman" w:hAnsi="Times New Roman"/>
          <w:sz w:val="14"/>
          <w:szCs w:val="14"/>
          <w:color w:val="auto"/>
        </w:rPr>
        <w:t>— On March 23, 2022, the U.S. Fish and Wildlife Service (FWS) announced a proposal to reclassify the northern long-eared bat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comments on the proposal are due by May 23, 2022. The Company is participating in this comment process through the renewable industry group.</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2021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The Company’s regulatory matters are described in the Company’s 2021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Affecting Results of Operations and Future Business Performance</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Company’s trends are described in the Company’s 2021 Form 10-K in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Trends Affecting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 and Future Business Performance.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Affecting Industry Conditions and the Company’s Business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COVID-19 Update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continues to promote heightened awareness and vigilance, hygiene, and implementation of more stringent cleaning protocols across its facilities and operations and continues to evaluate these measures, response plans and business practices in light of the evolving effects of COVID-19 and its variants.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Company cannot predict the full impact that COVID-19 and its variants will have on the Company’s financial expectations, its financial condition, results of operations and cash flows, its ability to pay dividends to its stockholders, the market prices of its common stock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the Company's 2021 Form 10-K.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00" w:type="dxa"/>
            <w:vAlign w:val="bottom"/>
            <w:tcBorders>
              <w:bottom w:val="single" w:sz="8" w:color="auto"/>
            </w:tcBorders>
          </w:tcPr>
          <w:p>
            <w:pPr>
              <w:spacing w:after="0"/>
              <w:rPr>
                <w:sz w:val="13"/>
                <w:szCs w:val="13"/>
                <w:color w:val="auto"/>
              </w:rPr>
            </w:pPr>
          </w:p>
        </w:tc>
      </w:tr>
      <w:tr>
        <w:trPr>
          <w:trHeight w:val="150"/>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333333"/>
                <w:w w:val="85"/>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amortization</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(126)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fuels</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124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Development costs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267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(53)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interest income</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interest expense</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(45)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333333"/>
              </w:rPr>
              <w:t>(82)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333333"/>
              </w:rPr>
              <w:t>(96)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benefit</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333333"/>
              </w:rPr>
              <w:t>(76)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Loss attributable to noncontrolling interests and redeemable interests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(65)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Attributable to Clearway Energy, Inc.</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35"/>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1"/>
        </w:trPr>
        <w:tc>
          <w:tcPr>
            <w:tcW w:w="77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2,530</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Thermal MWt sold (in thousands)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611</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Thermal MWh sold (in thousands)</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Conventional MWh generated (in thousands) </w:t>
            </w:r>
            <w:r>
              <w:rPr>
                <w:rFonts w:ascii="Times New Roman" w:cs="Times New Roman" w:eastAsia="Times New Roman" w:hAnsi="Times New Roman"/>
                <w:sz w:val="18"/>
                <w:szCs w:val="18"/>
                <w:color w:val="auto"/>
                <w:vertAlign w:val="superscript"/>
              </w:rPr>
              <w:t>(a) (b)</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83.2 %</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-38100</wp:posOffset>
            </wp:positionV>
            <wp:extent cx="225679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56790" cy="6985"/>
                    </a:xfrm>
                    <a:prstGeom prst="rect">
                      <a:avLst/>
                    </a:prstGeom>
                    <a:noFill/>
                  </pic:spPr>
                </pic:pic>
              </a:graphicData>
            </a:graphic>
          </wp:anchor>
        </w:drawing>
      </w:r>
    </w:p>
    <w:p>
      <w:pPr>
        <w:ind w:left="120" w:hanging="115"/>
        <w:spacing w:after="0" w:line="228" w:lineRule="auto"/>
        <w:tabs>
          <w:tab w:leader="none" w:pos="12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Volumes do not include the MWh generated/sold by the Company's equity method investments.</w:t>
      </w:r>
    </w:p>
    <w:p>
      <w:pPr>
        <w:spacing w:after="0" w:line="3"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Volumes generated are not sold as the Conventional facilities sell capacity rather than energy.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ind w:right="4680"/>
        <w:spacing w:after="0" w:line="436"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Three Months Ended March 31, 2022 and 2021 </w:t>
      </w:r>
      <w:r>
        <w:rPr>
          <w:rFonts w:ascii="Times New Roman" w:cs="Times New Roman" w:eastAsia="Times New Roman" w:hAnsi="Times New Roman"/>
          <w:sz w:val="14"/>
          <w:szCs w:val="14"/>
          <w:b w:val="1"/>
          <w:bCs w:val="1"/>
          <w:i w:val="1"/>
          <w:iCs w:val="1"/>
          <w:color w:val="auto"/>
        </w:rPr>
        <w:t>Operating Revenues</w:t>
      </w:r>
    </w:p>
    <w:p>
      <w:pPr>
        <w:spacing w:after="0" w:line="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decreased by $23 million during the three months ended March 31, 2022, compared to the same period in 2021, due to a combination of the drivers summarized in the table below:</w:t>
      </w:r>
    </w:p>
    <w:p>
      <w:pPr>
        <w:sectPr>
          <w:pgSz w:w="11900" w:h="16838" w:orient="portrait"/>
          <w:cols w:equalWidth="0" w:num="1">
            <w:col w:w="11280"/>
          </w:cols>
          <w:pgMar w:left="300" w:top="727" w:right="319" w:bottom="1440" w:gutter="0" w:footer="0" w:header="0"/>
        </w:sectPr>
      </w:pPr>
    </w:p>
    <w:p>
      <w:pPr>
        <w:spacing w:after="0" w:line="200" w:lineRule="exact"/>
        <w:rPr>
          <w:sz w:val="20"/>
          <w:szCs w:val="20"/>
          <w:color w:val="auto"/>
        </w:rPr>
      </w:pPr>
    </w:p>
    <w:p>
      <w:pPr>
        <w:ind w:left="20"/>
        <w:spacing w:after="0"/>
        <w:tabs>
          <w:tab w:leader="none" w:pos="2640" w:val="left"/>
        </w:tabs>
        <w:rPr>
          <w:sz w:val="20"/>
          <w:szCs w:val="20"/>
          <w:color w:val="auto"/>
        </w:rPr>
      </w:pPr>
      <w:r>
        <w:rPr>
          <w:rFonts w:ascii="Times New Roman" w:cs="Times New Roman" w:eastAsia="Times New Roman" w:hAnsi="Times New Roman"/>
          <w:sz w:val="14"/>
          <w:szCs w:val="14"/>
          <w:b w:val="1"/>
          <w:bCs w:val="1"/>
          <w:color w:val="auto"/>
        </w:rPr>
        <w:t>Renewables Segment</w:t>
      </w:r>
      <w:r>
        <w:rPr>
          <w:sz w:val="20"/>
          <w:szCs w:val="20"/>
          <w:color w:val="auto"/>
        </w:rPr>
        <w:tab/>
      </w:r>
      <w:r>
        <w:rPr>
          <w:rFonts w:ascii="Times New Roman" w:cs="Times New Roman" w:eastAsia="Times New Roman" w:hAnsi="Times New Roman"/>
          <w:sz w:val="14"/>
          <w:szCs w:val="14"/>
          <w:color w:val="auto"/>
        </w:rPr>
        <w:t>Increase due to a loss of $50 million in February 2021 related to net settlements of obligations for wind facilities that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96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2660"/>
        <w:spacing w:after="0" w:line="228" w:lineRule="auto"/>
        <w:rPr>
          <w:sz w:val="20"/>
          <w:szCs w:val="20"/>
          <w:color w:val="auto"/>
        </w:rPr>
      </w:pPr>
      <w:r>
        <w:rPr>
          <w:rFonts w:ascii="Times New Roman" w:cs="Times New Roman" w:eastAsia="Times New Roman" w:hAnsi="Times New Roman"/>
          <w:sz w:val="14"/>
          <w:szCs w:val="14"/>
          <w:color w:val="auto"/>
        </w:rPr>
        <w:t>unable to produce the required output during extreme weather conditions in Texas, as well as the 2021 acquisitions of Agua Caliente, Mt. Storm and the Utah Solar Portfolio</w:t>
      </w:r>
    </w:p>
    <w:p>
      <w:pPr>
        <w:spacing w:after="0" w:line="5" w:lineRule="exact"/>
        <w:rPr>
          <w:sz w:val="20"/>
          <w:szCs w:val="20"/>
          <w:color w:val="auto"/>
        </w:rPr>
      </w:pPr>
    </w:p>
    <w:p>
      <w:pPr>
        <w:ind w:left="20"/>
        <w:spacing w:after="0"/>
        <w:tabs>
          <w:tab w:leader="none" w:pos="2640" w:val="left"/>
        </w:tabs>
        <w:rPr>
          <w:sz w:val="20"/>
          <w:szCs w:val="20"/>
          <w:color w:val="auto"/>
        </w:rPr>
      </w:pPr>
      <w:r>
        <w:rPr>
          <w:rFonts w:ascii="Times New Roman" w:cs="Times New Roman" w:eastAsia="Times New Roman" w:hAnsi="Times New Roman"/>
          <w:sz w:val="14"/>
          <w:szCs w:val="14"/>
          <w:b w:val="1"/>
          <w:bCs w:val="1"/>
          <w:color w:val="auto"/>
        </w:rPr>
        <w:t>Thermal Segment</w:t>
      </w:r>
      <w:r>
        <w:rPr>
          <w:sz w:val="20"/>
          <w:szCs w:val="20"/>
          <w:color w:val="auto"/>
        </w:rPr>
        <w:tab/>
      </w:r>
      <w:r>
        <w:rPr>
          <w:rFonts w:ascii="Times New Roman" w:cs="Times New Roman" w:eastAsia="Times New Roman" w:hAnsi="Times New Roman"/>
          <w:sz w:val="14"/>
          <w:szCs w:val="14"/>
          <w:color w:val="auto"/>
        </w:rPr>
        <w:t>Increase primarily driven by higher fuel prices passed through to customers and higher volumes, partially driven by weather</w:t>
      </w:r>
    </w:p>
    <w:p>
      <w:pPr>
        <w:spacing w:after="0" w:line="25" w:lineRule="exact"/>
        <w:rPr>
          <w:sz w:val="20"/>
          <w:szCs w:val="20"/>
          <w:color w:val="auto"/>
        </w:rPr>
      </w:pPr>
    </w:p>
    <w:p>
      <w:pPr>
        <w:ind w:left="20"/>
        <w:spacing w:after="0"/>
        <w:tabs>
          <w:tab w:leader="none" w:pos="2640" w:val="left"/>
        </w:tabs>
        <w:rPr>
          <w:sz w:val="20"/>
          <w:szCs w:val="20"/>
          <w:color w:val="auto"/>
        </w:rPr>
      </w:pPr>
      <w:r>
        <w:rPr>
          <w:rFonts w:ascii="Times New Roman" w:cs="Times New Roman" w:eastAsia="Times New Roman" w:hAnsi="Times New Roman"/>
          <w:sz w:val="14"/>
          <w:szCs w:val="14"/>
          <w:b w:val="1"/>
          <w:bCs w:val="1"/>
          <w:color w:val="auto"/>
        </w:rPr>
        <w:t>Conventional Segment</w:t>
      </w:r>
      <w:r>
        <w:rPr>
          <w:sz w:val="20"/>
          <w:szCs w:val="20"/>
          <w:color w:val="auto"/>
        </w:rPr>
        <w:tab/>
      </w:r>
      <w:r>
        <w:rPr>
          <w:rFonts w:ascii="Times New Roman" w:cs="Times New Roman" w:eastAsia="Times New Roman" w:hAnsi="Times New Roman"/>
          <w:sz w:val="14"/>
          <w:szCs w:val="14"/>
          <w:color w:val="auto"/>
        </w:rPr>
        <w:t>Increase driven by improved availability at the El Segundo facility due to the timing of annual planned maintenance outages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tabs>
          <w:tab w:leader="none" w:pos="2640" w:val="left"/>
        </w:tabs>
        <w:rPr>
          <w:sz w:val="20"/>
          <w:szCs w:val="20"/>
          <w:color w:val="auto"/>
        </w:rPr>
      </w:pPr>
      <w:r>
        <w:rPr>
          <w:rFonts w:ascii="Times New Roman" w:cs="Times New Roman" w:eastAsia="Times New Roman" w:hAnsi="Times New Roman"/>
          <w:sz w:val="14"/>
          <w:szCs w:val="14"/>
          <w:b w:val="1"/>
          <w:bCs w:val="1"/>
          <w:color w:val="auto"/>
        </w:rPr>
        <w:t>Mark-to-market for economic hedges</w:t>
      </w:r>
      <w:r>
        <w:rPr>
          <w:sz w:val="20"/>
          <w:szCs w:val="20"/>
          <w:color w:val="auto"/>
        </w:rPr>
        <w:tab/>
      </w:r>
      <w:r>
        <w:rPr>
          <w:rFonts w:ascii="Times New Roman" w:cs="Times New Roman" w:eastAsia="Times New Roman" w:hAnsi="Times New Roman"/>
          <w:sz w:val="14"/>
          <w:szCs w:val="14"/>
          <w:color w:val="auto"/>
        </w:rPr>
        <w:t>Increase in unrealized losses from changes in the fair value of commodity contracts, primarily driven by an increase in forward</w:t>
      </w:r>
    </w:p>
    <w:p>
      <w:pPr>
        <w:ind w:left="2660"/>
        <w:spacing w:after="0" w:line="228" w:lineRule="auto"/>
        <w:rPr>
          <w:sz w:val="20"/>
          <w:szCs w:val="20"/>
          <w:color w:val="auto"/>
        </w:rPr>
      </w:pPr>
      <w:r>
        <w:rPr>
          <w:rFonts w:ascii="Times New Roman" w:cs="Times New Roman" w:eastAsia="Times New Roman" w:hAnsi="Times New Roman"/>
          <w:sz w:val="14"/>
          <w:szCs w:val="14"/>
          <w:color w:val="auto"/>
        </w:rPr>
        <w:t>power prices in the ERCOT and PJM markets, as well as the 2021 acquisitions of Mt. Storm and Mesquite Sky and the mark-to-market of the Langford commodity contract, which previously qualified for the NPNS exception</w:t>
      </w:r>
    </w:p>
    <w:p>
      <w:pPr>
        <w:ind w:left="20"/>
        <w:spacing w:after="0" w:line="236" w:lineRule="auto"/>
        <w:tabs>
          <w:tab w:leader="none" w:pos="2640" w:val="left"/>
        </w:tabs>
        <w:rPr>
          <w:sz w:val="20"/>
          <w:szCs w:val="20"/>
          <w:color w:val="auto"/>
        </w:rPr>
      </w:pPr>
      <w:r>
        <w:rPr>
          <w:rFonts w:ascii="Times New Roman" w:cs="Times New Roman" w:eastAsia="Times New Roman" w:hAnsi="Times New Roman"/>
          <w:sz w:val="14"/>
          <w:szCs w:val="14"/>
          <w:b w:val="1"/>
          <w:bCs w:val="1"/>
          <w:color w:val="auto"/>
        </w:rPr>
        <w:t>Contract amortization</w:t>
      </w:r>
      <w:r>
        <w:rPr>
          <w:sz w:val="20"/>
          <w:szCs w:val="20"/>
          <w:color w:val="auto"/>
        </w:rPr>
        <w:tab/>
      </w:r>
      <w:r>
        <w:rPr>
          <w:rFonts w:ascii="Times New Roman" w:cs="Times New Roman" w:eastAsia="Times New Roman" w:hAnsi="Times New Roman"/>
          <w:sz w:val="14"/>
          <w:szCs w:val="14"/>
          <w:color w:val="auto"/>
        </w:rPr>
        <w:t>Increase primarily driven by amortization of the intangible assets for power purchase agreements related to the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660"/>
        <w:spacing w:after="0"/>
        <w:rPr>
          <w:sz w:val="20"/>
          <w:szCs w:val="20"/>
          <w:color w:val="auto"/>
        </w:rPr>
      </w:pPr>
      <w:r>
        <w:rPr>
          <w:rFonts w:ascii="Times New Roman" w:cs="Times New Roman" w:eastAsia="Times New Roman" w:hAnsi="Times New Roman"/>
          <w:sz w:val="14"/>
          <w:szCs w:val="14"/>
          <w:color w:val="auto"/>
        </w:rPr>
        <w:t>acquisitions of Agua Caliente and the Utah Solar Portfolio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08" w:lineRule="exact"/>
        <w:rPr>
          <w:sz w:val="20"/>
          <w:szCs w:val="20"/>
          <w:color w:val="auto"/>
        </w:rPr>
      </w:pPr>
    </w:p>
    <w:p>
      <w:pPr>
        <w:ind w:left="1160" w:hanging="1151"/>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w:t>
      </w:r>
    </w:p>
    <w:p>
      <w:pPr>
        <w:spacing w:after="0" w:line="2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w:t>
      </w:r>
    </w:p>
    <w:p>
      <w:pPr>
        <w:spacing w:after="0" w:line="19"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30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(102)</w:t>
      </w:r>
    </w:p>
    <w:p>
      <w:pPr>
        <w:spacing w:after="0" w:line="1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8693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10" w:lineRule="exact"/>
        <w:rPr>
          <w:sz w:val="20"/>
          <w:szCs w:val="20"/>
          <w:color w:val="auto"/>
        </w:rPr>
      </w:pPr>
    </w:p>
    <w:p>
      <w:pPr>
        <w:ind w:left="1100" w:hanging="1091"/>
        <w:spacing w:after="0"/>
        <w:tabs>
          <w:tab w:leader="none" w:pos="1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8693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00" w:space="20"/>
            <w:col w:w="1360"/>
          </w:cols>
          <w:pgMar w:left="300" w:top="727" w:right="31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Operations and maintenance expense increased by $8 million during the three months ended March 31, 2022, compared to the same period in 2021, primarily from the 2021 acquisitions of Mt.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Storm, Mesquite Sky and the Utah Solar Portfolio.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Costs of Operations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cost of operations increased $7 million for the three months ended March 31, 2022, compared to the same period in 2021, primarily from the 2021 acquisitions of Mt. Storm, Mesquite Sky and the Utah Solar Portfolio.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recorded a loss on debt extinguishment of $2 million during the three months ended March 31,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recorded a loss on debt extinguishment of $42 million during the three months ended March 31, 2021, which primarily reflects the write-off of previously deferred finance costs and payment of premiums related to the redemption of the 2025 Senior Notes.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12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For the three months ended March 31, 2022, the Company recorded an income tax benefit of $1 million on pretax loss of $98 million. For the same period in 2021, the Company recorded an income tax benefit of $20 million on a pretax loss of $96 million. The primary driver of the $19 million decrease in income tax benefit is the increase in the allocation of mark-to-market losses to external partners in 2022, which is treated as a discrete item.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Loss Attributable to Noncontrolling Interests and Redeemable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March 31, 2022, the Company had a loss of $65 million attributable to noncontrolling interests and redeemable interests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attributable to third-party partnerships</w:t>
            </w: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tc>
        <w:tc>
          <w:tcPr>
            <w:tcW w:w="46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884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
        </w:trPr>
        <w:tc>
          <w:tcPr>
            <w:tcW w:w="8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March 31, 2021, the Company had a loss of $79 million attributable to noncontrolling interests and redeemable interests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attributable to third-party partnerships</w:t>
            </w: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46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884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8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2021</w:t>
      </w:r>
      <w:r>
        <w:rPr>
          <w:rFonts w:ascii="Times New Roman" w:cs="Times New Roman" w:eastAsia="Times New Roman" w:hAnsi="Times New Roman"/>
          <w:sz w:val="14"/>
          <w:szCs w:val="14"/>
          <w:color w:val="231F20"/>
        </w:rPr>
        <w:t>, the Company's liquidity was approximately $574 million and $821 million, respectively, comprised of cash, restricted cash and availability under the Company's revolving credit facility.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220" w:type="dxa"/>
            <w:vAlign w:val="bottom"/>
          </w:tcPr>
          <w:p>
            <w:pPr>
              <w:spacing w:after="0"/>
              <w:rPr>
                <w:sz w:val="14"/>
                <w:szCs w:val="14"/>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r>
      <w:tr>
        <w:trPr>
          <w:trHeight w:val="180"/>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Clearway Energy, Inc. and Clearway Energy LLC, excluding subsidiaries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Subsidiaries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accounts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0"/>
        </w:trPr>
        <w:tc>
          <w:tcPr>
            <w:tcW w:w="7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71"/>
        </w:trPr>
        <w:tc>
          <w:tcPr>
            <w:tcW w:w="7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$326 million and $475 million of restricted cash balances as of March 31, 2022 and December 31, 2021,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4"/>
          <w:szCs w:val="14"/>
          <w:color w:val="000000"/>
        </w:rPr>
        <w:t>March 31, 2022,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$135 million designated to fund operating expenses, approximately $38 million designated for current debt service payments and $135 million restricted for reserves including debt service, performance obligations and other reserves, as well as capital expenditures. The remaining $18 million is held in distribution reserve accounts.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March 31, 2022, the Company had $305 million of borrowings under the revolving credit facility and $82 million in letters of credit outstanding. During the three months ended March 31, 2022, the Company borrowed $80 million under the revolving credit facility, and subsequently repaid $20 million. On May 3, 2022, the Company repaid the $305 million in outstanding borrowings under the revolving credit facility utilizing the proceeds received from the Thermal Disposition. </w:t>
      </w:r>
      <w:r>
        <w:rPr>
          <w:rFonts w:ascii="Times New Roman" w:cs="Times New Roman" w:eastAsia="Times New Roman" w:hAnsi="Times New Roman"/>
          <w:sz w:val="14"/>
          <w:szCs w:val="14"/>
          <w:color w:val="231F20"/>
        </w:rPr>
        <w:t>The facility will continue to be used for general corporate purposes including financing of future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acquisitions and posting letters of credit.</w:t>
      </w:r>
    </w:p>
    <w:p>
      <w:pPr>
        <w:spacing w:after="0" w:line="9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March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to the consolidated financial statements included in the Company’s 2021 Form 10-K, the Company’s financing arrangements consist of corporate level debt, which includes Senior Notes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and the revolving credit facility; the ATM Programs; and project-level financings for its various assets.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Thermal Disposition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On May 1, 2022, the Company completed the sale of 100% of its interests in the Thermal Business to KKR for net proceeds of approximately $1.46 billion</w:t>
      </w:r>
      <w:r>
        <w:rPr>
          <w:rFonts w:ascii="Times New Roman" w:cs="Times New Roman" w:eastAsia="Times New Roman" w:hAnsi="Times New Roman"/>
          <w:sz w:val="14"/>
          <w:szCs w:val="14"/>
          <w:color w:val="000000"/>
        </w:rPr>
        <w:t>, inclusive of working capital, which</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excludes approximately $20 million in transaction expenses that were incurred in connection with the disposition</w:t>
      </w:r>
      <w:r>
        <w:rPr>
          <w:rFonts w:ascii="Times New Roman" w:cs="Times New Roman" w:eastAsia="Times New Roman" w:hAnsi="Times New Roman"/>
          <w:sz w:val="14"/>
          <w:szCs w:val="14"/>
          <w:color w:val="231F20"/>
        </w:rPr>
        <w:t>. The Company estimates that the Thermal Disposition will result in a gain of</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approximately $1.31 billion.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 xml:space="preserve">Long-term Debt, </w:t>
      </w:r>
      <w:r>
        <w:rPr>
          <w:rFonts w:ascii="Times New Roman" w:cs="Times New Roman" w:eastAsia="Times New Roman" w:hAnsi="Times New Roman"/>
          <w:sz w:val="14"/>
          <w:szCs w:val="14"/>
          <w:color w:val="231F20"/>
        </w:rPr>
        <w:t>to the consolidated financial statements; (ii) capital expenditures; (iii) off-balance sheet arrangements; (iv) acquisitions and investments; and (v) cash dividends to investors.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three months ended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the Company used approximately $47 million to fund capital expenditures, including growth </w:t>
      </w:r>
      <w:r>
        <w:rPr>
          <w:rFonts w:ascii="Times New Roman" w:cs="Times New Roman" w:eastAsia="Times New Roman" w:hAnsi="Times New Roman"/>
          <w:sz w:val="14"/>
          <w:szCs w:val="14"/>
          <w:color w:val="000000"/>
        </w:rPr>
        <w:t>expenditures of $36 million in the Renewables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segment, $17 million incurred in connection with the Mesquite Sky wind project, $9 million incurred in connection with the Black Rock wind project, $5 million incurred in connection with the Rattlesnake wind project and $5 million incurred by other wind and solar projects. The Company also incurred $4 million of growth capital expenditures in the Thermal segment in connection with various development projects. In addition, the Company incurred $7 million in maintenance capital expenditures. The Company estimates $30 million of maintenance expenditures for 2022. These estimates are subject to continuing review and adjustment. Actual capital expenditures may vary from these estimates. Estimates for 2022 exclude any contributions from the Thermal segment for periods after the closing of the Thermal Disposition.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Mililani I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 owner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commences when the project achieves commercial operations.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1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Black Rock Drop Down </w:t>
      </w:r>
      <w:r>
        <w:rPr>
          <w:rFonts w:ascii="Times New Roman" w:cs="Times New Roman" w:eastAsia="Times New Roman" w:hAnsi="Times New Roman"/>
          <w:sz w:val="14"/>
          <w:szCs w:val="14"/>
          <w:color w:val="auto"/>
        </w:rPr>
        <w:t>- In February 2022, in connection with the Company’s 2021 acquisition of the Class B membership interests in Black Rock Wind Holding LLC, through its indirect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Lighthouse Renewable Holding Sub LLC, from Clearway Renew LLC, as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Bridge Loan Agreement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3, 2022, the Company repaid the $335 million in outstanding borrowings under the Bridge Loan Agreement utilizing proceeds received from the Thermal Disposition.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three months ended March 31,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4"/>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May 4, 2022, the Company declared quarterly dividends on its Class A common stock and Class C common stock of $0.3536 per share payable on June 15, 2022, to stockholders of record as of June 1, 2022.</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Obligations Arising Out of a Variable Interest in an Unconsolidated Entity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March 31,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$341 million as of March 31, 2022. This indebtedness may restrict the ability of these subsidiaries to issue dividends or distributions to the Company.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three months ended March 31, 2022, compared to the three months ended March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23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240" w:type="dxa"/>
            <w:vAlign w:val="bottom"/>
          </w:tcPr>
          <w:p>
            <w:pPr>
              <w:spacing w:after="0"/>
              <w:rPr>
                <w:sz w:val="13"/>
                <w:szCs w:val="13"/>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7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93</w:t>
            </w:r>
          </w:p>
        </w:tc>
        <w:tc>
          <w:tcPr>
            <w:tcW w:w="100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1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(184)</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bl>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ectPr>
          <w:pgSz w:w="11900" w:h="16838" w:orient="portrait"/>
          <w:cols w:equalWidth="0" w:num="1">
            <w:col w:w="11280"/>
          </w:cols>
          <w:pgMar w:left="300" w:top="728"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operating income adjusted for non-cash items</w:t>
      </w:r>
    </w:p>
    <w:p>
      <w:pPr>
        <w:spacing w:after="0" w:line="23" w:lineRule="exact"/>
        <w:rPr>
          <w:sz w:val="20"/>
          <w:szCs w:val="20"/>
          <w:color w:val="auto"/>
        </w:rPr>
      </w:pPr>
    </w:p>
    <w:p>
      <w:pPr>
        <w:ind w:left="100" w:right="1944"/>
        <w:spacing w:after="0" w:line="297" w:lineRule="auto"/>
        <w:rPr>
          <w:sz w:val="20"/>
          <w:szCs w:val="20"/>
          <w:color w:val="auto"/>
        </w:rPr>
      </w:pPr>
      <w:r>
        <w:rPr>
          <w:rFonts w:ascii="Times New Roman" w:cs="Times New Roman" w:eastAsia="Times New Roman" w:hAnsi="Times New Roman"/>
          <w:sz w:val="14"/>
          <w:szCs w:val="14"/>
          <w:color w:val="auto"/>
        </w:rPr>
        <w:t>Decrease in working capital primarily driven by the timing of accounts receivable collections and payments of accounts payable 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161530"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96"/>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56" w:hanging="1056"/>
        <w:spacing w:after="0"/>
        <w:tabs>
          <w:tab w:leader="none" w:pos="10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w:t>
      </w:r>
    </w:p>
    <w:p>
      <w:pPr>
        <w:spacing w:after="0" w:line="23"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w:t>
      </w:r>
    </w:p>
    <w:p>
      <w:pPr>
        <w:spacing w:after="0" w:line="19" w:lineRule="exact"/>
        <w:rPr>
          <w:rFonts w:ascii="Times New Roman" w:cs="Times New Roman" w:eastAsia="Times New Roman" w:hAnsi="Times New Roman"/>
          <w:sz w:val="14"/>
          <w:szCs w:val="14"/>
          <w:color w:val="auto"/>
        </w:rPr>
      </w:pPr>
    </w:p>
    <w:p>
      <w:pPr>
        <w:ind w:left="10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083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6" w:lineRule="exact"/>
        <w:rPr>
          <w:sz w:val="20"/>
          <w:szCs w:val="20"/>
          <w:color w:val="auto"/>
        </w:rPr>
      </w:pPr>
    </w:p>
    <w:p>
      <w:pPr>
        <w:ind w:left="1056" w:hanging="1056"/>
        <w:spacing w:after="0"/>
        <w:tabs>
          <w:tab w:leader="none" w:pos="10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083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8083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4" w:space="720"/>
            <w:col w:w="1256"/>
          </w:cols>
          <w:pgMar w:left="300" w:top="728" w:right="31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4"/>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Agua Caliente, net of cash acquired, in 2021</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cash paid for Drop Down assets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to CEG in 2021 for equipment for the Pinnacle wind project repowering</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capital expenditures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Provided by Financing Activities</w:t>
      </w:r>
    </w:p>
    <w:p>
      <w:pPr>
        <w:sectPr>
          <w:pgSz w:w="11900" w:h="16838" w:orient="portrait"/>
          <w:cols w:equalWidth="0" w:num="1">
            <w:col w:w="11280"/>
          </w:cols>
          <w:pgMar w:left="300" w:top="728" w:right="319" w:bottom="1440" w:gutter="0" w:footer="0" w:header="0"/>
          <w:type w:val="continuous"/>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in net cash (used in)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net contributions from noncontrolling interest members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proceeds from issuance of long-term debt, net of payments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Increase in dividends paid to common stockholders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net borrowings under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96"/>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16" w:hanging="916"/>
        <w:spacing w:after="0"/>
        <w:tabs>
          <w:tab w:leader="none" w:pos="9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(206)</w:t>
      </w:r>
    </w:p>
    <w:p>
      <w:pPr>
        <w:spacing w:after="0" w:line="23" w:lineRule="exact"/>
        <w:rPr>
          <w:rFonts w:ascii="Times New Roman" w:cs="Times New Roman" w:eastAsia="Times New Roman" w:hAnsi="Times New Roman"/>
          <w:sz w:val="14"/>
          <w:szCs w:val="14"/>
          <w:color w:val="auto"/>
        </w:rPr>
      </w:pPr>
    </w:p>
    <w:p>
      <w:pPr>
        <w:ind w:left="91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(170)</w:t>
      </w:r>
    </w:p>
    <w:p>
      <w:pPr>
        <w:spacing w:after="0" w:line="19"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w:t>
      </w:r>
    </w:p>
    <w:p>
      <w:pPr>
        <w:spacing w:after="0" w:line="19" w:lineRule="exact"/>
        <w:rPr>
          <w:rFonts w:ascii="Times New Roman" w:cs="Times New Roman" w:eastAsia="Times New Roman" w:hAnsi="Times New Roman"/>
          <w:sz w:val="14"/>
          <w:szCs w:val="14"/>
          <w:color w:val="auto"/>
        </w:rPr>
      </w:pPr>
    </w:p>
    <w:p>
      <w:pPr>
        <w:ind w:left="10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p>
    <w:p>
      <w:pPr>
        <w:spacing w:after="0" w:line="19" w:lineRule="exact"/>
        <w:rPr>
          <w:rFonts w:ascii="Times New Roman" w:cs="Times New Roman" w:eastAsia="Times New Roman" w:hAnsi="Times New Roman"/>
          <w:sz w:val="14"/>
          <w:szCs w:val="14"/>
          <w:color w:val="auto"/>
        </w:rPr>
      </w:pPr>
    </w:p>
    <w:p>
      <w:pPr>
        <w:ind w:left="10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w:t>
      </w:r>
    </w:p>
    <w:p>
      <w:pPr>
        <w:spacing w:after="0" w:line="19" w:lineRule="exact"/>
        <w:rPr>
          <w:rFonts w:ascii="Times New Roman" w:cs="Times New Roman" w:eastAsia="Times New Roman" w:hAnsi="Times New Roman"/>
          <w:sz w:val="14"/>
          <w:szCs w:val="14"/>
          <w:color w:val="auto"/>
        </w:rPr>
      </w:pPr>
    </w:p>
    <w:p>
      <w:pPr>
        <w:ind w:left="10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w:t>
      </w:r>
    </w:p>
    <w:p>
      <w:pPr>
        <w:spacing w:after="0" w:line="26" w:lineRule="exact"/>
        <w:rPr>
          <w:sz w:val="20"/>
          <w:szCs w:val="20"/>
          <w:color w:val="auto"/>
        </w:rPr>
      </w:pPr>
    </w:p>
    <w:p>
      <w:pPr>
        <w:ind w:left="916" w:hanging="916"/>
        <w:spacing w:after="0"/>
        <w:tabs>
          <w:tab w:leader="none" w:pos="9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8083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4" w:space="720"/>
            <w:col w:w="1256"/>
          </w:cols>
          <w:pgMar w:left="300" w:top="728" w:right="31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2021, the Company had a cumulative federal NOL carry forward balance of $1.3 billion for financial statement purposes, of which $0.9 billion will begin expiring between 2033 to 2037 if unutilized. The Company does not anticipate any federal income tax payments for 2022. Additionally, as of December 31, 2021, the Company had a cumulative state NOL carryforward balance of $769 million for financial statement purposes, which will expire between 2023 to 2040 if unutilized. In addition, the Company has PTC and ITC carryforward balances totaling $15 million, which will expire between 2034 and 2041 if unutilized.</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Based on the Company's current portfolio of assets, which include renewable assets that benefit from accelerated tax depreciation deductions and federal tax credits, current and expected NOL balances, and after taking into account the projected taxable gain from the Thermal Disposition, the Company estimates that it will not pay material federal income tax through 2027, but does expect to pay material state income tax across certain jurisdictions beginning in 2022.</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2021, the Company had an interest disallowance carry forward of $7 million as a result of the proposed and final regulations under §163(j) of the Internal Revenue Code, which was enacted as part of the Tax Act. The disallowed interest deduction has an indefinite carry forward period and any limitations on the utilization of this carry forward have been factored into our valuation allowance analysis.</w:t>
      </w:r>
    </w:p>
    <w:p>
      <w:pPr>
        <w:spacing w:after="0" w:line="83"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4"/>
          <w:szCs w:val="14"/>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jurisdiction and various state jurisdictions. The Company is not subject to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federal or state income tax examinations for years prior to 2013. The Company has no uncertain tax benefits.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 uncertain tax benefits as of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may enter into commodity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 —</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2021</w:t>
            </w:r>
          </w:p>
        </w:tc>
        <w:tc>
          <w:tcPr>
            <w:tcW w:w="54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tc>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Contracts acquired during the period</w:t>
            </w:r>
          </w:p>
        </w:tc>
        <w:tc>
          <w:tcPr>
            <w:tcW w:w="5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Contracts added due to loss of NPNS exception</w:t>
            </w:r>
          </w:p>
        </w:tc>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Changes in fair value</w:t>
            </w:r>
          </w:p>
        </w:tc>
        <w:tc>
          <w:tcPr>
            <w:tcW w:w="54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2022</w:t>
            </w:r>
          </w:p>
        </w:tc>
        <w:tc>
          <w:tcPr>
            <w:tcW w:w="54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60" w:type="dxa"/>
            <w:vAlign w:val="bottom"/>
            <w:vMerge w:val="restart"/>
          </w:tcPr>
          <w:p>
            <w:pPr>
              <w:jc w:val="right"/>
              <w:ind w:right="4129"/>
              <w:spacing w:after="0"/>
              <w:rPr>
                <w:sz w:val="20"/>
                <w:szCs w:val="20"/>
                <w:color w:val="auto"/>
              </w:rPr>
            </w:pPr>
            <w:r>
              <w:rPr>
                <w:rFonts w:ascii="Times New Roman" w:cs="Times New Roman" w:eastAsia="Times New Roman" w:hAnsi="Times New Roman"/>
                <w:sz w:val="14"/>
                <w:szCs w:val="14"/>
                <w:color w:val="231F20"/>
              </w:rPr>
              <w:t>44</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Fair value of contracts as of March 31, 2022</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220" w:type="dxa"/>
            <w:vAlign w:val="bottom"/>
          </w:tcPr>
          <w:p>
            <w:pPr>
              <w:spacing w:after="0"/>
              <w:rPr>
                <w:sz w:val="12"/>
                <w:szCs w:val="12"/>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1 Year or Less</w:t>
            </w: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1 Year to 3 Years</w:t>
            </w: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07" w:lineRule="exact"/>
              <w:rPr>
                <w:sz w:val="20"/>
                <w:szCs w:val="20"/>
                <w:color w:val="auto"/>
              </w:rPr>
            </w:pPr>
            <w:r>
              <w:rPr>
                <w:rFonts w:ascii="Times New Roman" w:cs="Times New Roman" w:eastAsia="Times New Roman" w:hAnsi="Times New Roman"/>
                <w:sz w:val="11"/>
                <w:szCs w:val="11"/>
                <w:b w:val="1"/>
                <w:bCs w:val="1"/>
                <w:color w:val="auto"/>
                <w:w w:val="94"/>
              </w:rPr>
              <w:t>5 Years</w:t>
            </w:r>
          </w:p>
        </w:tc>
        <w:tc>
          <w:tcPr>
            <w:tcW w:w="220" w:type="dxa"/>
            <w:vAlign w:val="bottom"/>
          </w:tcPr>
          <w:p>
            <w:pPr>
              <w:spacing w:after="0"/>
              <w:rPr>
                <w:sz w:val="10"/>
                <w:szCs w:val="10"/>
                <w:color w:val="auto"/>
              </w:rPr>
            </w:pPr>
          </w:p>
        </w:tc>
        <w:tc>
          <w:tcPr>
            <w:tcW w:w="920" w:type="dxa"/>
            <w:vAlign w:val="bottom"/>
          </w:tcPr>
          <w:p>
            <w:pPr>
              <w:jc w:val="right"/>
              <w:ind w:right="355"/>
              <w:spacing w:after="0" w:line="10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center"/>
              <w:ind w:left="717"/>
              <w:spacing w:after="0"/>
              <w:rPr>
                <w:sz w:val="20"/>
                <w:szCs w:val="20"/>
                <w:color w:val="auto"/>
              </w:rPr>
            </w:pPr>
            <w:r>
              <w:rPr>
                <w:rFonts w:ascii="Times New Roman" w:cs="Times New Roman" w:eastAsia="Times New Roman" w:hAnsi="Times New Roman"/>
                <w:sz w:val="14"/>
                <w:szCs w:val="14"/>
                <w:color w:val="auto"/>
                <w:w w:val="99"/>
              </w:rPr>
              <w:t>11</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4"/>
                <w:szCs w:val="14"/>
                <w:color w:val="auto"/>
                <w:w w:val="94"/>
              </w:rPr>
              <w:t>(71)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4"/>
                <w:szCs w:val="14"/>
                <w:color w:val="auto"/>
                <w:w w:val="94"/>
              </w:rPr>
              <w:t>(60)</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4"/>
          <w:szCs w:val="14"/>
          <w:i w:val="1"/>
          <w:iCs w:val="1"/>
          <w:color w:val="231F20"/>
        </w:rPr>
        <w:t xml:space="preserve">Quantitative and Qualitative Disclosures about Market Risk - Commodity Price Risk, </w:t>
      </w:r>
      <w:r>
        <w:rPr>
          <w:rFonts w:ascii="Times New Roman" w:cs="Times New Roman" w:eastAsia="Times New Roman" w:hAnsi="Times New Roman"/>
          <w:sz w:val="14"/>
          <w:szCs w:val="14"/>
          <w:color w:val="231F20"/>
        </w:rPr>
        <w:t>the</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Company, measures the sensitivity of the portfolio to potential changes in market prices using VaR, a</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statistical model which attempts to predict risk of loss based on market price and volatility. The Company's risk management policy places a limit on one-day holding period VaR, which limits the net open position.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2021 Form 10-K.</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Times New Roman" w:cs="Times New Roman" w:eastAsia="Times New Roman" w:hAnsi="Times New Roman"/>
          <w:sz w:val="14"/>
          <w:szCs w:val="14"/>
          <w:color w:val="000000"/>
        </w:rPr>
        <w:t>— 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2021 included in the 2021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the Company's project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the Company would have owed the counterparties </w:t>
      </w:r>
      <w:r>
        <w:rPr>
          <w:rFonts w:ascii="Times New Roman" w:cs="Times New Roman" w:eastAsia="Times New Roman" w:hAnsi="Times New Roman"/>
          <w:sz w:val="14"/>
          <w:szCs w:val="14"/>
          <w:color w:val="000000"/>
        </w:rPr>
        <w:t>$6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a 1% change in interest rates would result in an approximately $6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the fair value of the Company's debt was $7,644 million and the carrying value was $7,822 million. The Company estimates that a 1% decrease in market interest rates would have increased the fair value of its long-term debt by approximately $438 million.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per MMBtu in natural gas prices across the term of the derivative contracts would cause an increase of approximately $1 million to the net value of natural gas derivatives 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The impact of a $0.50 per MWh increase or decrease in power prices across the term of the derivatives contracts would cause a change of approximately $8 million to the net value of power derivatives as of March 31, 2022.</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March 31, 2022 that materially affected, or are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the material legal proceedings in which the Company was involved through March 31, 2022, see Item 1 — Note 12,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to this Form 10-Q.</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2021 Form 10-K. There have been no material changes in the Company's risk factors since those reported in its 2021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Disclosure Pursuant to Item 2.01 of Form 8-K – Completion of Acquisition or Disposition of Assets.</w:t>
      </w:r>
    </w:p>
    <w:p>
      <w:pPr>
        <w:spacing w:after="0" w:line="12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As previously disclosed, on October 22, 2021, Clearway Energy Operating LLC, a subsidiary of the Company, entered into a Membership Interest Purchase Agreement (the “Purchase Agreement”) to sell the Company’s Thermal Business to KKR. On May 1, 2022, the Company completed the sale of 100% of its interests in the Thermal Business to KKR for net proceeds of approximately $1.46 billion, which excludes approximately $20 million in transaction expenses that were incurred in connection with the disposition and is subject to certain post-closing adjustments.</w:t>
      </w:r>
    </w:p>
    <w:p>
      <w:pPr>
        <w:spacing w:after="0" w:line="9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Purchase Agreement is not complete and is qualified in its entirety by reference to the full text of the Purchase Agreement, a copy of which is filed as Exhibit 10.1 to the Company’s Current Report on Form 8-K, filed with the SEC on October 26, 2021, and is incorporated herein by reference.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10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10.1†*</w:t>
            </w:r>
          </w:p>
        </w:tc>
        <w:tc>
          <w:tcPr>
            <w:tcW w:w="5820" w:type="dxa"/>
            <w:vAlign w:val="bottom"/>
            <w:gridSpan w:val="15"/>
          </w:tcPr>
          <w:p>
            <w:pPr>
              <w:spacing w:after="0" w:line="143"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First Amendment to Membership Interest Purchase Agreement, dated as of December 17, 2021, by and among</w:t>
              </w:r>
            </w:hyperlink>
          </w:p>
        </w:tc>
        <w:tc>
          <w:tcPr>
            <w:tcW w:w="42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auto"/>
                <w:w w:val="97"/>
              </w:rPr>
              <w:t>Incorporated herein by reference to Exhibit 10.1 to the Company's Current Report</w:t>
            </w: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40" w:type="dxa"/>
            <w:vAlign w:val="bottom"/>
            <w:tcBorders>
              <w:top w:val="single" w:sz="8" w:color="0000FF"/>
            </w:tcBorders>
            <w:gridSpan w:val="13"/>
          </w:tcPr>
          <w:p>
            <w:pPr>
              <w:spacing w:after="0" w:line="129"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Lighthouse Renewable Class A LLC, Clearway Renew LLC and Clearway Energy Operating LLC.</w:t>
              </w:r>
            </w:hyperlink>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on Form 8-K filed on January 18, 2022.</w:t>
            </w: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10.2†*</w:t>
            </w:r>
          </w:p>
        </w:tc>
        <w:tc>
          <w:tcPr>
            <w:tcW w:w="5820" w:type="dxa"/>
            <w:vAlign w:val="bottom"/>
            <w:gridSpan w:val="15"/>
          </w:tcPr>
          <w:p>
            <w:pPr>
              <w:spacing w:after="0"/>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First Amendment to Membership Interest Purchase Agreement, dated as of December 29, 2021, by and among</w:t>
              </w:r>
            </w:hyperlink>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Incorporated herein by reference to Exhibit 10.2 to the Company's Current Report</w:t>
            </w: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40" w:type="dxa"/>
            <w:vAlign w:val="bottom"/>
            <w:tcBorders>
              <w:top w:val="single" w:sz="8" w:color="0000FF"/>
            </w:tcBorders>
            <w:gridSpan w:val="13"/>
          </w:tcPr>
          <w:p>
            <w:pPr>
              <w:spacing w:after="0" w:line="129" w:lineRule="exact"/>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Lighthouse Renewable Class A LLC and Clearway Renew LLC.</w:t>
              </w:r>
            </w:hyperlink>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on Form 8-K filed on January 18, 2022.</w:t>
            </w: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w:t>
            </w:r>
          </w:p>
        </w:tc>
        <w:tc>
          <w:tcPr>
            <w:tcW w:w="5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w w:val="97"/>
              </w:rPr>
              <w:t>Clearway Energy, Inc. Amended and Restated 2013 Equity Incentive Plan, effective as of January 1, 2022.</w:t>
            </w:r>
          </w:p>
        </w:tc>
        <w:tc>
          <w:tcPr>
            <w:tcW w:w="380" w:type="dxa"/>
            <w:vAlign w:val="bottom"/>
            <w:gridSpan w:val="4"/>
          </w:tcPr>
          <w:p>
            <w:pPr>
              <w:spacing w:after="0"/>
              <w:rPr>
                <w:sz w:val="14"/>
                <w:szCs w:val="14"/>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10.4^</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Clearway Energy, Inc. Annual Incentive Plan, effective as of January 1, 2022.</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10.5^</w:t>
            </w: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7"/>
              </w:rPr>
              <w:t>Clearway Energy, Inc. Involuntary Severance Plan, effective as of January 1, 2022.</w:t>
            </w:r>
          </w:p>
        </w:tc>
        <w:tc>
          <w:tcPr>
            <w:tcW w:w="1580" w:type="dxa"/>
            <w:vAlign w:val="bottom"/>
            <w:gridSpan w:val="6"/>
          </w:tcPr>
          <w:p>
            <w:pPr>
              <w:spacing w:after="0"/>
              <w:rPr>
                <w:sz w:val="14"/>
                <w:szCs w:val="14"/>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10.6^</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w w:val="98"/>
              </w:rPr>
              <w:t>Clearway Energy, Inc. Key Management Change-in-Control and General Severance Plan, effective as of January</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3"/>
                <w:szCs w:val="13"/>
                <w:color w:val="0000FF"/>
                <w:w w:val="94"/>
              </w:rPr>
              <w:t>1, 2022.</w:t>
            </w:r>
          </w:p>
        </w:tc>
        <w:tc>
          <w:tcPr>
            <w:tcW w:w="96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spacing w:after="0"/>
              <w:rPr>
                <w:sz w:val="11"/>
                <w:szCs w:val="1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10.7^</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Clearway Energy, Inc. Executive Change-in-Control and General Severance Plan, effective as of January 1,</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3"/>
                <w:szCs w:val="13"/>
                <w:color w:val="0000FF"/>
                <w:w w:val="95"/>
              </w:rPr>
              <w:t>2022.</w:t>
            </w:r>
          </w:p>
        </w:tc>
        <w:tc>
          <w:tcPr>
            <w:tcW w:w="12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spacing w:after="0"/>
              <w:rPr>
                <w:sz w:val="11"/>
                <w:szCs w:val="11"/>
                <w:color w:val="auto"/>
              </w:rPr>
            </w:pPr>
          </w:p>
        </w:tc>
      </w:tr>
      <w:tr>
        <w:trPr>
          <w:trHeight w:val="171"/>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4"/>
                <w:szCs w:val="14"/>
                <w:color w:val="auto"/>
              </w:rPr>
            </w:pPr>
          </w:p>
        </w:tc>
        <w:tc>
          <w:tcPr>
            <w:tcW w:w="3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Christopher S. Sotos.</w:t>
            </w:r>
          </w:p>
        </w:tc>
        <w:tc>
          <w:tcPr>
            <w:tcW w:w="2600" w:type="dxa"/>
            <w:vAlign w:val="bottom"/>
            <w:gridSpan w:val="9"/>
          </w:tcPr>
          <w:p>
            <w:pPr>
              <w:spacing w:after="0"/>
              <w:rPr>
                <w:sz w:val="14"/>
                <w:szCs w:val="14"/>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Rule 13a-14(a)/15d-14(a) certification of Chad Plotkin.</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1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31.3</w:t>
            </w:r>
          </w:p>
        </w:tc>
        <w:tc>
          <w:tcPr>
            <w:tcW w:w="780" w:type="dxa"/>
            <w:vAlign w:val="bottom"/>
          </w:tcPr>
          <w:p>
            <w:pPr>
              <w:spacing w:after="0"/>
              <w:rPr>
                <w:sz w:val="13"/>
                <w:szCs w:val="13"/>
                <w:color w:val="auto"/>
              </w:rPr>
            </w:pPr>
          </w:p>
        </w:tc>
        <w:tc>
          <w:tcPr>
            <w:tcW w:w="3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60" w:type="dxa"/>
            <w:vAlign w:val="bottom"/>
            <w:gridSpan w:val="10"/>
          </w:tcPr>
          <w:p>
            <w:pPr>
              <w:spacing w:after="0"/>
              <w:rPr>
                <w:sz w:val="13"/>
                <w:szCs w:val="13"/>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440" w:type="dxa"/>
            <w:vAlign w:val="bottom"/>
            <w:gridSpan w:val="1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32"/>
        </w:trPr>
        <w:tc>
          <w:tcPr>
            <w:tcW w:w="2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20" w:type="dxa"/>
            <w:vAlign w:val="bottom"/>
            <w:gridSpan w:val="15"/>
          </w:tcPr>
          <w:p>
            <w:pPr>
              <w:spacing w:after="0" w:line="132" w:lineRule="exact"/>
              <w:rPr>
                <w:sz w:val="20"/>
                <w:szCs w:val="20"/>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w:t>
            </w:r>
          </w:p>
        </w:tc>
        <w:tc>
          <w:tcPr>
            <w:tcW w:w="426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Filed herewith.</w:t>
            </w:r>
          </w:p>
        </w:tc>
      </w:tr>
      <w:tr>
        <w:trPr>
          <w:trHeight w:val="165"/>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4260" w:type="dxa"/>
            <w:vAlign w:val="bottom"/>
          </w:tcPr>
          <w:p>
            <w:pPr>
              <w:spacing w:after="0"/>
              <w:rPr>
                <w:sz w:val="14"/>
                <w:szCs w:val="14"/>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13" w:lineRule="exact"/>
        <w:rPr>
          <w:sz w:val="20"/>
          <w:szCs w:val="20"/>
          <w:color w:val="auto"/>
        </w:rPr>
      </w:pPr>
    </w:p>
    <w:p>
      <w:pPr>
        <w:ind w:left="1020" w:right="60" w:hanging="594"/>
        <w:spacing w:after="0" w:line="183" w:lineRule="auto"/>
        <w:tabs>
          <w:tab w:leader="none" w:pos="1020" w:val="left"/>
        </w:tabs>
        <w:numPr>
          <w:ilvl w:val="0"/>
          <w:numId w:val="3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ind w:left="1020"/>
        <w:spacing w:after="0" w:line="194" w:lineRule="auto"/>
        <w:rPr>
          <w:sz w:val="20"/>
          <w:szCs w:val="20"/>
          <w:color w:val="auto"/>
        </w:rPr>
      </w:pPr>
      <w:r>
        <w:rPr>
          <w:rFonts w:ascii="Times New Roman" w:cs="Times New Roman" w:eastAsia="Times New Roman" w:hAnsi="Times New Roman"/>
          <w:sz w:val="14"/>
          <w:szCs w:val="14"/>
          <w:color w:val="auto"/>
        </w:rPr>
        <w:t>Certain portions of this Exhibit have been redacted pursuant to Item 601(b)(10)(iv) of Regulation S-K. The omitted information is (i) not material and (ii) would likely cause</w:t>
      </w:r>
    </w:p>
    <w:p>
      <w:pPr>
        <w:ind w:left="420"/>
        <w:spacing w:after="0" w:line="181" w:lineRule="auto"/>
        <w:rPr>
          <w:sz w:val="20"/>
          <w:szCs w:val="20"/>
          <w:color w:val="auto"/>
        </w:rPr>
      </w:pPr>
      <w:r>
        <w:rPr>
          <w:rFonts w:ascii="Times New Roman" w:cs="Times New Roman" w:eastAsia="Times New Roman" w:hAnsi="Times New Roman"/>
          <w:sz w:val="11"/>
          <w:szCs w:val="11"/>
          <w:color w:val="auto"/>
        </w:rPr>
        <w:t>*</w:t>
      </w:r>
    </w:p>
    <w:p>
      <w:pPr>
        <w:ind w:left="1020"/>
        <w:spacing w:after="0"/>
        <w:rPr>
          <w:sz w:val="20"/>
          <w:szCs w:val="20"/>
          <w:color w:val="auto"/>
        </w:rPr>
      </w:pPr>
      <w:r>
        <w:rPr>
          <w:rFonts w:ascii="Times New Roman" w:cs="Times New Roman" w:eastAsia="Times New Roman" w:hAnsi="Times New Roman"/>
          <w:sz w:val="14"/>
          <w:szCs w:val="14"/>
          <w:color w:val="auto"/>
        </w:rPr>
        <w:t>competitive harm to the Company if publicly disclosed. The Company agrees to furnish supplementally an unredacted copy of this Exhibit to the SEC upon request.</w:t>
      </w:r>
    </w:p>
    <w:p>
      <w:pPr>
        <w:spacing w:after="0" w:line="39" w:lineRule="exact"/>
        <w:rPr>
          <w:sz w:val="20"/>
          <w:szCs w:val="20"/>
          <w:color w:val="auto"/>
        </w:rPr>
      </w:pPr>
    </w:p>
    <w:p>
      <w:pPr>
        <w:ind w:left="1020" w:hanging="589"/>
        <w:spacing w:after="0"/>
        <w:tabs>
          <w:tab w:leader="none" w:pos="1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919" w:right="4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w:t>
      </w:r>
    </w:p>
    <w:p>
      <w:pPr>
        <w:sectPr>
          <w:pgSz w:w="11900" w:h="16838" w:orient="portrait"/>
          <w:cols w:equalWidth="0" w:num="1">
            <w:col w:w="11280"/>
          </w:cols>
          <w:pgMar w:left="300" w:top="728" w:right="31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5, 2022</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Chad Plotkin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00" w:lineRule="exact"/>
        <w:rPr>
          <w:sz w:val="20"/>
          <w:szCs w:val="20"/>
          <w:color w:val="auto"/>
        </w:rPr>
      </w:pPr>
    </w:p>
    <w:p>
      <w:pPr>
        <w:sectPr>
          <w:pgSz w:w="11900" w:h="16838" w:orient="portrait"/>
          <w:cols w:equalWidth="0" w:num="2">
            <w:col w:w="6000" w:space="720"/>
            <w:col w:w="4560"/>
          </w:cols>
          <w:pgMar w:left="300" w:top="728" w:right="31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50</w:t>
      </w:r>
    </w:p>
    <w:p>
      <w:pPr>
        <w:sectPr>
          <w:pgSz w:w="11900" w:h="16838" w:orient="portrait"/>
          <w:cols w:equalWidth="0" w:num="1">
            <w:col w:w="11280"/>
          </w:cols>
          <w:pgMar w:left="300" w:top="728" w:right="319" w:bottom="1440" w:gutter="0" w:footer="0" w:header="0"/>
          <w:type w:val="continuous"/>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14605</wp:posOffset>
            </wp:positionV>
            <wp:extent cx="18389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Christopher S. Sotos</w:t>
      </w:r>
    </w:p>
    <w:p>
      <w:pPr>
        <w:ind w:left="71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802"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Chad Plotkin, certify that:</w:t>
      </w:r>
    </w:p>
    <w:p>
      <w:pPr>
        <w:spacing w:after="0" w:line="274" w:lineRule="exact"/>
        <w:rPr>
          <w:sz w:val="20"/>
          <w:szCs w:val="20"/>
          <w:color w:val="auto"/>
        </w:rPr>
      </w:pPr>
    </w:p>
    <w:p>
      <w:pPr>
        <w:ind w:left="520" w:hanging="515"/>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18865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Chad Plotkin</w:t>
      </w:r>
    </w:p>
    <w:p>
      <w:pPr>
        <w:ind w:left="7080"/>
        <w:spacing w:after="0" w:line="205"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080"/>
        <w:spacing w:after="0" w:line="222" w:lineRule="auto"/>
        <w:rPr>
          <w:sz w:val="20"/>
          <w:szCs w:val="20"/>
          <w:color w:val="auto"/>
        </w:rPr>
      </w:pPr>
      <w:r>
        <w:rPr>
          <w:rFonts w:ascii="Times New Roman" w:cs="Times New Roman" w:eastAsia="Times New Roman" w:hAnsi="Times New Roman"/>
          <w:sz w:val="14"/>
          <w:szCs w:val="14"/>
          <w:i w:val="1"/>
          <w:iCs w:val="1"/>
          <w:color w:val="auto"/>
        </w:rPr>
        <w:t>Officer</w:t>
      </w:r>
    </w:p>
    <w:p>
      <w:pPr>
        <w:ind w:left="7000"/>
        <w:spacing w:after="0" w:line="180" w:lineRule="auto"/>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i w:val="1"/>
          <w:iCs w:val="1"/>
          <w:color w:val="auto"/>
        </w:rPr>
        <w:t xml:space="preserve"> (Principal Financial Officer)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802"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14605</wp:posOffset>
            </wp:positionV>
            <wp:extent cx="17246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Sarah Rubenstein</w:t>
      </w:r>
    </w:p>
    <w:p>
      <w:pPr>
        <w:ind w:left="7500"/>
        <w:spacing w:after="0" w:line="221" w:lineRule="auto"/>
        <w:rPr>
          <w:sz w:val="20"/>
          <w:szCs w:val="20"/>
          <w:color w:val="auto"/>
        </w:rPr>
      </w:pPr>
      <w:r>
        <w:rPr>
          <w:rFonts w:ascii="Times New Roman" w:cs="Times New Roman" w:eastAsia="Times New Roman" w:hAnsi="Times New Roman"/>
          <w:sz w:val="14"/>
          <w:szCs w:val="14"/>
          <w:i w:val="1"/>
          <w:iCs w:val="1"/>
          <w:color w:val="auto"/>
        </w:rPr>
        <w:t>Senior Vice President and Chief Accounting</w:t>
      </w:r>
    </w:p>
    <w:p>
      <w:pPr>
        <w:ind w:left="750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5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727"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Inc. on Form 10-Q for the quarter ended March 31,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Chad Plotkin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3"/>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26"/>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89" Type="http://schemas.openxmlformats.org/officeDocument/2006/relationships/hyperlink" Target="https://www.sec.gov/Archives/edgar/data/1567683/000110465922004681/tm222995d1_ex10-1.htm" TargetMode="External"/><Relationship Id="rId90" Type="http://schemas.openxmlformats.org/officeDocument/2006/relationships/hyperlink" Target="https://www.sec.gov/Archives/edgar/data/1567683/000110465922004681/tm22299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2022-05-05T10:43:12Z</dcterms:created>
  <dcterms:modified xsi:type="dcterms:W3CDTF">2022-05-05T10:43:12Z</dcterms:modified>
</cp:coreProperties>
</file>