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5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5"/>
          <w:szCs w:val="25"/>
          <w:b w:val="1"/>
          <w:bCs w:val="1"/>
          <w:color w:val="auto"/>
        </w:rPr>
        <w:t>Clearway Energy, Inc.</w:t>
      </w:r>
      <w:r>
        <w:rPr>
          <w:rFonts w:ascii="Times New Roman" w:cs="Times New Roman" w:eastAsia="Times New Roman" w:hAnsi="Times New Roman"/>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75565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2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21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4"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3261995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139700</wp:posOffset>
            </wp:positionV>
            <wp:extent cx="188595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April 1,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Clearway Energy, Inc.’s Annual Meeting of Stockholders, which will be held at 9 a.m., Eastern Time, on April 29, 2026.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1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31127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Jonathan Bram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1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THIS PROXY STATEMENT AND PROXY CARD ARE</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BEING DISTRIBUTED ON OR ABOUT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3430905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9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 xml:space="preserve">When: </w:t>
      </w:r>
      <w:r>
        <w:rPr>
          <w:rFonts w:ascii="Times New Roman" w:cs="Times New Roman" w:eastAsia="Times New Roman" w:hAnsi="Times New Roman"/>
          <w:sz w:val="17"/>
          <w:szCs w:val="17"/>
          <w:color w:val="auto"/>
        </w:rPr>
        <w:t>Wednesday, April 29, 2026, 9:00 a.m., Eastern Time</w:t>
      </w:r>
    </w:p>
    <w:p>
      <w:pPr>
        <w:spacing w:after="0" w:line="75" w:lineRule="exact"/>
        <w:rPr>
          <w:sz w:val="20"/>
          <w:szCs w:val="20"/>
          <w:color w:val="auto"/>
        </w:rPr>
      </w:pPr>
    </w:p>
    <w:p>
      <w:pPr>
        <w:ind w:left="1260" w:right="739"/>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Where: </w:t>
      </w:r>
      <w:r>
        <w:rPr>
          <w:rFonts w:ascii="Times New Roman" w:cs="Times New Roman" w:eastAsia="Times New Roman" w:hAnsi="Times New Roman"/>
          <w:sz w:val="17"/>
          <w:szCs w:val="17"/>
          <w:color w:val="auto"/>
        </w:rPr>
        <w:t>Virtual via live webcast on the Internet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www.virtualshareholdermeeting.com/CWEN2026</w:t>
      </w:r>
      <w:r>
        <w:rPr>
          <w:rFonts w:ascii="Times New Roman" w:cs="Times New Roman" w:eastAsia="Times New Roman" w:hAnsi="Times New Roman"/>
          <w:sz w:val="17"/>
          <w:szCs w:val="17"/>
          <w:color w:val="auto"/>
        </w:rPr>
        <w:t>. No physical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will be held.</w:t>
      </w:r>
    </w:p>
    <w:p>
      <w:pPr>
        <w:sectPr>
          <w:pgSz w:w="11900" w:h="16838" w:orient="portrait"/>
          <w:cols w:equalWidth="0" w:num="1">
            <w:col w:w="9879"/>
          </w:cols>
          <w:pgMar w:left="580" w:top="97" w:right="1440" w:bottom="1440" w:gutter="0" w:footer="0" w:header="0"/>
        </w:sectPr>
      </w:pPr>
    </w:p>
    <w:p>
      <w:pPr>
        <w:spacing w:after="0" w:line="99" w:lineRule="exact"/>
        <w:rPr>
          <w:sz w:val="20"/>
          <w:szCs w:val="20"/>
          <w:color w:val="auto"/>
        </w:rPr>
      </w:pPr>
    </w:p>
    <w:p>
      <w:pPr>
        <w:ind w:left="1260"/>
        <w:spacing w:after="0" w:line="247" w:lineRule="auto"/>
        <w:rPr>
          <w:sz w:val="20"/>
          <w:szCs w:val="20"/>
          <w:color w:val="auto"/>
        </w:rPr>
      </w:pPr>
      <w:r>
        <w:rPr>
          <w:rFonts w:ascii="Times New Roman" w:cs="Times New Roman" w:eastAsia="Times New Roman" w:hAnsi="Times New Roman"/>
          <w:sz w:val="17"/>
          <w:szCs w:val="17"/>
          <w:b w:val="1"/>
          <w:bCs w:val="1"/>
          <w:color w:val="auto"/>
        </w:rPr>
        <w:t>We are pleased to invite you to join our Board of Directors and senior leadership at the Clearway Energy, Inc. 2026 Annual Meeting of Stockholders.</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107" w:lineRule="exact"/>
        <w:rPr>
          <w:sz w:val="20"/>
          <w:szCs w:val="20"/>
          <w:color w:val="auto"/>
        </w:rPr>
      </w:pPr>
    </w:p>
    <w:p>
      <w:pPr>
        <w:ind w:left="1620" w:hanging="360"/>
        <w:spacing w:after="0"/>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eleven directors.</w:t>
      </w:r>
    </w:p>
    <w:p>
      <w:pPr>
        <w:spacing w:after="0" w:line="61" w:lineRule="exact"/>
        <w:rPr>
          <w:rFonts w:ascii="Times New Roman" w:cs="Times New Roman" w:eastAsia="Times New Roman" w:hAnsi="Times New Roman"/>
          <w:sz w:val="17"/>
          <w:szCs w:val="17"/>
          <w:color w:val="auto"/>
        </w:rPr>
      </w:pPr>
    </w:p>
    <w:p>
      <w:pPr>
        <w:ind w:left="1620" w:right="160" w:hanging="360"/>
        <w:spacing w:after="0" w:line="258" w:lineRule="auto"/>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Clearway Energy, Inc.’s executive compensation.</w:t>
      </w:r>
    </w:p>
    <w:p>
      <w:pPr>
        <w:spacing w:after="0" w:line="25" w:lineRule="exact"/>
        <w:rPr>
          <w:rFonts w:ascii="Times New Roman" w:cs="Times New Roman" w:eastAsia="Times New Roman" w:hAnsi="Times New Roman"/>
          <w:sz w:val="17"/>
          <w:szCs w:val="17"/>
          <w:color w:val="auto"/>
        </w:rPr>
      </w:pPr>
    </w:p>
    <w:p>
      <w:pPr>
        <w:ind w:left="1620" w:right="60" w:hanging="360"/>
        <w:spacing w:after="0" w:line="236" w:lineRule="auto"/>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PricewaterhouseCoopers LLP as Clearway Energy, Inc.’s independent registered public accounting firm for the 2026 fiscal year.</w:t>
      </w:r>
    </w:p>
    <w:p>
      <w:pPr>
        <w:spacing w:after="0" w:line="54" w:lineRule="exact"/>
        <w:rPr>
          <w:rFonts w:ascii="Times New Roman" w:cs="Times New Roman" w:eastAsia="Times New Roman" w:hAnsi="Times New Roman"/>
          <w:sz w:val="17"/>
          <w:szCs w:val="17"/>
          <w:color w:val="auto"/>
        </w:rPr>
      </w:pPr>
    </w:p>
    <w:p>
      <w:pPr>
        <w:ind w:left="1620" w:hanging="360"/>
        <w:spacing w:after="0" w:line="229" w:lineRule="auto"/>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 Second Amended and Restated Certificate of Incorporation of Clearway Energy, Inc. (the “Amended Charter”) that would amend and restate Clearway Energy, Inc.’s Amended and Restated Certificate of Incorporation (the “Existing Charter”) to (i) provide that each share of the Company’s Class A common stock, par value $0.01 per share (the “Class A common stock”), will be convertible into one share of the Company’s Class C common stock, par value $0.01 per share (the “Class C common stock”),</w:t>
      </w:r>
    </w:p>
    <w:p>
      <w:pPr>
        <w:spacing w:after="0" w:line="4" w:lineRule="exact"/>
        <w:rPr>
          <w:rFonts w:ascii="Times New Roman" w:cs="Times New Roman" w:eastAsia="Times New Roman" w:hAnsi="Times New Roman"/>
          <w:sz w:val="17"/>
          <w:szCs w:val="17"/>
          <w:color w:val="auto"/>
        </w:rPr>
      </w:pPr>
    </w:p>
    <w:p>
      <w:pPr>
        <w:ind w:left="1620" w:right="360"/>
        <w:spacing w:after="0" w:line="223" w:lineRule="auto"/>
        <w:tabs>
          <w:tab w:leader="none" w:pos="188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such conversion (the “Class A Conversion”) will occur automatically</w:t>
      </w:r>
    </w:p>
    <w:p>
      <w:pPr>
        <w:spacing w:after="0" w:line="1" w:lineRule="exact"/>
        <w:rPr>
          <w:rFonts w:ascii="Times New Roman" w:cs="Times New Roman" w:eastAsia="Times New Roman" w:hAnsi="Times New Roman"/>
          <w:sz w:val="17"/>
          <w:szCs w:val="17"/>
          <w:color w:val="auto"/>
        </w:rPr>
      </w:pPr>
    </w:p>
    <w:p>
      <w:pPr>
        <w:ind w:left="1620"/>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12:01 a.m., Eastern Time, on the second business day following the filing of the Amended Charter,</w:t>
      </w:r>
    </w:p>
    <w:p>
      <w:pPr>
        <w:ind w:left="1620" w:right="40"/>
        <w:spacing w:after="0" w:line="228" w:lineRule="auto"/>
        <w:tabs>
          <w:tab w:leader="none" w:pos="1933"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from and after the Class A Conversion, the Company will not have authority to issue or reissue shares of Class A common stock and certain provisions of our Existing Charter relating to the Class A common stock will have no further force or effect, (iv) reduce the total number of authorized shares of Class A common stock from 500,000,000 to 34,613,853 and (v) update certain other historical matters, in each case as described in this Proxy Statement.</w:t>
      </w:r>
    </w:p>
    <w:p>
      <w:pPr>
        <w:spacing w:after="0" w:line="55" w:lineRule="exact"/>
        <w:rPr>
          <w:rFonts w:ascii="Times New Roman" w:cs="Times New Roman" w:eastAsia="Times New Roman" w:hAnsi="Times New Roman"/>
          <w:sz w:val="17"/>
          <w:szCs w:val="17"/>
          <w:color w:val="auto"/>
        </w:rPr>
      </w:pPr>
    </w:p>
    <w:p>
      <w:pPr>
        <w:ind w:left="1620" w:right="260" w:hanging="360"/>
        <w:spacing w:after="0" w:line="238" w:lineRule="auto"/>
        <w:tabs>
          <w:tab w:leader="none" w:pos="1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 any adjournment or postponement.</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94" w:lineRule="exact"/>
        <w:rPr>
          <w:sz w:val="20"/>
          <w:szCs w:val="20"/>
          <w:color w:val="auto"/>
        </w:rPr>
      </w:pPr>
    </w:p>
    <w:p>
      <w:pPr>
        <w:ind w:right="479"/>
        <w:spacing w:after="0" w:line="238" w:lineRule="auto"/>
        <w:rPr>
          <w:sz w:val="20"/>
          <w:szCs w:val="20"/>
          <w:color w:val="auto"/>
        </w:rPr>
      </w:pPr>
      <w:r>
        <w:rPr>
          <w:rFonts w:ascii="Times New Roman" w:cs="Times New Roman" w:eastAsia="Times New Roman" w:hAnsi="Times New Roman"/>
          <w:sz w:val="17"/>
          <w:szCs w:val="17"/>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the Internet:</w:t>
      </w:r>
    </w:p>
    <w:p>
      <w:pPr>
        <w:spacing w:after="0" w:line="107" w:lineRule="exact"/>
        <w:rPr>
          <w:sz w:val="20"/>
          <w:szCs w:val="20"/>
          <w:color w:val="auto"/>
        </w:rPr>
      </w:pPr>
    </w:p>
    <w:p>
      <w:pPr>
        <w:ind w:right="559"/>
        <w:spacing w:after="0" w:line="245" w:lineRule="auto"/>
        <w:rPr>
          <w:sz w:val="20"/>
          <w:szCs w:val="20"/>
          <w:color w:val="auto"/>
        </w:rPr>
      </w:pPr>
      <w:r>
        <w:rPr>
          <w:rFonts w:ascii="Times New Roman" w:cs="Times New Roman" w:eastAsia="Times New Roman" w:hAnsi="Times New Roman"/>
          <w:sz w:val="17"/>
          <w:szCs w:val="17"/>
          <w:color w:val="auto"/>
        </w:rPr>
        <w:t xml:space="preserve">You may vote by using the Internet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24 hours a day, 7 days a week, 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until 11:59 p.m. Eastern Time on April 28,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phone:</w:t>
      </w:r>
    </w:p>
    <w:p>
      <w:pPr>
        <w:spacing w:after="0" w:line="107" w:lineRule="exact"/>
        <w:rPr>
          <w:sz w:val="20"/>
          <w:szCs w:val="20"/>
          <w:color w:val="auto"/>
        </w:rPr>
      </w:pPr>
    </w:p>
    <w:p>
      <w:pPr>
        <w:jc w:val="both"/>
        <w:ind w:right="419"/>
        <w:spacing w:after="0"/>
        <w:rPr>
          <w:sz w:val="20"/>
          <w:szCs w:val="20"/>
          <w:color w:val="auto"/>
        </w:rPr>
      </w:pPr>
      <w:r>
        <w:rPr>
          <w:rFonts w:ascii="Times New Roman" w:cs="Times New Roman" w:eastAsia="Times New Roman" w:hAnsi="Times New Roman"/>
          <w:sz w:val="17"/>
          <w:szCs w:val="17"/>
          <w:color w:val="auto"/>
        </w:rPr>
        <w:t>If you live in the United States, you may vote 24 hours a day, 7 days a week, up until 11:59 p.m. Eastern Time on April 28, 2026, by calling 1-800-690-6903 from a touch-tone phone.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94" w:lineRule="exact"/>
        <w:rPr>
          <w:sz w:val="20"/>
          <w:szCs w:val="20"/>
          <w:color w:val="auto"/>
        </w:rPr>
      </w:pPr>
    </w:p>
    <w:p>
      <w:pPr>
        <w:ind w:right="619"/>
        <w:spacing w:after="0" w:line="238" w:lineRule="auto"/>
        <w:rPr>
          <w:sz w:val="20"/>
          <w:szCs w:val="20"/>
          <w:color w:val="auto"/>
        </w:rPr>
      </w:pPr>
      <w:r>
        <w:rPr>
          <w:rFonts w:ascii="Times New Roman" w:cs="Times New Roman" w:eastAsia="Times New Roman" w:hAnsi="Times New Roman"/>
          <w:sz w:val="17"/>
          <w:szCs w:val="17"/>
          <w:color w:val="auto"/>
        </w:rPr>
        <w:t>You may mark, sign, date and mail your proxy card or voting instruction card in the enclosed postage-paid, addressed envelope as soon as possible, as it must be received by the Company prior to April 29, 2026, the Annual Meeting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virtual meeting:</w:t>
      </w:r>
    </w:p>
    <w:p>
      <w:pPr>
        <w:spacing w:after="0" w:line="107" w:lineRule="exact"/>
        <w:rPr>
          <w:sz w:val="20"/>
          <w:szCs w:val="20"/>
          <w:color w:val="auto"/>
        </w:rPr>
      </w:pPr>
    </w:p>
    <w:p>
      <w:pPr>
        <w:ind w:right="719"/>
        <w:spacing w:after="0" w:line="237" w:lineRule="auto"/>
        <w:rPr>
          <w:sz w:val="20"/>
          <w:szCs w:val="20"/>
          <w:color w:val="auto"/>
        </w:rPr>
      </w:pPr>
      <w:r>
        <w:rPr>
          <w:rFonts w:ascii="Times New Roman" w:cs="Times New Roman" w:eastAsia="Times New Roman" w:hAnsi="Times New Roman"/>
          <w:sz w:val="17"/>
          <w:szCs w:val="17"/>
          <w:color w:val="auto"/>
        </w:rPr>
        <w:t>Stockholders of record at the close of business on March 19, 2026, or their legal proxy holders, will be able to access the Annual Meeting webcast, ask questions and vote online at</w:t>
      </w:r>
    </w:p>
    <w:p>
      <w:pPr>
        <w:spacing w:after="0" w:line="234" w:lineRule="auto"/>
        <w:rPr>
          <w:sz w:val="20"/>
          <w:szCs w:val="20"/>
          <w:color w:val="auto"/>
        </w:rPr>
      </w:pPr>
      <w:r>
        <w:rPr>
          <w:rFonts w:ascii="Times New Roman" w:cs="Times New Roman" w:eastAsia="Times New Roman" w:hAnsi="Times New Roman"/>
          <w:sz w:val="17"/>
          <w:szCs w:val="17"/>
          <w:i w:val="1"/>
          <w:iCs w:val="1"/>
          <w:color w:val="auto"/>
        </w:rPr>
        <w:t>www.virtualshareholdermeeting.com/CWEN2026</w:t>
      </w:r>
      <w:r>
        <w:rPr>
          <w:rFonts w:ascii="Times New Roman" w:cs="Times New Roman" w:eastAsia="Times New Roman" w:hAnsi="Times New Roman"/>
          <w:sz w:val="17"/>
          <w:szCs w:val="17"/>
          <w:color w:val="auto"/>
        </w:rPr>
        <w:t>​ by</w:t>
      </w:r>
    </w:p>
    <w:p>
      <w:pPr>
        <w:ind w:right="419"/>
        <w:spacing w:after="0" w:line="233" w:lineRule="auto"/>
        <w:rPr>
          <w:sz w:val="20"/>
          <w:szCs w:val="20"/>
          <w:color w:val="auto"/>
        </w:rPr>
      </w:pPr>
      <w:r>
        <w:rPr>
          <w:rFonts w:ascii="Times New Roman" w:cs="Times New Roman" w:eastAsia="Times New Roman" w:hAnsi="Times New Roman"/>
          <w:sz w:val="17"/>
          <w:szCs w:val="17"/>
          <w:color w:val="auto"/>
        </w:rPr>
        <w:t xml:space="preserve">entering their 16 -digit control number provided on their proxy card. This website also will contain instructions to participate in the virtual Annual Meeting. Please see the Questions and Answers section beginning on page </w:t>
      </w:r>
      <w:r>
        <w:rPr>
          <w:rFonts w:ascii="Times New Roman" w:cs="Times New Roman" w:eastAsia="Times New Roman" w:hAnsi="Times New Roman"/>
          <w:sz w:val="17"/>
          <w:szCs w:val="17"/>
          <w:u w:val="single" w:color="auto"/>
          <w:color w:val="0000EE"/>
        </w:rPr>
        <w:t>93</w:t>
      </w:r>
      <w:r>
        <w:rPr>
          <w:rFonts w:ascii="Times New Roman" w:cs="Times New Roman" w:eastAsia="Times New Roman" w:hAnsi="Times New Roman"/>
          <w:sz w:val="17"/>
          <w:szCs w:val="17"/>
          <w:color w:val="auto"/>
        </w:rPr>
        <w:t xml:space="preserve"> for important information about participating in the virtual Annual Meeting. Additional questions may be directed to our proxy solicitor, MacKenzie Partners, Inc. at (800) 322-2885 or </w:t>
      </w:r>
      <w:r>
        <w:rPr>
          <w:rFonts w:ascii="Times New Roman" w:cs="Times New Roman" w:eastAsia="Times New Roman" w:hAnsi="Times New Roman"/>
          <w:sz w:val="17"/>
          <w:szCs w:val="17"/>
          <w:i w:val="1"/>
          <w:iCs w:val="1"/>
          <w:color w:val="auto"/>
        </w:rPr>
        <w:t>proxy@mackenziepartners.com</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sectPr>
          <w:pgSz w:w="11900" w:h="16838" w:orient="portrait"/>
          <w:cols w:equalWidth="0" w:num="2">
            <w:col w:w="5240" w:space="240"/>
            <w:col w:w="43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You are entitled to vote if you were a stockholder of</w:t>
      </w:r>
    </w:p>
    <w:p>
      <w:pPr>
        <w:ind w:left="1260"/>
        <w:spacing w:after="0" w:line="215" w:lineRule="auto"/>
        <w:rPr>
          <w:sz w:val="20"/>
          <w:szCs w:val="20"/>
          <w:color w:val="auto"/>
        </w:rPr>
      </w:pPr>
      <w:r>
        <w:rPr>
          <w:rFonts w:ascii="Times New Roman" w:cs="Times New Roman" w:eastAsia="Times New Roman" w:hAnsi="Times New Roman"/>
          <w:sz w:val="17"/>
          <w:szCs w:val="17"/>
          <w:color w:val="auto"/>
        </w:rPr>
        <w:t>record of our Class A, Class B, Class C or Class D</w:t>
      </w:r>
    </w:p>
    <w:p>
      <w:pPr>
        <w:ind w:left="1260"/>
        <w:spacing w:after="0" w:line="199" w:lineRule="auto"/>
        <w:rPr>
          <w:sz w:val="20"/>
          <w:szCs w:val="20"/>
          <w:color w:val="auto"/>
        </w:rPr>
      </w:pPr>
      <w:r>
        <w:rPr>
          <w:rFonts w:ascii="Times New Roman" w:cs="Times New Roman" w:eastAsia="Times New Roman" w:hAnsi="Times New Roman"/>
          <w:sz w:val="17"/>
          <w:szCs w:val="17"/>
          <w:color w:val="auto"/>
        </w:rPr>
        <w:t>common stock at the close of business on March 19,</w:t>
      </w:r>
    </w:p>
    <w:p>
      <w:pPr>
        <w:ind w:left="1260"/>
        <w:spacing w:after="0"/>
        <w:rPr>
          <w:sz w:val="20"/>
          <w:szCs w:val="20"/>
          <w:color w:val="auto"/>
        </w:rPr>
      </w:pPr>
      <w:r>
        <w:rPr>
          <w:rFonts w:ascii="Times New Roman" w:cs="Times New Roman" w:eastAsia="Times New Roman" w:hAnsi="Times New Roman"/>
          <w:sz w:val="17"/>
          <w:szCs w:val="17"/>
          <w:color w:val="auto"/>
        </w:rPr>
        <w:t>2026.</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76200</wp:posOffset>
            </wp:positionV>
            <wp:extent cx="8915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KEVIN P. MALCARNEY</w:t>
      </w:r>
    </w:p>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583565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60" w:type="dxa"/>
            <w:vAlign w:val="bottom"/>
            <w:gridSpan w:val="11"/>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2920" w:type="dxa"/>
            <w:vAlign w:val="bottom"/>
            <w:gridSpan w:val="10"/>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PROXY STATEMENT HIGHLIGHTS</w:t>
            </w:r>
          </w:p>
        </w:tc>
        <w:tc>
          <w:tcPr>
            <w:tcW w:w="4760" w:type="dxa"/>
            <w:vAlign w:val="bottom"/>
            <w:gridSpan w:val="11"/>
            <w:shd w:val="clear" w:color="auto" w:fill="CCEEFF"/>
          </w:tcPr>
          <w:p>
            <w:pPr>
              <w:spacing w:after="0"/>
              <w:rPr>
                <w:sz w:val="14"/>
                <w:szCs w:val="14"/>
                <w:color w:val="auto"/>
              </w:rPr>
            </w:pPr>
          </w:p>
        </w:tc>
        <w:tc>
          <w:tcPr>
            <w:tcW w:w="520" w:type="dxa"/>
            <w:vAlign w:val="bottom"/>
            <w:gridSpan w:val="4"/>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1</w:t>
            </w:r>
          </w:p>
        </w:tc>
      </w:tr>
      <w:tr>
        <w:trPr>
          <w:trHeight w:val="27"/>
        </w:trPr>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76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GOVERNANCE OF THE COMPANY</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29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PROPOSALS TO BE VOTED ON</w:t>
            </w:r>
          </w:p>
        </w:tc>
        <w:tc>
          <w:tcPr>
            <w:tcW w:w="4760" w:type="dxa"/>
            <w:vAlign w:val="bottom"/>
            <w:gridSpan w:val="11"/>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78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3900" w:type="dxa"/>
            <w:vAlign w:val="bottom"/>
            <w:tcBorders>
              <w:bottom w:val="single" w:sz="8" w:color="CCEEFF"/>
            </w:tcBorders>
            <w:gridSpan w:val="9"/>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18</w:t>
            </w:r>
          </w:p>
        </w:tc>
      </w:tr>
      <w:tr>
        <w:trPr>
          <w:trHeight w:val="216"/>
        </w:trPr>
        <w:tc>
          <w:tcPr>
            <w:tcW w:w="7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PROPOSAL NO. 2 APPROVAL, ON AN ADVISORY BASIS, OF THE COMPANY’S EXECUTIVE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16"/>
        </w:trPr>
        <w:tc>
          <w:tcPr>
            <w:tcW w:w="756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3 RATIFICATION OF INDEPENDENT REGISTERED PUBLIC ACCOUNTING</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FIRM</w:t>
            </w:r>
          </w:p>
        </w:tc>
        <w:tc>
          <w:tcPr>
            <w:tcW w:w="7040" w:type="dxa"/>
            <w:vAlign w:val="bottom"/>
            <w:tcBorders>
              <w:bottom w:val="single" w:sz="8" w:color="CCEEFF"/>
            </w:tcBorders>
            <w:gridSpan w:val="19"/>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r>
      <w:tr>
        <w:trPr>
          <w:trHeight w:val="229"/>
        </w:trPr>
        <w:tc>
          <w:tcPr>
            <w:tcW w:w="7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PROPOSAL NO. 4 APPROVAL OF THE SECOND AMENDED AND RESTATED</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464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CERTIFICATE OF INCORPORATION OF THE COMPANY</w:t>
            </w:r>
          </w:p>
        </w:tc>
        <w:tc>
          <w:tcPr>
            <w:tcW w:w="3040" w:type="dxa"/>
            <w:vAlign w:val="bottom"/>
            <w:tcBorders>
              <w:bottom w:val="single" w:sz="8" w:color="CCEEFF"/>
            </w:tcBorders>
            <w:gridSpan w:val="8"/>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r>
        <w:trPr>
          <w:trHeight w:val="216"/>
        </w:trPr>
        <w:tc>
          <w:tcPr>
            <w:tcW w:w="71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STOCK OWNERSHIP OF DIRECTORS, NAMED EXECUTIVE OFFICERS AND CERTAIN</w:t>
            </w:r>
          </w:p>
        </w:tc>
        <w:tc>
          <w:tcPr>
            <w:tcW w:w="5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5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w:t>
            </w:r>
          </w:p>
        </w:tc>
        <w:tc>
          <w:tcPr>
            <w:tcW w:w="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42</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50"/>
        </w:trPr>
        <w:tc>
          <w:tcPr>
            <w:tcW w:w="76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229"/>
        </w:trPr>
        <w:tc>
          <w:tcPr>
            <w:tcW w:w="57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900" w:type="dxa"/>
            <w:vAlign w:val="bottom"/>
            <w:tcBorders>
              <w:top w:val="single" w:sz="8" w:color="CCEEFF"/>
            </w:tcBorders>
            <w:gridSpan w:val="6"/>
          </w:tcPr>
          <w:p>
            <w:pPr>
              <w:spacing w:after="0"/>
              <w:rPr>
                <w:sz w:val="19"/>
                <w:szCs w:val="19"/>
                <w:color w:val="auto"/>
              </w:rPr>
            </w:pPr>
          </w:p>
        </w:tc>
        <w:tc>
          <w:tcPr>
            <w:tcW w:w="34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61</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8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5200" w:type="dxa"/>
            <w:vAlign w:val="bottom"/>
            <w:tcBorders>
              <w:bottom w:val="single" w:sz="8" w:color="CCEEFF"/>
            </w:tcBorders>
            <w:gridSpan w:val="14"/>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91</w:t>
            </w:r>
          </w:p>
        </w:tc>
      </w:tr>
      <w:tr>
        <w:trPr>
          <w:trHeight w:val="229"/>
        </w:trPr>
        <w:tc>
          <w:tcPr>
            <w:tcW w:w="7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2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5260" w:type="dxa"/>
            <w:vAlign w:val="bottom"/>
            <w:tcBorders>
              <w:bottom w:val="single" w:sz="8" w:color="CCEEFF"/>
            </w:tcBorders>
            <w:gridSpan w:val="15"/>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93</w:t>
            </w:r>
          </w:p>
        </w:tc>
      </w:tr>
      <w:tr>
        <w:trPr>
          <w:trHeight w:val="216"/>
        </w:trPr>
        <w:tc>
          <w:tcPr>
            <w:tcW w:w="7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REQUIREMENTS FOR SUBMISSION OF STOCKHOLDER PROPOSALS FOR THE 2027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ANNUAL MEETING OF STOCKHOLDERS</w:t>
            </w:r>
          </w:p>
        </w:tc>
        <w:tc>
          <w:tcPr>
            <w:tcW w:w="640" w:type="dxa"/>
            <w:vAlign w:val="bottom"/>
            <w:gridSpan w:val="3"/>
          </w:tcPr>
          <w:p>
            <w:pPr>
              <w:spacing w:after="0"/>
              <w:rPr>
                <w:sz w:val="17"/>
                <w:szCs w:val="17"/>
                <w:color w:val="auto"/>
              </w:rPr>
            </w:pPr>
          </w:p>
        </w:tc>
        <w:tc>
          <w:tcPr>
            <w:tcW w:w="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98</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50"/>
        </w:trPr>
        <w:tc>
          <w:tcPr>
            <w:tcW w:w="11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w:t>
            </w:r>
          </w:p>
        </w:tc>
        <w:tc>
          <w:tcPr>
            <w:tcW w:w="6580" w:type="dxa"/>
            <w:vAlign w:val="bottom"/>
            <w:tcBorders>
              <w:bottom w:val="single" w:sz="8" w:color="CCEEFF"/>
            </w:tcBorders>
            <w:gridSpan w:val="18"/>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2"/>
              </w:rPr>
              <w:t>A-1</w:t>
            </w:r>
          </w:p>
        </w:tc>
      </w:tr>
      <w:tr>
        <w:trPr>
          <w:trHeight w:val="230"/>
        </w:trPr>
        <w:tc>
          <w:tcPr>
            <w:tcW w:w="7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APPENDIX B</w:t>
            </w:r>
          </w:p>
        </w:tc>
        <w:tc>
          <w:tcPr>
            <w:tcW w:w="2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B-1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76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C</w:t>
            </w:r>
          </w:p>
        </w:tc>
        <w:tc>
          <w:tcPr>
            <w:tcW w:w="2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C-1</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3656330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HIGHLIGHTS</w:t>
      </w:r>
    </w:p>
    <w:p>
      <w:pPr>
        <w:spacing w:after="0" w:line="160" w:lineRule="exact"/>
        <w:rPr>
          <w:sz w:val="20"/>
          <w:szCs w:val="20"/>
          <w:color w:val="auto"/>
        </w:rPr>
      </w:pPr>
    </w:p>
    <w:p>
      <w:pPr>
        <w:ind w:left="1260" w:right="1300"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2025 performance, please review Clearway Energy, Inc.’s Annual Report on Form 10-K for the year ended December 31, 2025 (the “2025 Form 10-K”).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ROADMAP OF VOTING MATTERS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Stockholders are being asked to vote on the following matters at the 2026 Annual Meeting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(the “Annual Meeting”):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gridSpan w:val="10"/>
          </w:tcPr>
          <w:p>
            <w:pPr>
              <w:ind w:left="126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Proposal 1. Election of Directors (page </w:t>
            </w:r>
            <w:r>
              <w:rPr>
                <w:rFonts w:ascii="Times New Roman" w:cs="Times New Roman" w:eastAsia="Times New Roman" w:hAnsi="Times New Roman"/>
                <w:sz w:val="18"/>
                <w:szCs w:val="18"/>
                <w:b w:val="1"/>
                <w:bCs w:val="1"/>
                <w:color w:val="0000EE"/>
              </w:rPr>
              <w:t>18</w:t>
            </w:r>
            <w:r>
              <w:rPr>
                <w:rFonts w:ascii="Times New Roman" w:cs="Times New Roman" w:eastAsia="Times New Roman" w:hAnsi="Times New Roman"/>
                <w:sz w:val="18"/>
                <w:szCs w:val="18"/>
                <w:b w:val="1"/>
                <w:bCs w:val="1"/>
                <w:color w:val="auto"/>
              </w:rPr>
              <w:t>)</w:t>
            </w:r>
          </w:p>
        </w:tc>
        <w:tc>
          <w:tcPr>
            <w:tcW w:w="1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gridSpan w:val="5"/>
            <w:vMerge w:val="restart"/>
          </w:tcPr>
          <w:p>
            <w:pPr>
              <w:ind w:left="1260"/>
              <w:spacing w:after="0"/>
              <w:rPr>
                <w:sz w:val="20"/>
                <w:szCs w:val="20"/>
                <w:color w:val="auto"/>
              </w:rPr>
            </w:pPr>
            <w:r>
              <w:rPr>
                <w:rFonts w:ascii="Times New Roman" w:cs="Times New Roman" w:eastAsia="Times New Roman" w:hAnsi="Times New Roman"/>
                <w:sz w:val="18"/>
                <w:szCs w:val="18"/>
                <w:color w:val="auto"/>
              </w:rPr>
              <w:t>The Board of Directors (the “Board”)</w:t>
            </w:r>
          </w:p>
        </w:tc>
        <w:tc>
          <w:tcPr>
            <w:tcW w:w="1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gridSpan w:val="5"/>
            <w:vMerge w:val="continue"/>
          </w:tcPr>
          <w:p>
            <w:pPr>
              <w:spacing w:after="0"/>
              <w:rPr>
                <w:sz w:val="16"/>
                <w:szCs w:val="16"/>
                <w:color w:val="auto"/>
              </w:rPr>
            </w:pPr>
          </w:p>
        </w:tc>
        <w:tc>
          <w:tcPr>
            <w:tcW w:w="3640" w:type="dxa"/>
            <w:vAlign w:val="bottom"/>
            <w:gridSpan w:val="5"/>
          </w:tcPr>
          <w:p>
            <w:pPr>
              <w:ind w:left="20"/>
              <w:spacing w:after="0" w:line="191" w:lineRule="exact"/>
              <w:rPr>
                <w:sz w:val="20"/>
                <w:szCs w:val="20"/>
                <w:color w:val="auto"/>
              </w:rPr>
            </w:pPr>
            <w:r>
              <w:rPr>
                <w:rFonts w:ascii="Times New Roman" w:cs="Times New Roman" w:eastAsia="Times New Roman" w:hAnsi="Times New Roman"/>
                <w:sz w:val="18"/>
                <w:szCs w:val="18"/>
                <w:color w:val="auto"/>
              </w:rPr>
              <w:t>and the Corporate Governance, Conflicts</w:t>
            </w:r>
          </w:p>
        </w:tc>
        <w:tc>
          <w:tcPr>
            <w:tcW w:w="17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and Nominating Committee believe that the eleven director nominees possess the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each director nominee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necessary qualifications, attributes, skills and experience to provide advice and</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counsel to the Company’s management and effectively oversee the business and</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the long-term interests of our stockholders.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Proposal 2. Approval, on a non-binding advisory basis, of Clearway Energy, Inc.’s</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760" w:type="dxa"/>
            <w:vAlign w:val="bottom"/>
            <w:gridSpan w:val="10"/>
            <w:vMerge w:val="continue"/>
          </w:tcPr>
          <w:p>
            <w:pPr>
              <w:spacing w:after="0"/>
              <w:rPr>
                <w:sz w:val="8"/>
                <w:szCs w:val="8"/>
                <w:color w:val="auto"/>
              </w:rPr>
            </w:pPr>
          </w:p>
        </w:tc>
        <w:tc>
          <w:tcPr>
            <w:tcW w:w="1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7760" w:type="dxa"/>
            <w:vAlign w:val="bottom"/>
            <w:gridSpan w:val="10"/>
          </w:tcPr>
          <w:p>
            <w:pPr>
              <w:ind w:left="126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executive compensation (the “Say on Pay Proposal”) (page </w:t>
            </w:r>
            <w:r>
              <w:rPr>
                <w:rFonts w:ascii="Times New Roman" w:cs="Times New Roman" w:eastAsia="Times New Roman" w:hAnsi="Times New Roman"/>
                <w:sz w:val="18"/>
                <w:szCs w:val="18"/>
                <w:b w:val="1"/>
                <w:bCs w:val="1"/>
                <w:color w:val="0000EE"/>
              </w:rPr>
              <w:t>27</w:t>
            </w:r>
            <w:r>
              <w:rPr>
                <w:rFonts w:ascii="Times New Roman" w:cs="Times New Roman" w:eastAsia="Times New Roman" w:hAnsi="Times New Roman"/>
                <w:sz w:val="18"/>
                <w:szCs w:val="18"/>
                <w:b w:val="1"/>
                <w:bCs w:val="1"/>
                <w:color w:val="auto"/>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The Company seeks a non-binding advisory vote to approve the compensation of</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its named executive officers (the “NEOs”) as described in the Compensation</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60" w:type="dxa"/>
            <w:vAlign w:val="bottom"/>
            <w:gridSpan w:val="10"/>
          </w:tcPr>
          <w:p>
            <w:pPr>
              <w:ind w:left="1260"/>
              <w:spacing w:after="0" w:line="194" w:lineRule="exact"/>
              <w:rPr>
                <w:sz w:val="20"/>
                <w:szCs w:val="20"/>
                <w:color w:val="auto"/>
              </w:rPr>
            </w:pPr>
            <w:r>
              <w:rPr>
                <w:rFonts w:ascii="Times New Roman" w:cs="Times New Roman" w:eastAsia="Times New Roman" w:hAnsi="Times New Roman"/>
                <w:sz w:val="18"/>
                <w:szCs w:val="18"/>
                <w:color w:val="auto"/>
              </w:rPr>
              <w:t xml:space="preserve">Discussion and Analysis (the “CD&amp;A”) beginning on page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and the</w:t>
            </w: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Borders>
              <w:right w:val="single" w:sz="8" w:color="0000EE"/>
            </w:tcBorders>
            <w:gridSpan w:val="4"/>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compensation tables and respective narrative discussion. The Board values</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stockholders’ opinions, and the Compensation Committee will take into account</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the outcome of the Say on Pay Proposal when considering future executive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compensation decisions.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 PricewaterhouseCoopers LLP as</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760" w:type="dxa"/>
            <w:vAlign w:val="bottom"/>
            <w:gridSpan w:val="10"/>
            <w:vMerge w:val="continue"/>
          </w:tcPr>
          <w:p>
            <w:pPr>
              <w:spacing w:after="0"/>
              <w:rPr>
                <w:sz w:val="8"/>
                <w:szCs w:val="8"/>
                <w:color w:val="auto"/>
              </w:rPr>
            </w:pPr>
          </w:p>
        </w:tc>
        <w:tc>
          <w:tcPr>
            <w:tcW w:w="1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b w:val="1"/>
                <w:bCs w:val="1"/>
                <w:color w:val="auto"/>
              </w:rPr>
              <w:t>Clearway Energy, Inc.’s independent registered public accounting firm for the 2026</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b w:val="1"/>
                <w:bCs w:val="1"/>
                <w:color w:val="auto"/>
              </w:rPr>
              <w:t>fiscal year (the “Ratification of PricewaterhouseCoopers LLP’s Appointment</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10"/>
          </w:tcPr>
          <w:p>
            <w:pPr>
              <w:ind w:left="126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Proposal”) (page </w:t>
            </w:r>
            <w:r>
              <w:rPr>
                <w:rFonts w:ascii="Times New Roman" w:cs="Times New Roman" w:eastAsia="Times New Roman" w:hAnsi="Times New Roman"/>
                <w:sz w:val="18"/>
                <w:szCs w:val="18"/>
                <w:b w:val="1"/>
                <w:bCs w:val="1"/>
                <w:color w:val="0000EE"/>
              </w:rPr>
              <w:t>28</w:t>
            </w:r>
            <w:r>
              <w:rPr>
                <w:rFonts w:ascii="Times New Roman" w:cs="Times New Roman" w:eastAsia="Times New Roman" w:hAnsi="Times New Roman"/>
                <w:sz w:val="18"/>
                <w:szCs w:val="18"/>
                <w:b w:val="1"/>
                <w:bCs w:val="1"/>
                <w:color w:val="auto"/>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The Audit Committee and the Board believe that the retention of</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PricewaterhouseCoopers LLP as the Company’s independent registered public</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accounting firm for the 2026 fiscal year is in the best interests of the Company and</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its stockholders. As a matter of good corporate governance, stockholders are being</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asked to ratify the Audit Committee’s selection of PricewaterhouseCoopers LLP.</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gridSpan w:val="10"/>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Proposal 4. Approval of the Second Amended and Restated Certificate of</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760" w:type="dxa"/>
            <w:vAlign w:val="bottom"/>
            <w:gridSpan w:val="10"/>
            <w:vMerge w:val="continue"/>
          </w:tcPr>
          <w:p>
            <w:pPr>
              <w:spacing w:after="0"/>
              <w:rPr>
                <w:sz w:val="8"/>
                <w:szCs w:val="8"/>
                <w:color w:val="auto"/>
              </w:rPr>
            </w:pPr>
          </w:p>
        </w:tc>
        <w:tc>
          <w:tcPr>
            <w:tcW w:w="1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of Clearway Energy, Inc. (the “Charter Amendment Proposal”)</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10"/>
          </w:tcPr>
          <w:p>
            <w:pPr>
              <w:ind w:left="126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(page </w:t>
            </w:r>
            <w:r>
              <w:rPr>
                <w:rFonts w:ascii="Times New Roman" w:cs="Times New Roman" w:eastAsia="Times New Roman" w:hAnsi="Times New Roman"/>
                <w:sz w:val="18"/>
                <w:szCs w:val="18"/>
                <w:b w:val="1"/>
                <w:bCs w:val="1"/>
                <w:color w:val="0000EE"/>
              </w:rPr>
              <w:t>30</w:t>
            </w:r>
            <w:r>
              <w:rPr>
                <w:rFonts w:ascii="Times New Roman" w:cs="Times New Roman" w:eastAsia="Times New Roman" w:hAnsi="Times New Roman"/>
                <w:sz w:val="18"/>
                <w:szCs w:val="18"/>
                <w:b w:val="1"/>
                <w:bCs w:val="1"/>
                <w:color w:val="auto"/>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80" w:type="dxa"/>
            <w:vAlign w:val="bottom"/>
            <w:gridSpan w:val="8"/>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The Board seeks approval of the Amended Charter, which would amend and</w:t>
            </w:r>
          </w:p>
        </w:tc>
        <w:tc>
          <w:tcPr>
            <w:tcW w:w="17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restate the Existing Charter to (i) provide that each share of Class A common stock</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will be convertible into one share of Class C common stock, (ii) provide that the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Class A Conversion will occur automatically at 12:01 a.m., Eastern Time, on the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second business day following the filing of the Amended Charter, (iii) provide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that, from and after the Class A Conversion, the Company will not have authority</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to issue or reissue shares of Class A common stock and certain provisions of our</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Existing Charter relating to the Class A common stock will have no further force</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or effect, (iv) reduce the total number of authorized shares of Class A common</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stock from 500,000,000 to 34,613,853 and (v) update certain other historical</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gridSpan w:val="10"/>
          </w:tcPr>
          <w:p>
            <w:pPr>
              <w:ind w:left="1260"/>
              <w:spacing w:after="0"/>
              <w:rPr>
                <w:sz w:val="20"/>
                <w:szCs w:val="20"/>
                <w:color w:val="auto"/>
              </w:rPr>
            </w:pPr>
            <w:r>
              <w:rPr>
                <w:rFonts w:ascii="Times New Roman" w:cs="Times New Roman" w:eastAsia="Times New Roman" w:hAnsi="Times New Roman"/>
                <w:sz w:val="18"/>
                <w:szCs w:val="18"/>
                <w:color w:val="auto"/>
              </w:rPr>
              <w:t>matters, in each case as described in this Proxy Statement.</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580" w:type="dxa"/>
            <w:vAlign w:val="bottom"/>
            <w:gridSpan w:val="7"/>
          </w:tcPr>
          <w:p>
            <w:pPr>
              <w:ind w:left="53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Forward-looking statements include statements about the potential or anticipated benefits or effects of the Charter Amendment Proposal or the Class A Conversion, the tax consequences of the Class A Conversion and other statements with respect to our beliefs, plans, objectives, goals, expectations, anticipations, assumptions, estimates, intentions and future performance and condition.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Risk Factors in Part I of the 2025 Form 10-K, as well as the following:</w:t>
      </w:r>
    </w:p>
    <w:p>
      <w:pPr>
        <w:spacing w:after="0" w:line="298"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Clearway Energy Group LLC (“CEG”) and its owners;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investment opportunities, as well as acquisitions from, and dispositions to, third parties;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CEG;</w:t>
      </w:r>
    </w:p>
    <w:p>
      <w:pPr>
        <w:spacing w:after="0" w:line="130"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9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our senior notes; and</w:t>
      </w:r>
    </w:p>
    <w:p>
      <w:pPr>
        <w:spacing w:after="0" w:line="85"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Proxy Statement should not be construed as exhaustive.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are committed to maintaining high standards of corporate governance, which promote the long-term interests of our stockholders, strengthen Board and management accountability and help build public trust in the Company. The “Governance of the Company” section beginning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describes our corporate governance framework, which includes the following highlights:</w:t>
      </w:r>
    </w:p>
    <w:p>
      <w:pPr>
        <w:sectPr>
          <w:pgSz w:w="11900" w:h="16838" w:orient="portrait"/>
          <w:cols w:equalWidth="0" w:num="1">
            <w:col w:w="9879"/>
          </w:cols>
          <w:pgMar w:left="580" w:top="97" w:right="1440" w:bottom="1440" w:gutter="0" w:footer="0" w:header="0"/>
        </w:sectPr>
      </w:pPr>
    </w:p>
    <w:p>
      <w:pPr>
        <w:spacing w:after="0" w:line="139" w:lineRule="exact"/>
        <w:rPr>
          <w:sz w:val="20"/>
          <w:szCs w:val="20"/>
          <w:color w:val="auto"/>
        </w:rPr>
      </w:pPr>
    </w:p>
    <w:p>
      <w:pPr>
        <w:ind w:left="1800" w:right="360" w:hanging="179"/>
        <w:spacing w:after="0" w:line="282" w:lineRule="auto"/>
        <w:rPr>
          <w:sz w:val="20"/>
          <w:szCs w:val="20"/>
          <w:color w:val="auto"/>
        </w:rPr>
      </w:pPr>
      <w:r>
        <w:rPr>
          <w:rFonts w:ascii="Times New Roman" w:cs="Times New Roman" w:eastAsia="Times New Roman" w:hAnsi="Times New Roman"/>
          <w:sz w:val="18"/>
          <w:szCs w:val="18"/>
          <w:color w:val="auto"/>
        </w:rPr>
        <w:t>​• Separate Chairman and Chief Executive Officer</w:t>
      </w:r>
    </w:p>
    <w:p>
      <w:pPr>
        <w:spacing w:after="0" w:line="81"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director nominees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independent director nominees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full Board and committees</w:t>
      </w:r>
    </w:p>
    <w:p>
      <w:pPr>
        <w:spacing w:after="0" w:line="130" w:lineRule="exact"/>
        <w:rPr>
          <w:rFonts w:ascii="Times New Roman" w:cs="Times New Roman" w:eastAsia="Times New Roman" w:hAnsi="Times New Roman"/>
          <w:sz w:val="18"/>
          <w:szCs w:val="18"/>
          <w:color w:val="auto"/>
        </w:rPr>
      </w:pPr>
    </w:p>
    <w:p>
      <w:pPr>
        <w:ind w:left="1800" w:right="320"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self-evaluation of full Board and each committee</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130" w:lineRule="exact"/>
        <w:rPr>
          <w:rFonts w:ascii="Times New Roman" w:cs="Times New Roman" w:eastAsia="Times New Roman" w:hAnsi="Times New Roman"/>
          <w:sz w:val="18"/>
          <w:szCs w:val="18"/>
          <w:color w:val="auto"/>
        </w:rPr>
      </w:pPr>
    </w:p>
    <w:p>
      <w:pPr>
        <w:ind w:left="1800" w:right="800"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governance committees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173" w:right="739" w:hanging="395"/>
        <w:spacing w:after="0" w:line="261" w:lineRule="auto"/>
        <w:rPr>
          <w:sz w:val="20"/>
          <w:szCs w:val="20"/>
          <w:color w:val="auto"/>
        </w:rPr>
      </w:pPr>
      <w:r>
        <w:rPr>
          <w:rFonts w:ascii="Times New Roman" w:cs="Times New Roman" w:eastAsia="Times New Roman" w:hAnsi="Times New Roman"/>
          <w:sz w:val="18"/>
          <w:szCs w:val="18"/>
          <w:color w:val="auto"/>
        </w:rPr>
        <w:t>​ ​ • Regular executive sessions of independent</w:t>
      </w:r>
      <w:r>
        <w:rPr>
          <w:sz w:val="20"/>
          <w:szCs w:val="20"/>
          <w:color w:val="auto"/>
        </w:rPr>
        <w:t xml:space="preserve"> </w:t>
      </w:r>
      <w:r>
        <w:rPr>
          <w:rFonts w:ascii="Times New Roman" w:cs="Times New Roman" w:eastAsia="Times New Roman" w:hAnsi="Times New Roman"/>
          <w:sz w:val="18"/>
          <w:szCs w:val="18"/>
          <w:color w:val="auto"/>
        </w:rPr>
        <w:t>​ directors</w:t>
      </w:r>
    </w:p>
    <w:p>
      <w:pPr>
        <w:spacing w:after="0" w:line="333" w:lineRule="exact"/>
        <w:rPr>
          <w:sz w:val="20"/>
          <w:szCs w:val="20"/>
          <w:color w:val="auto"/>
        </w:rPr>
      </w:pPr>
    </w:p>
    <w:p>
      <w:pPr>
        <w:ind w:left="173" w:hanging="173"/>
        <w:spacing w:after="0"/>
        <w:tabs>
          <w:tab w:leader="none" w:pos="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and anti-pledging policies</w:t>
      </w:r>
    </w:p>
    <w:p>
      <w:pPr>
        <w:spacing w:after="0" w:line="130" w:lineRule="exact"/>
        <w:rPr>
          <w:rFonts w:ascii="Times New Roman" w:cs="Times New Roman" w:eastAsia="Times New Roman" w:hAnsi="Times New Roman"/>
          <w:sz w:val="18"/>
          <w:szCs w:val="18"/>
          <w:color w:val="auto"/>
        </w:rPr>
      </w:pPr>
    </w:p>
    <w:p>
      <w:pPr>
        <w:ind w:left="173" w:right="779" w:hanging="173"/>
        <w:spacing w:after="0" w:line="282" w:lineRule="auto"/>
        <w:tabs>
          <w:tab w:leader="none" w:pos="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 program</w:t>
      </w:r>
    </w:p>
    <w:p>
      <w:pPr>
        <w:spacing w:after="0" w:line="94" w:lineRule="exact"/>
        <w:rPr>
          <w:rFonts w:ascii="Times New Roman" w:cs="Times New Roman" w:eastAsia="Times New Roman" w:hAnsi="Times New Roman"/>
          <w:sz w:val="18"/>
          <w:szCs w:val="18"/>
          <w:color w:val="auto"/>
        </w:rPr>
      </w:pPr>
    </w:p>
    <w:p>
      <w:pPr>
        <w:ind w:left="173" w:right="1379" w:hanging="173"/>
        <w:spacing w:after="0" w:line="266" w:lineRule="auto"/>
        <w:tabs>
          <w:tab w:leader="none" w:pos="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on and oversight of environmental, social and governance (“ESG”) matters</w:t>
      </w:r>
    </w:p>
    <w:p>
      <w:pPr>
        <w:spacing w:after="0" w:line="81"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Diversity Policy</w:t>
      </w:r>
    </w:p>
    <w:p>
      <w:pPr>
        <w:spacing w:after="0" w:line="681" w:lineRule="exact"/>
        <w:rPr>
          <w:sz w:val="20"/>
          <w:szCs w:val="20"/>
          <w:color w:val="auto"/>
        </w:rPr>
      </w:pPr>
    </w:p>
    <w:p>
      <w:pPr>
        <w:sectPr>
          <w:pgSz w:w="11900" w:h="16838" w:orient="portrait"/>
          <w:cols w:equalWidth="0" w:num="2">
            <w:col w:w="5180" w:space="287"/>
            <w:col w:w="4412"/>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960" w:type="dxa"/>
            <w:vAlign w:val="bottom"/>
            <w:gridSpan w:val="5"/>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4"/>
              </w:rPr>
              <w:t>Memberships</w:t>
            </w:r>
            <w:r>
              <w:rPr>
                <w:rFonts w:ascii="Times New Roman" w:cs="Times New Roman" w:eastAsia="Times New Roman" w:hAnsi="Times New Roman"/>
                <w:sz w:val="17"/>
                <w:szCs w:val="17"/>
                <w:b w:val="1"/>
                <w:bCs w:val="1"/>
                <w:color w:val="auto"/>
                <w:w w:val="94"/>
                <w:vertAlign w:val="superscript"/>
              </w:rPr>
              <w:t>(1)</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Director</w:t>
            </w: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Company</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vMerge w:val="restart"/>
          </w:tcPr>
          <w:p>
            <w:pPr>
              <w:ind w:lef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A</w:t>
            </w:r>
          </w:p>
        </w:tc>
        <w:tc>
          <w:tcPr>
            <w:tcW w:w="360" w:type="dxa"/>
            <w:vAlign w:val="bottom"/>
            <w:gridSpan w:val="2"/>
            <w:vMerge w:val="restart"/>
          </w:tcPr>
          <w:p>
            <w:pPr>
              <w:ind w:left="1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C</w:t>
            </w:r>
          </w:p>
        </w:tc>
        <w:tc>
          <w:tcPr>
            <w:tcW w:w="1100" w:type="dxa"/>
            <w:vAlign w:val="bottom"/>
            <w:gridSpan w:val="5"/>
            <w:vMerge w:val="restart"/>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GCN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ERM</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Primary Occupation</w:t>
            </w:r>
          </w:p>
        </w:tc>
        <w:tc>
          <w:tcPr>
            <w:tcW w:w="1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Independent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Boards</w:t>
            </w:r>
          </w:p>
        </w:tc>
        <w:tc>
          <w:tcPr>
            <w:tcW w:w="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Nathaniel Anschuetz</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vMerge w:val="continue"/>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Partner at Global Infrastructure Partners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Jonathan Bram</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of the Board of the Company,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Founding Partner at Global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Infrastructure Partners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Craig Cornelius</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the Company</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54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Brian R. Ford</w:t>
            </w:r>
            <w:r>
              <w:rPr>
                <w:rFonts w:ascii="Times New Roman" w:cs="Times New Roman" w:eastAsia="Times New Roman" w:hAnsi="Times New Roman"/>
                <w:sz w:val="23"/>
                <w:szCs w:val="23"/>
                <w:b w:val="1"/>
                <w:bCs w:val="1"/>
                <w:color w:val="auto"/>
                <w:vertAlign w:val="superscript"/>
              </w:rPr>
              <w:t>(2)</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ind w:left="4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60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Executive Officer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Washington Philadelphia Partners, LP</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Paige Goodwin</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 U.S. Renewables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Portfolio for TotalEnergies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Olivier Jouny</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for TotalEnergies</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 ​</w:t>
            </w: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Renewables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-2673985</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-2673985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-2673985</wp:posOffset>
            </wp:positionV>
            <wp:extent cx="1117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-2673985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-2673985</wp:posOffset>
            </wp:positionV>
            <wp:extent cx="1117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-2673985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-2673985</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-2673985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Jennifer Lowry</w:t>
      </w:r>
    </w:p>
    <w:p>
      <w:pPr>
        <w:spacing w:after="0" w:line="31" w:lineRule="exact"/>
        <w:rPr>
          <w:sz w:val="20"/>
          <w:szCs w:val="20"/>
          <w:color w:val="auto"/>
        </w:rPr>
      </w:pPr>
    </w:p>
    <w:p>
      <w:pPr>
        <w:ind w:left="1440"/>
        <w:spacing w:after="0" w:line="255" w:lineRule="auto"/>
        <w:rPr>
          <w:sz w:val="20"/>
          <w:szCs w:val="20"/>
          <w:color w:val="auto"/>
        </w:rPr>
      </w:pPr>
      <w:r>
        <w:rPr>
          <w:rFonts w:ascii="Times New Roman" w:cs="Times New Roman" w:eastAsia="Times New Roman" w:hAnsi="Times New Roman"/>
          <w:sz w:val="18"/>
          <w:szCs w:val="18"/>
          <w:i w:val="1"/>
          <w:iCs w:val="1"/>
          <w:color w:val="auto"/>
        </w:rPr>
        <w:t>Former Vice President of Risk, Treasury and Corporate Finance for McCormick &amp; Company, Inc.</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Bruce MacLennan</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Partner at Global Infrastructure Partners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​57 ​</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p>
        </w:tc>
        <w:tc>
          <w:tcPr>
            <w:tcW w:w="52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2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r>
      <w:tr>
        <w:trPr>
          <w:trHeight w:val="85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​59 ​</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-153670</wp:posOffset>
            </wp:positionV>
            <wp:extent cx="521208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600" w:space="240"/>
            <w:col w:w="50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Daniel B. More</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 ​</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54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Advisor at Guggenheim Securities</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 Stanley O’Neal</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​74 ​</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Chairman of the Board and Chief</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 of Merrill Lynch &amp; Co.</w:t>
            </w: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Marc-Antoine Pignon</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 ​</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of TotalEnergies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Renewables USA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line="207" w:lineRule="exact"/>
        <w:tabs>
          <w:tab w:leader="none" w:pos="162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Chair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Member</w:t>
      </w:r>
    </w:p>
    <w:p>
      <w:pPr>
        <w:spacing w:after="0" w:line="96" w:lineRule="exact"/>
        <w:rPr>
          <w:rFonts w:ascii="Times New Roman" w:cs="Times New Roman" w:eastAsia="Times New Roman" w:hAnsi="Times New Roman"/>
          <w:sz w:val="18"/>
          <w:szCs w:val="18"/>
          <w:color w:val="auto"/>
        </w:rPr>
      </w:pPr>
    </w:p>
    <w:p>
      <w:pPr>
        <w:ind w:left="1620" w:right="71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Audit Committee; C = Compensation Committee; GCN = Corporate Governance, Conflicts and Nominating Committee; ERM = Energy Risk Management Committee</w:t>
      </w:r>
    </w:p>
    <w:p>
      <w:pPr>
        <w:spacing w:after="0" w:line="1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Please see the Questions and Answers section beginning on page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 xml:space="preserve"> for important information about the proxy materials, voting and the Annual Meeting. Additional questions may be directed to our proxy solicitor, MacKenzie Partners, Inc. at (800) 322-2885 or </w:t>
      </w:r>
      <w:r>
        <w:rPr>
          <w:rFonts w:ascii="Times New Roman" w:cs="Times New Roman" w:eastAsia="Times New Roman" w:hAnsi="Times New Roman"/>
          <w:sz w:val="18"/>
          <w:szCs w:val="18"/>
          <w:i w:val="1"/>
          <w:iCs w:val="1"/>
          <w:color w:val="auto"/>
        </w:rPr>
        <w:t>proxy@mackenziepartners.com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LEARN MORE ABOUT OUR COMPANY</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You can learn more about the Company and view our governance materials and much more by visiting the “Corporate Governance” section of our website, </w:t>
      </w:r>
      <w:r>
        <w:rPr>
          <w:rFonts w:ascii="Times New Roman" w:cs="Times New Roman" w:eastAsia="Times New Roman" w:hAnsi="Times New Roman"/>
          <w:sz w:val="18"/>
          <w:szCs w:val="18"/>
          <w:i w:val="1"/>
          <w:iCs w:val="1"/>
          <w:color w:val="auto"/>
        </w:rPr>
        <w:t>www.clearwayenergy.com.</w:t>
      </w:r>
    </w:p>
    <w:p>
      <w:pPr>
        <w:spacing w:after="0" w:line="79"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also visit our Annual Meeting website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easily access the Company’s proxy materials and vote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are providing these proxy materials to you in connection with the solicitation of proxies by the Board of Clearway Energy, Inc. for the Annual Meeting and for any adjournment or postponement of the Annual Meeting. The Annual Meeting will be held Wednesday, April 29, 2026, at 9 a.m., Eastern Time. The Annual Meeting will be held in a virtual meeting format only, via live webcast on the Internet. In this Proxy Statement, “we,” “us,” “our,” “Clearway Energy,” “Clearway,” “CWEN” and the “Company” refer to Clearway Energy, Inc.</w:t>
      </w:r>
    </w:p>
    <w:p>
      <w:pPr>
        <w:spacing w:after="0" w:line="32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7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Wednesday, April 29, 2026</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Notice of Annual Meeting, this Proxy Statement and our 2025 Form 10-K is available at</w:t>
      </w:r>
    </w:p>
    <w:p>
      <w:pPr>
        <w:spacing w:after="0" w:line="27"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If you would like to receive, without charge, a paper copy of our 2025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including the financial statements and the financial statement schedules, please send your request to Investor Relations, 300 Carnegie Center, Suite 300, Princeton, New Jersey 08540.</w:t>
      </w:r>
    </w:p>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GOVERNANCE OF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CHARTERS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adopted Corporate Governance Guidelines (the “Guidelines”) that, along with the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 xml:space="preserve">Existing Charter,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Times New Roman" w:cs="Times New Roman" w:eastAsia="Times New Roman" w:hAnsi="Times New Roman"/>
          <w:sz w:val="18"/>
          <w:szCs w:val="18"/>
          <w:i w:val="1"/>
          <w:iCs w:val="1"/>
          <w:color w:val="auto"/>
        </w:rPr>
        <w:t>www.clearwayenergy.com</w:t>
      </w:r>
      <w:r>
        <w:rPr>
          <w:rFonts w:ascii="Times New Roman" w:cs="Times New Roman" w:eastAsia="Times New Roman" w:hAnsi="Times New Roman"/>
          <w:sz w:val="18"/>
          <w:szCs w:val="18"/>
          <w:color w:val="auto"/>
        </w:rPr>
        <w:t>, along with the written charters of all of the Committees and the Company’s 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CEG, which is equally owned by TotalEnergies SE (“TotalEnergies”) and funds comprising Global Infrastructure Partners III (“GIP”) (an indirect subsidiary of BlackRock, Inc.),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our Board consisting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33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each Committee. The controlled company exemption does not modify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the independence requirements for the Audit Committee, and we comply with the requirements of the Sarbanes-Oxley Act of 2002 (the “Sarbanes-Oxley Act”) and the NYSE rules, which require that our Audit Committee be composed of at least three members, all of whom are independent.</w:t>
      </w:r>
    </w:p>
    <w:p>
      <w:pPr>
        <w:sectPr>
          <w:pgSz w:w="11900" w:h="16838" w:orient="portrait"/>
          <w:cols w:equalWidth="0" w:num="1">
            <w:col w:w="9879"/>
          </w:cols>
          <w:pgMar w:left="580" w:top="97" w:right="1440" w:bottom="1440" w:gutter="0" w:footer="0" w:header="0"/>
        </w:sectPr>
      </w:pP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 AND LEADERSHIP</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Jonathan Bram</w:t>
      </w:r>
    </w:p>
    <w:p>
      <w:pPr>
        <w:spacing w:after="0" w:line="117"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directors</w:t>
      </w:r>
      <w:r>
        <w:rPr>
          <w:rFonts w:ascii="Times New Roman" w:cs="Times New Roman" w:eastAsia="Times New Roman" w:hAnsi="Times New Roman"/>
          <w:sz w:val="18"/>
          <w:szCs w:val="18"/>
          <w:color w:val="auto"/>
        </w:rPr>
        <w:t>: 11</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regular meetings in 2025</w:t>
      </w:r>
      <w:r>
        <w:rPr>
          <w:rFonts w:ascii="Times New Roman" w:cs="Times New Roman" w:eastAsia="Times New Roman" w:hAnsi="Times New Roman"/>
          <w:sz w:val="18"/>
          <w:szCs w:val="18"/>
          <w:color w:val="auto"/>
        </w:rPr>
        <w:t>: 5</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special meetings in 2025</w:t>
      </w:r>
      <w:r>
        <w:rPr>
          <w:rFonts w:ascii="Times New Roman" w:cs="Times New Roman" w:eastAsia="Times New Roman" w:hAnsi="Times New Roman"/>
          <w:sz w:val="18"/>
          <w:szCs w:val="18"/>
          <w:color w:val="auto"/>
        </w:rPr>
        <w:t>: 2</w:t>
      </w:r>
    </w:p>
    <w:p>
      <w:pPr>
        <w:spacing w:after="0" w:line="12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directors</w:t>
      </w:r>
    </w:p>
    <w:p>
      <w:pPr>
        <w:spacing w:after="0" w:line="130" w:lineRule="exact"/>
        <w:rPr>
          <w:rFonts w:ascii="Times New Roman" w:cs="Times New Roman" w:eastAsia="Times New Roman" w:hAnsi="Times New Roman"/>
          <w:sz w:val="18"/>
          <w:szCs w:val="18"/>
          <w:color w:val="auto"/>
        </w:rPr>
      </w:pPr>
    </w:p>
    <w:p>
      <w:pPr>
        <w:ind w:left="1800"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Lead Independent Director</w:t>
      </w:r>
      <w:r>
        <w:rPr>
          <w:rFonts w:ascii="Times New Roman" w:cs="Times New Roman" w:eastAsia="Times New Roman" w:hAnsi="Times New Roman"/>
          <w:sz w:val="18"/>
          <w:szCs w:val="18"/>
          <w:color w:val="auto"/>
        </w:rPr>
        <w:t>: Brian R. Ford</w:t>
      </w:r>
      <w:r>
        <w:rPr>
          <w:sz w:val="20"/>
          <w:szCs w:val="20"/>
          <w:color w:val="auto"/>
        </w:rPr>
        <w:tab/>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380" w:right="1039" w:hanging="173"/>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80" w:lineRule="exact"/>
        <w:rPr>
          <w:rFonts w:ascii="Times New Roman" w:cs="Times New Roman" w:eastAsia="Times New Roman" w:hAnsi="Times New Roman"/>
          <w:sz w:val="18"/>
          <w:szCs w:val="18"/>
          <w:color w:val="auto"/>
        </w:rPr>
      </w:pPr>
    </w:p>
    <w:p>
      <w:pPr>
        <w:ind w:left="380" w:right="819" w:hanging="173"/>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and Corporate Governance, Conflicts and Nominating Committees composed of all independent directors</w:t>
      </w:r>
    </w:p>
    <w:p>
      <w:pPr>
        <w:spacing w:after="0" w:line="94" w:lineRule="exact"/>
        <w:rPr>
          <w:rFonts w:ascii="Times New Roman" w:cs="Times New Roman" w:eastAsia="Times New Roman" w:hAnsi="Times New Roman"/>
          <w:sz w:val="18"/>
          <w:szCs w:val="18"/>
          <w:color w:val="auto"/>
        </w:rPr>
      </w:pPr>
    </w:p>
    <w:p>
      <w:pPr>
        <w:ind w:left="380" w:hanging="173"/>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engagement by all directors</w:t>
      </w:r>
    </w:p>
    <w:p>
      <w:pPr>
        <w:spacing w:after="0" w:line="333" w:lineRule="exact"/>
        <w:rPr>
          <w:sz w:val="20"/>
          <w:szCs w:val="20"/>
          <w:color w:val="auto"/>
        </w:rPr>
      </w:pPr>
    </w:p>
    <w:p>
      <w:pPr>
        <w:sectPr>
          <w:pgSz w:w="11900" w:h="16838" w:orient="portrait"/>
          <w:cols w:equalWidth="0" w:num="2">
            <w:col w:w="4820" w:space="440"/>
            <w:col w:w="4619"/>
          </w:cols>
          <w:pgMar w:left="580" w:top="97" w:right="1440" w:bottom="1440" w:gutter="0" w:footer="0" w:header="0"/>
          <w:type w:val="continuous"/>
        </w:sect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11"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During the 2025 fiscal year, all incumbent directors attended at least 75% of the meetings of the Board and Committees on which they served in 2025, other than Olivier Jouny due to pre-existing scheduling conflicts when he was appointed to the Board. Non-management directors meet in executive session regularly following Board meetings. Directors are encouraged to attend the annual meetings of stockholders. 9 of the 11 directors who served as such at the time of the meeting attended the 2025 Annual Meeting of Stockholders.</w:t>
      </w:r>
    </w:p>
    <w:p>
      <w:pPr>
        <w:spacing w:after="0" w:line="3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at GIP, our shared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343"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President and CEO, Mr. Cornelius, and the Chairman, Mr. Bram, work together in complementary roles. Mr. Cornelius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32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When the Chairman is a director affiliated with GIP, TotalEnergies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coordinates the activities of the independent directors and is authorized to call meetings of the independent directors,</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chairs executive sessions of the independent directors, and performs the other duties either specified in the Guidelines or as assigned from time to time by the Board.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PRACTICES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6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the CEO and other senior management;</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Board and each of its standing Committees, as well as periodic peer review for individual directors;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 programs, including Company site visits and meetings with key management designed to familiarize new directors with the Company’s business, operations, finances and governance practices;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engagement of outside advisors and consultants to assist the Board and the Committees in the performance of their duties, as appropriate.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responsibility for overall risk oversight of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oversees financial risks.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risks related to compensation policies and practices.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Conflicts and Nominating Committee oversees risks related to governance practices, including ESG-related matters, conflicts of interest or changes of control and related person transactions.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Risk Management Committee oversees risks related to the marketing and trading of fuel, transportation, energy and related products and services.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6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Other than the Energy Risk Management Committee, 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Committee regularly reports to the Board on all matters reviewed by his or her Committee, thereby providing the full Board with the opportunity to identify and discuss any risk-related issues or to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1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Energy Risk Management Committee oversees risks related to management’s process for the identification, evaluation and mitigation of risks related to our marketing and trading of fuel, transportation, energy and related products and services.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 SELECTION PROCESS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and international business and government,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333" w:lineRule="exact"/>
        <w:rPr>
          <w:sz w:val="20"/>
          <w:szCs w:val="20"/>
          <w:color w:val="auto"/>
        </w:rPr>
      </w:pPr>
    </w:p>
    <w:p>
      <w:pPr>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emphasis in the Guidelines on diversity of backgrounds and perspectives on the Board, the Board has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Stockholder-Recommended Director Candidates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considers nominations by stockholders who recommend candidates for election to the Board in compliance with the advance notice provisions in the Bylaws, the applicable rules and regulations of the Securities and Exchange Commission (the “SEC”) and applicable securities market rules and regulations. A stockholder seeking to recommend a prospective candidate for the Committee’s consideration may do so by writing to the Corporate Secretary, at Clearway Energy, Inc., 300 Carnegie Center, Suite 300, Princeton, New Jersey 08540, and by following the</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requirements to submit nominees discussed under “Stockholder Proposals or Stockholder Nomination of Director to be brought at the 2027 Annual Meeting (without Inclusion in the Company’s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Stockholder-Nominated Director Candidates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As discussed under “Requirements for Submission of Stockholder Proposals for the 2027 Annual Meeting of Stockholders,” stockholders intending to appear at the 2027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the following four standing Committees:</w:t>
      </w:r>
    </w:p>
    <w:p>
      <w:pPr>
        <w:spacing w:after="0" w:line="117"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Conflicts and Nominating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Risk Management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membership and the functions of each Committee are described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17"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Brian R. Ford (Chair), Jennifer Lowry, Daniel B. More, E. Stanley O’Neal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2025: </w:t>
      </w:r>
      <w:r>
        <w:rPr>
          <w:rFonts w:ascii="Times New Roman" w:cs="Times New Roman" w:eastAsia="Times New Roman" w:hAnsi="Times New Roman"/>
          <w:sz w:val="18"/>
          <w:szCs w:val="18"/>
          <w:color w:val="auto"/>
        </w:rPr>
        <w:t>4</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Financial Experts: </w:t>
      </w:r>
      <w:r>
        <w:rPr>
          <w:rFonts w:ascii="Times New Roman" w:cs="Times New Roman" w:eastAsia="Times New Roman" w:hAnsi="Times New Roman"/>
          <w:sz w:val="18"/>
          <w:szCs w:val="18"/>
          <w:color w:val="auto"/>
        </w:rPr>
        <w:t>Brian R. Ford, Jennifer Lowry, Daniel B. More, E. Stanley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O’Neal</w:t>
      </w:r>
    </w:p>
    <w:p>
      <w:pPr>
        <w:spacing w:after="0" w:line="46" w:lineRule="exact"/>
        <w:rPr>
          <w:rFonts w:ascii="Times New Roman" w:cs="Times New Roman" w:eastAsia="Times New Roman" w:hAnsi="Times New Roman"/>
          <w:sz w:val="18"/>
          <w:szCs w:val="18"/>
          <w:color w:val="auto"/>
        </w:rPr>
      </w:pPr>
    </w:p>
    <w:p>
      <w:pPr>
        <w:ind w:left="1800" w:right="739" w:hanging="180"/>
        <w:spacing w:after="0" w:line="26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appoints, retains, oversees, evaluates and compensates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auditors; reviews the annual audited and quarterly consolidated financial statements; and reviews major issues regarding accounting principles and financial statement presentations.</w:t>
      </w:r>
    </w:p>
    <w:p>
      <w:pPr>
        <w:spacing w:after="0" w:line="6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all members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Audit Committee:</w:t>
      </w:r>
    </w:p>
    <w:p>
      <w:pPr>
        <w:spacing w:after="0" w:line="158"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retains, oversees, evaluates, compensates and terminates the independent auditors;</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annual audited and quarterly consolidated financial statements with management and the independent auditors;</w:t>
      </w:r>
    </w:p>
    <w:p>
      <w:pPr>
        <w:spacing w:after="0" w:line="94"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significant accounting and reporting issues, including any significant changes in the Company’s selection or application of accounting principles and recent professional or regulatory pronouncements;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any major issues regarding accounting principles and financial statement presentations;</w:t>
      </w:r>
    </w:p>
    <w:p>
      <w:pPr>
        <w:spacing w:after="0" w:line="157"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earnings press releases and any financial information and earnings guidance provided to analysts and rating agencies;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pre-approves, if appropriate, all audit and permitted non-audit services provided by the independent auditors;</w:t>
      </w:r>
    </w:p>
    <w:p>
      <w:pPr>
        <w:spacing w:after="0" w:line="80"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disagreements between management and the independent auditors regarding financial reporting;</w:t>
      </w:r>
    </w:p>
    <w:p>
      <w:pPr>
        <w:spacing w:after="0" w:line="94" w:lineRule="exact"/>
        <w:rPr>
          <w:rFonts w:ascii="Times New Roman" w:cs="Times New Roman" w:eastAsia="Times New Roman" w:hAnsi="Times New Roman"/>
          <w:sz w:val="18"/>
          <w:szCs w:val="18"/>
          <w:color w:val="auto"/>
        </w:rPr>
      </w:pPr>
    </w:p>
    <w:p>
      <w:pPr>
        <w:ind w:left="1980" w:right="53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adequacy and effectiveness of the Company’s internal control and reporting system, including the security for the Company’s information systems and the Company’s contingency plans in the event of a systems breakdown or cybersecurity breach;</w:t>
      </w:r>
    </w:p>
    <w:p>
      <w:pPr>
        <w:spacing w:after="0" w:line="94"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internal corporate audit staff functions and sets hiring policies for employees or former employees of the independent auditors;</w:t>
      </w:r>
    </w:p>
    <w:p>
      <w:pPr>
        <w:spacing w:after="0" w:line="80"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concurs in the appointment, replacement and dismissal of the Chief Audit Executive and Chief Compliance Officer;</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evaluates, and ensures the regular rotation of, the lead or coordinating audit partner;</w:t>
      </w:r>
    </w:p>
    <w:p>
      <w:pPr>
        <w:spacing w:after="0" w:line="144" w:lineRule="exact"/>
        <w:rPr>
          <w:rFonts w:ascii="Times New Roman" w:cs="Times New Roman" w:eastAsia="Times New Roman" w:hAnsi="Times New Roman"/>
          <w:sz w:val="18"/>
          <w:szCs w:val="18"/>
          <w:color w:val="auto"/>
        </w:rPr>
      </w:pPr>
    </w:p>
    <w:p>
      <w:pPr>
        <w:ind w:left="1980" w:right="539" w:hanging="360"/>
        <w:spacing w:after="0" w:line="263"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policies with respect to risk assessment and risk management, including the Company’s major financial risk exposures, the effectiveness of the Company’s system for monitoring compliance with laws and regulations and the compliance and effectiveness of risk management policies;</w:t>
      </w:r>
    </w:p>
    <w:p>
      <w:pPr>
        <w:spacing w:after="0" w:line="318" w:lineRule="exact"/>
        <w:rPr>
          <w:rFonts w:ascii="Times New Roman" w:cs="Times New Roman" w:eastAsia="Times New Roman" w:hAnsi="Times New Roman"/>
          <w:sz w:val="18"/>
          <w:szCs w:val="18"/>
          <w:color w:val="auto"/>
        </w:rPr>
      </w:pPr>
    </w:p>
    <w:p>
      <w:pPr>
        <w:ind w:left="1980" w:right="10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tax policies, any pending audits or assessments and the findings of regulatory agencies and independent auditors;</w:t>
      </w:r>
    </w:p>
    <w:p>
      <w:pPr>
        <w:spacing w:after="0" w:line="80"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regularly to the Board regarding its activities and prepares and publishes required annual Committee reports;</w:t>
      </w:r>
    </w:p>
    <w:p>
      <w:pPr>
        <w:spacing w:after="0" w:line="80" w:lineRule="exact"/>
        <w:rPr>
          <w:rFonts w:ascii="Times New Roman" w:cs="Times New Roman" w:eastAsia="Times New Roman" w:hAnsi="Times New Roman"/>
          <w:sz w:val="18"/>
          <w:szCs w:val="18"/>
          <w:color w:val="auto"/>
        </w:rPr>
      </w:pPr>
    </w:p>
    <w:p>
      <w:pPr>
        <w:ind w:left="1980" w:right="91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regular updates from management and Company legal counsel regarding compliance matters that may have a material adverse effect on the Company’s financial performance or reporting obligations;</w:t>
      </w:r>
    </w:p>
    <w:p>
      <w:pPr>
        <w:spacing w:after="0" w:line="108"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internal audit executive compliance by the Company and its subsidiaries with material applicable laws and regulations and the Code of Conduct;</w:t>
      </w:r>
    </w:p>
    <w:p>
      <w:pPr>
        <w:spacing w:after="0" w:line="80"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confidential and anonymous procedures for the receipt, retention and treatment of complaints and concerns regarding accounting, internal accounting controls or auditing matters;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internal audit and corporate compliance functions;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report required to be included in the Company’s proxy statement; and</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Audit Committee and the adequacy of its charter.</w:t>
      </w:r>
    </w:p>
    <w:p>
      <w:pPr>
        <w:spacing w:after="0" w:line="15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04" w:lineRule="exact"/>
        <w:rPr>
          <w:sz w:val="20"/>
          <w:szCs w:val="20"/>
          <w:color w:val="auto"/>
        </w:rPr>
      </w:pPr>
    </w:p>
    <w:p>
      <w:pPr>
        <w:ind w:left="1800" w:right="479" w:hanging="180"/>
        <w:spacing w:after="0" w:line="28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E. Stanley O’Neal (Chair), Jonathan Bram, Brian R. Ford, Olivier Jouny, Jennifer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Lowry, Daniel B. More</w:t>
      </w:r>
    </w:p>
    <w:p>
      <w:pPr>
        <w:spacing w:after="0" w:line="3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2025: </w:t>
      </w:r>
      <w:r>
        <w:rPr>
          <w:rFonts w:ascii="Times New Roman" w:cs="Times New Roman" w:eastAsia="Times New Roman" w:hAnsi="Times New Roman"/>
          <w:sz w:val="18"/>
          <w:szCs w:val="18"/>
          <w:color w:val="auto"/>
        </w:rPr>
        <w:t>4</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oversees the Company’s overall compensation structure,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evaluates the performance of the CEO and other senior executives against goals and objectives relevant to their compensation; and reviews the compensation of directors for service on the Board and its Committees.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4 members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provides leadership and guidance to the Board regarding the Company’s overall compensation strategy, structure, policies and programs.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Compensation Committee:</w:t>
      </w:r>
    </w:p>
    <w:p>
      <w:pPr>
        <w:spacing w:after="0" w:line="158" w:lineRule="exact"/>
        <w:rPr>
          <w:sz w:val="20"/>
          <w:szCs w:val="20"/>
          <w:color w:val="auto"/>
        </w:rPr>
      </w:pPr>
    </w:p>
    <w:p>
      <w:pPr>
        <w:ind w:left="1980" w:right="59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98" w:lineRule="exact"/>
        <w:rPr>
          <w:rFonts w:ascii="Times New Roman" w:cs="Times New Roman" w:eastAsia="Times New Roman" w:hAnsi="Times New Roman"/>
          <w:sz w:val="18"/>
          <w:szCs w:val="18"/>
          <w:color w:val="auto"/>
        </w:rPr>
      </w:pPr>
    </w:p>
    <w:p>
      <w:pPr>
        <w:ind w:left="1980" w:right="479" w:hanging="360"/>
        <w:spacing w:after="0" w:line="254"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2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the compensation, incentive compensation and equity-based plans that are subject to Board approval;</w:t>
      </w:r>
    </w:p>
    <w:p>
      <w:pPr>
        <w:spacing w:after="0" w:line="80"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3"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332"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oversees the Company’s overall compensation strategy, peer group, structure, policies, programs and risk profile, taking into consideration any stockholder advisory votes on the Company’s compensation practices, and assesses whether the compensation structure establishes appropriate incentives for officers, management and employees;</w:t>
      </w:r>
    </w:p>
    <w:p>
      <w:pPr>
        <w:spacing w:after="0" w:line="98" w:lineRule="exact"/>
        <w:rPr>
          <w:rFonts w:ascii="Times New Roman" w:cs="Times New Roman" w:eastAsia="Times New Roman" w:hAnsi="Times New Roman"/>
          <w:sz w:val="18"/>
          <w:szCs w:val="18"/>
          <w:color w:val="auto"/>
        </w:rPr>
      </w:pPr>
    </w:p>
    <w:p>
      <w:pPr>
        <w:ind w:left="1980" w:right="63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for approval the frequency in which any stockholder advisory votes on the Company’s compensation practices will be conducted, taking into account the most recent stockholder advisory vote on the frequency thereof;</w:t>
      </w:r>
    </w:p>
    <w:p>
      <w:pPr>
        <w:spacing w:after="0" w:line="108" w:lineRule="exact"/>
        <w:rPr>
          <w:rFonts w:ascii="Times New Roman" w:cs="Times New Roman" w:eastAsia="Times New Roman" w:hAnsi="Times New Roman"/>
          <w:sz w:val="18"/>
          <w:szCs w:val="18"/>
          <w:color w:val="auto"/>
        </w:rPr>
      </w:pPr>
    </w:p>
    <w:p>
      <w:pPr>
        <w:ind w:left="1980" w:right="91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reviews and approves any changes to, and administers, the Company’s policy on recoupment of incentive compensation, including in the event of a financial restatement, misconduct or other events that could require the recoupment or forfeiture of incentive compensation;</w:t>
      </w:r>
    </w:p>
    <w:p>
      <w:pPr>
        <w:spacing w:after="0" w:line="98"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and monitors officers’ and directors’ compliance regarding any stock ownership guidelines;</w:t>
      </w:r>
    </w:p>
    <w:p>
      <w:pPr>
        <w:spacing w:after="0" w:line="94" w:lineRule="exact"/>
        <w:rPr>
          <w:rFonts w:ascii="Times New Roman" w:cs="Times New Roman" w:eastAsia="Times New Roman" w:hAnsi="Times New Roman"/>
          <w:sz w:val="18"/>
          <w:szCs w:val="18"/>
          <w:color w:val="auto"/>
        </w:rPr>
      </w:pPr>
    </w:p>
    <w:p>
      <w:pPr>
        <w:ind w:left="1980" w:right="133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of directors for service on the Board and its Committees and recommends changes in compensation to the Board;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and terminates any adviser to assist the Compensation Committee in the performance of its duties, but only after taking into consideration all factors relevant to the adviser’s independence from management; and</w:t>
      </w:r>
    </w:p>
    <w:p>
      <w:pPr>
        <w:spacing w:after="0" w:line="94"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Compensation Committee and the adequacy of its charter.</w:t>
      </w:r>
    </w:p>
    <w:p>
      <w:pPr>
        <w:spacing w:after="0" w:line="94"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applicable listing standard to be exercised by the Compensation Committee as a whole.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LLC (“Pay Governance”) served as the Compensation Committee’s independent compensation consultant for fiscal year 2025. The Compensation Committee’s independent compensation consultants, Pay Governance, worked with the Compensation Committee in connection with the director compensation, executive compensation programs and the CEO evaluation process.</w:t>
      </w:r>
    </w:p>
    <w:p>
      <w:pPr>
        <w:spacing w:after="0" w:line="12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Ford, Ms. Lowry, Mr. More and Mr. O’Neal are independent under the listing standards of the NYSE and that they are “nonemployee directors” for purposes of Rule 16b-3 under the Exchange 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Conflicts and Nominating Committee</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Daniel B. More (Chair), Brian R. Ford, Jennifer Lowry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2025: </w:t>
      </w:r>
      <w:r>
        <w:rPr>
          <w:rFonts w:ascii="Times New Roman" w:cs="Times New Roman" w:eastAsia="Times New Roman" w:hAnsi="Times New Roman"/>
          <w:sz w:val="18"/>
          <w:szCs w:val="18"/>
          <w:color w:val="auto"/>
        </w:rPr>
        <w:t>14</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recommends director candidates to the Board; makes recommendations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Committee structure and function and governance related matters; oversees the evaluation of the Board and Committees; reviews potential conflict transactions between the Company and any affiliated parties, including CEG, and any change of control of the Company; and reviews and makes recommendations to the Board regarding ESG matters.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all members</w:t>
      </w:r>
    </w:p>
    <w:p>
      <w:pPr>
        <w:spacing w:after="0" w:line="162"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annual performance reviews of the Board and its Committees and ESG matters.</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Among other things, the Corporate Governance, Conflicts and Nominating Committee:</w:t>
      </w:r>
    </w:p>
    <w:p>
      <w:pPr>
        <w:spacing w:after="0" w:line="158" w:lineRule="exact"/>
        <w:rPr>
          <w:sz w:val="20"/>
          <w:szCs w:val="20"/>
          <w:color w:val="auto"/>
        </w:rPr>
      </w:pPr>
    </w:p>
    <w:p>
      <w:pPr>
        <w:ind w:left="1980" w:right="679" w:hanging="360"/>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reviews the qualifications of potential nominees to the Board and its Committees, consistent with criteria approved by the Board, including the relative experience, strength and conviction of independent directors;</w:t>
      </w:r>
    </w:p>
    <w:p>
      <w:pPr>
        <w:spacing w:after="0" w:line="108"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the contributions and independence of incumbent directors in determining whether to recommend them for re-election;</w:t>
      </w:r>
    </w:p>
    <w:p>
      <w:pPr>
        <w:spacing w:after="0" w:line="80"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periodically evaluates and oversees compliance with the Guidelines and recommends any changes to the Guidelines to the Board;</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reviews procedures for the consideration of Board candidates recommended by the Company’s stockholders;</w:t>
      </w:r>
    </w:p>
    <w:p>
      <w:pPr>
        <w:spacing w:after="0" w:line="94" w:lineRule="exact"/>
        <w:rPr>
          <w:rFonts w:ascii="Times New Roman" w:cs="Times New Roman" w:eastAsia="Times New Roman" w:hAnsi="Times New Roman"/>
          <w:sz w:val="18"/>
          <w:szCs w:val="18"/>
          <w:color w:val="auto"/>
        </w:rPr>
      </w:pPr>
    </w:p>
    <w:p>
      <w:pPr>
        <w:ind w:left="1980" w:right="719" w:hanging="360"/>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potential conflicts of interest between the Company and any affiliated parties, including CEG, GIP and TotalEnergies, with respect to acquisitions and dispositions of assets and other transactions;</w:t>
      </w:r>
    </w:p>
    <w:p>
      <w:pPr>
        <w:spacing w:after="0" w:line="94" w:lineRule="exact"/>
        <w:rPr>
          <w:rFonts w:ascii="Times New Roman" w:cs="Times New Roman" w:eastAsia="Times New Roman" w:hAnsi="Times New Roman"/>
          <w:sz w:val="18"/>
          <w:szCs w:val="18"/>
          <w:color w:val="auto"/>
        </w:rPr>
      </w:pPr>
    </w:p>
    <w:p>
      <w:pPr>
        <w:jc w:val="both"/>
        <w:ind w:left="1980" w:right="499" w:hanging="360"/>
        <w:spacing w:after="0" w:line="266"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Company policies and procedures with respect to related party transactions and makes amendments to such policies and procedures as it deems necessary or appropriate from time to time;</w:t>
      </w:r>
    </w:p>
    <w:p>
      <w:pPr>
        <w:spacing w:after="0" w:line="108"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Code of Conduct and approves any waiver from the Code of Conduct applicable to officers or directors;</w:t>
      </w:r>
    </w:p>
    <w:p>
      <w:pPr>
        <w:spacing w:after="0" w:line="94"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strategic transactions involving the transfer of 50% or more of the voting power in the Company;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relationships between the Company and each director and reports the results of its review to the Board for purposes of determining whether directors satisfy applicable independence requirements;</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9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candidates for appointment to Committees;</w:t>
      </w:r>
    </w:p>
    <w:p>
      <w:pPr>
        <w:spacing w:after="0" w:line="157"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channels through which the Board receives information, and the quality and timeliness of information received;</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retirement and other tenure policies for directors;</w:t>
      </w:r>
    </w:p>
    <w:p>
      <w:pPr>
        <w:spacing w:after="0" w:line="157"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Company policies applicable to the Board, the directors and officers subject to Section 16 of the Exchange Act;</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reports to the Board regarding potential conflicts of interests of directors;</w:t>
      </w:r>
    </w:p>
    <w:p>
      <w:pPr>
        <w:spacing w:after="0" w:line="144" w:lineRule="exact"/>
        <w:rPr>
          <w:rFonts w:ascii="Times New Roman" w:cs="Times New Roman" w:eastAsia="Times New Roman" w:hAnsi="Times New Roman"/>
          <w:sz w:val="18"/>
          <w:szCs w:val="18"/>
          <w:color w:val="auto"/>
        </w:rPr>
      </w:pPr>
    </w:p>
    <w:p>
      <w:pPr>
        <w:ind w:left="1980" w:right="115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director candidates for the annual meeting of stockholders, and candidates to be elected by the Board as necessary to fill vacancies and newly created directorships;</w:t>
      </w:r>
    </w:p>
    <w:p>
      <w:pPr>
        <w:spacing w:after="0" w:line="108"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evaluations of the Board, its Committees and management, and develops and recommends to the Board an annual self-evaluation process of the Board and its Committees;</w:t>
      </w:r>
    </w:p>
    <w:p>
      <w:pPr>
        <w:spacing w:after="0" w:line="80" w:lineRule="exact"/>
        <w:rPr>
          <w:rFonts w:ascii="Times New Roman" w:cs="Times New Roman" w:eastAsia="Times New Roman" w:hAnsi="Times New Roman"/>
          <w:sz w:val="18"/>
          <w:szCs w:val="18"/>
          <w:color w:val="auto"/>
        </w:rPr>
      </w:pPr>
    </w:p>
    <w:p>
      <w:pPr>
        <w:ind w:left="1980" w:right="9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directorships in other public companies held by directors and senior officers of the Company;</w:t>
      </w:r>
    </w:p>
    <w:p>
      <w:pPr>
        <w:spacing w:after="0" w:line="94"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orientation process for new directors and programs for the continuing education of directors;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Company’s succession plans for the CEO and other senior management;</w:t>
      </w:r>
    </w:p>
    <w:p>
      <w:pPr>
        <w:spacing w:after="0" w:line="157"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94"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such other duties and responsibilities as are consistent with the purpose of the Corporate Governance, Conflicts and Nominating Committee and as the Board deems appropriate.</w:t>
      </w:r>
    </w:p>
    <w:p>
      <w:pPr>
        <w:spacing w:after="0" w:line="9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and each of the Committees conduct annual self -evaluations to assess their effectiveness and review their charters. Individual directors are also evaluated by the Board. The Corporate Governance, Conflicts and Nominating Committee coordinates each of these annual evaluations.</w:t>
      </w:r>
    </w:p>
    <w:p>
      <w:pPr>
        <w:spacing w:after="0" w:line="10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Board has determined that all of the Corporate Governance, Conflicts and Nominating Committee members are independent under the listing standards of the NYSE.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Energy Risk Management Committee</w:t>
      </w:r>
    </w:p>
    <w:p>
      <w:pPr>
        <w:spacing w:after="0" w:line="11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Jennifer Lowry (Chair), Nathaniel Anschuetz, Paige Goodwin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2025: </w:t>
      </w:r>
      <w:r>
        <w:rPr>
          <w:rFonts w:ascii="Times New Roman" w:cs="Times New Roman" w:eastAsia="Times New Roman" w:hAnsi="Times New Roman"/>
          <w:sz w:val="18"/>
          <w:szCs w:val="18"/>
          <w:color w:val="auto"/>
        </w:rPr>
        <w:t>4</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oversee risks related to our marketing and trading of fuel,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and related products and services.</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1 member</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Energy Risk Management Committee provides advice and assistance to the Board and to the Company to oversee risks related to management’s process for the identification, evaluation and mitigation of risks related to our marketing and trading of fuel, transportation, energy and related products and services.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Energy Risk Management Committee:</w:t>
      </w:r>
    </w:p>
    <w:p>
      <w:pPr>
        <w:spacing w:after="0" w:line="158" w:lineRule="exact"/>
        <w:rPr>
          <w:sz w:val="20"/>
          <w:szCs w:val="20"/>
          <w:color w:val="auto"/>
        </w:rPr>
      </w:pPr>
    </w:p>
    <w:p>
      <w:pPr>
        <w:ind w:left="1980" w:right="519" w:hanging="360"/>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policies and procedures established by management to assess, monitor, manage and control the Company’s material energy risk exposures, including commodity market (including marketing and trading of fuel, transportation, energy and related products and services, and hedging of generation portfolio obligations), strategic, credit and liquidity;</w:t>
      </w:r>
    </w:p>
    <w:p>
      <w:pPr>
        <w:spacing w:after="0" w:line="112"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and assists the Board in its review of the processes by which management and the combined Energy Risk Management Committee of the Company and CEG assess the Company’s exposure to risk;</w:t>
      </w:r>
    </w:p>
    <w:p>
      <w:pPr>
        <w:spacing w:after="0" w:line="108"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revisions to the Company’s Energy Risk Management Policy effecting changes to (a) approved list of commodities, products and instruments, (b) the project limits,</w:t>
      </w:r>
    </w:p>
    <w:p>
      <w:pPr>
        <w:ind w:left="198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Company’s Credit Risk Management Policy and (d) provisions explicitly stated to require Board or Committee approval to be revised;</w:t>
      </w:r>
    </w:p>
    <w:p>
      <w:pPr>
        <w:spacing w:after="0" w:line="113"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any amendments to the Energy Risk Management Committee’s charter, which is reviewed annually;</w:t>
      </w:r>
    </w:p>
    <w:p>
      <w:pPr>
        <w:spacing w:after="0" w:line="94"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transactions exceeding the Approval Authorities as outlined under the Company’s Energy Risk Management Policy;</w:t>
      </w:r>
    </w:p>
    <w:p>
      <w:pPr>
        <w:spacing w:after="0" w:line="80"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Audit Committee as necessary in matters related to energy risk management of the Company;</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other matters that may be delegated by the Board or expressly noted in the Company’s Energy Risk Management Policy;</w:t>
      </w:r>
    </w:p>
    <w:p>
      <w:pPr>
        <w:spacing w:after="0" w:line="94" w:lineRule="exact"/>
        <w:rPr>
          <w:rFonts w:ascii="Times New Roman" w:cs="Times New Roman" w:eastAsia="Times New Roman" w:hAnsi="Times New Roman"/>
          <w:sz w:val="18"/>
          <w:szCs w:val="18"/>
          <w:color w:val="auto"/>
        </w:rPr>
      </w:pPr>
    </w:p>
    <w:p>
      <w:pPr>
        <w:ind w:left="1980" w:right="125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Energy Risk Management Committee and the appropriateness of its charter; and</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such other duties and responsibilities as are consistent with the purpose of the Energy Risk Management Committee and as the Board deems appropriate.</w:t>
      </w:r>
    </w:p>
    <w:p>
      <w:pPr>
        <w:spacing w:after="0" w:line="9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Energy Risk Management Committee may delegate to one or more subcommittees such power and authority as the Energy Risk Management Committee deems appropriate. No subcommittee can consist of fewer than two members, and the Energy Risk Management Committee may not delegate to a subcommittee any power or authority that is required by any law, regulation or listing standard to be exercised by the Energy Risk Management Committee as a whole. The Energy Risk Management Committee has the authority to retain at the expense of the Company such outside counsel, experts and other advisors as it determines appropriate to assist it in the full performance of its functions.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Our Board has adopted an insider trading policy (the “Insider Trading Policy”) governing the purchase, sale and/or other disposition of our securities by Company insiders, including our directors, officers and certain other employees identified in the Insider Trading Policy. We believe the Insider Trading Policy is reasonably designed to promote compliance with insider trading laws, rules and regulations, as well as applicable NYSE listing standards. A copy of the Insider Trading Policy has been filed as Exhibit 19 to the 2025 Form 10-K.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6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Stockholders should mark the envelope containing any such communication as “Stockholder Communication with Directors” and clearly identify the intended recipient(s) of the communication.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ESG AND SUSTAINABILITY</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Company is committed to engaging with its stakeholders on ESG matters in a proactive, holistic and integrated manner. The Company strives to provide recent, credible and comparable data to investors around ESG issues and to comply with ESG disclosure requirements. The Board reviews developing trends and emerging ESG matters, as well as the Company’s strategies, activities, policies and communications regarding ESG matters, and reviews and considers potential actions the Company could take regarding ESG matters.</w:t>
      </w:r>
    </w:p>
    <w:p>
      <w:pPr>
        <w:spacing w:after="0" w:line="33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Aligned with the Company’s strategy of owning and acquiring environmentally-sound assets, in 2025, approximately 91% of the Company’s total operating revenues were not tied to the dispatch of power generation emitting greenhouse gases. This non-greenhouse gas emitting operating revenue included renewable energy generation and grid reliability services in the Company’s Renewables &amp; Storage segment and grid reliability services in the Company’s Flexible Generation segment at the El Segundo, Marsh Landing and Walnut Creek facilities. Excluding the Carlsbad facility, which is currently under a long-term tolling agreement whereby the Company does not control the dispatch of the facility, in 2025, approximately 97% of the Company’s total operating revenues were not tied to the dispatch of power generation emitting greenhouse gases. Also in 2025, 98% of the Company’s total generation was attributable to renewable energy and storage assets. The Company has also issued $2.7 billion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w:t>
      </w:r>
    </w:p>
    <w:p>
      <w:pPr>
        <w:spacing w:after="0" w:line="33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Workplace safety impacts annual incentive payments to management. We monitor U.S. Occupational Safety and Health Administration (“OSHA”) recordable injuries to manage our safety performance, and awards made under our annual incentive program are negatively adjusted for any OSHA recordable injuries that occur during the year. In 2025, we had zero OSHA recordable injuries.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We depend upon personnel of CEG for the provision of asset management, administration and O&amp;M services. For more detail regarding our relationship with CEG, see “Certain Relationships and Related Person Transactions.” In addition to the personnel of CEG, we rely on other third-party service providers in the daily operations of our facilities in the Flexible Generation segment, as well as certain renewable facilities.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and CEG focus on attracting, developing and retaining a team of highly talented and motivated employees. CEG seeks to attract and retain employees with industry experience and relevant skills to support operations, which in certain areas requires specific professional or technical skills and experience. CEG’s programs to attract and recruit qualified candidates focus on identifying qualified candidates from a variety of backgrounds with the requisite skills and experience to bring value to us. CEG regularly conducts assessments of its compensation and benefit practices and pay levels to help ensure that staff members are compensated equitably and competitively. CEG devotes extensive resources to staff development and training, including tuition assistance for career-enhancing academic and professional programs. CEG utilizes various programs for developing and retaining employees that focus on employee engagement and belonging, as well as continuing education. Employee performance is measured in part based on goals that are aligned with our annual objectives. We recognize that our success is based on the talents and dedication of those we employ, and we are highly invested in their success.</w:t>
      </w:r>
    </w:p>
    <w:p>
      <w:pPr>
        <w:spacing w:after="0" w:line="1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CEG is committed to maintaining a workplace that acknowledges, encourages and values its employees as individuals. We and CEG believe that individual differences, experiences and strengths enrich the Company’s culture and help us to better understand the needs of our customers and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Each of the eleven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48" w:lineRule="exact"/>
        <w:rPr>
          <w:sz w:val="20"/>
          <w:szCs w:val="20"/>
          <w:color w:val="auto"/>
        </w:rPr>
      </w:pPr>
    </w:p>
    <w:p>
      <w:pPr>
        <w:ind w:left="1260" w:right="659" w:firstLine="360"/>
        <w:spacing w:after="0" w:line="281" w:lineRule="auto"/>
        <w:rPr>
          <w:sz w:val="20"/>
          <w:szCs w:val="20"/>
          <w:color w:val="auto"/>
        </w:rPr>
      </w:pPr>
      <w:r>
        <w:rPr>
          <w:rFonts w:ascii="Times New Roman" w:cs="Times New Roman" w:eastAsia="Times New Roman" w:hAnsi="Times New Roman"/>
          <w:sz w:val="18"/>
          <w:szCs w:val="18"/>
          <w:color w:val="auto"/>
        </w:rPr>
        <w:t>The following eleven directors are being nominated for a one-year term and will be elected annually. Each director will hold office until his or her successor has been duly elected and qualified or until the director’s earlier death, resignation or removal.</w:t>
      </w:r>
    </w:p>
    <w:p>
      <w:pPr>
        <w:spacing w:after="0" w:line="11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60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Mr. Bram has served as a director and Chairman of the Board since</w:t>
      </w:r>
    </w:p>
    <w:p>
      <w:pPr>
        <w:spacing w:after="0" w:line="27" w:lineRule="exact"/>
        <w:rPr>
          <w:sz w:val="20"/>
          <w:szCs w:val="20"/>
          <w:color w:val="auto"/>
        </w:rPr>
      </w:pPr>
    </w:p>
    <w:p>
      <w:pPr>
        <w:ind w:left="3420" w:right="479"/>
        <w:spacing w:after="0" w:line="250" w:lineRule="auto"/>
        <w:rPr>
          <w:sz w:val="20"/>
          <w:szCs w:val="20"/>
          <w:color w:val="auto"/>
        </w:rPr>
      </w:pPr>
      <w:r>
        <w:rPr>
          <w:rFonts w:ascii="Times New Roman" w:cs="Times New Roman" w:eastAsia="Times New Roman" w:hAnsi="Times New Roman"/>
          <w:sz w:val="18"/>
          <w:szCs w:val="18"/>
          <w:color w:val="auto"/>
        </w:rPr>
        <w:t>August 2018. Mr. Bram is a Senior Managing Director and Founding Partner at GIP, a part of BlackRock, Inc. (“BlackRock”), and serves on its Equity and Credit Investment Committees. Prior to the formation of GIP in 2006,</w:t>
      </w:r>
    </w:p>
    <w:p>
      <w:pPr>
        <w:spacing w:after="0" w:line="1" w:lineRule="exact"/>
        <w:rPr>
          <w:sz w:val="20"/>
          <w:szCs w:val="20"/>
          <w:color w:val="auto"/>
        </w:rPr>
      </w:pPr>
    </w:p>
    <w:p>
      <w:pPr>
        <w:ind w:left="3420" w:right="499"/>
        <w:spacing w:after="0" w:line="251" w:lineRule="auto"/>
        <w:rPr>
          <w:sz w:val="20"/>
          <w:szCs w:val="20"/>
          <w:color w:val="auto"/>
        </w:rPr>
      </w:pPr>
      <w:r>
        <w:rPr>
          <w:rFonts w:ascii="Times New Roman" w:cs="Times New Roman" w:eastAsia="Times New Roman" w:hAnsi="Times New Roman"/>
          <w:sz w:val="18"/>
          <w:szCs w:val="18"/>
          <w:color w:val="auto"/>
        </w:rPr>
        <w:t>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L.P. (the indirect parent of CEG) (“Zephyr Acquisition Holdings”), Allete, Eolian, L.P.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38</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Energy Risk Management Committee</w:t>
      </w:r>
    </w:p>
    <w:p>
      <w:pPr>
        <w:spacing w:after="0" w:line="99" w:lineRule="exact"/>
        <w:rPr>
          <w:sz w:val="20"/>
          <w:szCs w:val="20"/>
          <w:color w:val="auto"/>
        </w:rPr>
      </w:pPr>
    </w:p>
    <w:p>
      <w:pPr>
        <w:ind w:left="3420" w:right="599"/>
        <w:spacing w:after="0" w:line="261" w:lineRule="auto"/>
        <w:rPr>
          <w:sz w:val="20"/>
          <w:szCs w:val="20"/>
          <w:color w:val="auto"/>
        </w:rPr>
      </w:pPr>
      <w:r>
        <w:rPr>
          <w:rFonts w:ascii="Times New Roman" w:cs="Times New Roman" w:eastAsia="Times New Roman" w:hAnsi="Times New Roman"/>
          <w:sz w:val="18"/>
          <w:szCs w:val="18"/>
          <w:color w:val="auto"/>
        </w:rPr>
        <w:t>Mr. Anschuetz has served as a director since August 2018. Mr. Anschuetz is a Partner at GIP, a part of BlackRock. Prior to joining GIP in 2012,</w:t>
      </w:r>
    </w:p>
    <w:p>
      <w:pPr>
        <w:ind w:left="3420" w:right="559"/>
        <w:spacing w:after="0" w:line="250" w:lineRule="auto"/>
        <w:rPr>
          <w:sz w:val="20"/>
          <w:szCs w:val="20"/>
          <w:color w:val="auto"/>
        </w:rPr>
      </w:pPr>
      <w:r>
        <w:rPr>
          <w:rFonts w:ascii="Times New Roman" w:cs="Times New Roman" w:eastAsia="Times New Roman" w:hAnsi="Times New Roman"/>
          <w:sz w:val="18"/>
          <w:szCs w:val="18"/>
          <w:color w:val="auto"/>
        </w:rPr>
        <w:t>Mr. Anschuetz was an Analyst in the Power &amp; Utilities Coverage Group at Citigroup from June 2010 through June 2012. Mr. Anschuetz is also a member of the board of directors of Zephyr Acquisition Holdings and Eolian, L.P.</w:t>
      </w:r>
    </w:p>
    <w:p>
      <w:pPr>
        <w:spacing w:after="0" w:line="1" w:lineRule="exact"/>
        <w:rPr>
          <w:sz w:val="20"/>
          <w:szCs w:val="20"/>
          <w:color w:val="auto"/>
        </w:rPr>
      </w:pPr>
    </w:p>
    <w:p>
      <w:pPr>
        <w:ind w:left="3420" w:right="499"/>
        <w:spacing w:after="0" w:line="252" w:lineRule="auto"/>
        <w:rPr>
          <w:sz w:val="20"/>
          <w:szCs w:val="20"/>
          <w:color w:val="auto"/>
        </w:rPr>
      </w:pPr>
      <w:r>
        <w:rPr>
          <w:rFonts w:ascii="Times New Roman" w:cs="Times New Roman" w:eastAsia="Times New Roman" w:hAnsi="Times New Roman"/>
          <w:sz w:val="18"/>
          <w:szCs w:val="18"/>
          <w:color w:val="auto"/>
        </w:rPr>
        <w:t>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Board.</w:t>
      </w:r>
    </w:p>
    <w:p>
      <w:pPr>
        <w:spacing w:after="0" w:line="1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77</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w:t>
      </w:r>
    </w:p>
    <w:p>
      <w:pPr>
        <w:spacing w:after="0" w:line="9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Mr. Ford has served as a director since July 2013 and Lead Independent</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Director since January 2019. Mr. Ford was the Chief Executive Officer of</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Washington Philadelphia Partners, LP, a real estate investment company, from</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2008 through 2010. He retired as a partner from Ernst &amp; Young LLP in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June 2008 where he had been employed since 1971. Mr. Ford currently serves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on the board of various companies, including FS Investment Corporation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portfolios, a specialty finance company that invests primarily in the debt</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securities of private U.S. middle-market companies, since 2013, where he also</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serves as the chairman of the audit committee. He also serves on the boards of</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Drexel University and BAYADA Home Health. From 2013 to 2020, Mr. Ford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served on the board of AmeriGas Propane, Inc., where he also served as a</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member of its audit and corporate governance committees. Mr. Ford received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his B.S. in Economics from Rutgers University. Mr. Ford’s extensive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experience in accounting and public company matters provides strong financial,</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audit and accounting skills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57</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Energy Risk Management Committee (Chair)</w:t>
      </w:r>
    </w:p>
    <w:p>
      <w:pPr>
        <w:spacing w:after="0" w:line="99" w:lineRule="exact"/>
        <w:rPr>
          <w:sz w:val="20"/>
          <w:szCs w:val="20"/>
          <w:color w:val="auto"/>
        </w:rPr>
      </w:pPr>
    </w:p>
    <w:p>
      <w:pPr>
        <w:ind w:left="3420" w:right="459"/>
        <w:spacing w:after="0" w:line="252" w:lineRule="auto"/>
        <w:rPr>
          <w:sz w:val="20"/>
          <w:szCs w:val="20"/>
          <w:color w:val="auto"/>
        </w:rPr>
      </w:pPr>
      <w:r>
        <w:rPr>
          <w:rFonts w:ascii="Times New Roman" w:cs="Times New Roman" w:eastAsia="Times New Roman" w:hAnsi="Times New Roman"/>
          <w:sz w:val="18"/>
          <w:szCs w:val="18"/>
          <w:color w:val="auto"/>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served on the board of TPI Composites, Inc. from November 2024 to May 2025. As of May 2025, she serves on the board of MGP Ingredients as chair of the audit committee. Ms. Lowry has also been a member of the board of directors of MYR Group, Inc. since 2018, and is currently chair of its Audit Committee. Ms. Lowry’s financial and energy industry experience provides significant value to the Board.</w:t>
      </w:r>
    </w:p>
    <w:p>
      <w:pPr>
        <w:spacing w:after="0" w:line="1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59</w:t>
      </w:r>
    </w:p>
    <w:p>
      <w:pPr>
        <w:spacing w:after="0" w:line="99" w:lineRule="exact"/>
        <w:rPr>
          <w:sz w:val="20"/>
          <w:szCs w:val="20"/>
          <w:color w:val="auto"/>
        </w:rPr>
      </w:pPr>
    </w:p>
    <w:p>
      <w:pPr>
        <w:ind w:left="3420" w:right="479"/>
        <w:spacing w:after="0" w:line="253" w:lineRule="auto"/>
        <w:rPr>
          <w:sz w:val="20"/>
          <w:szCs w:val="20"/>
          <w:color w:val="auto"/>
        </w:rPr>
      </w:pPr>
      <w:r>
        <w:rPr>
          <w:rFonts w:ascii="Times New Roman" w:cs="Times New Roman" w:eastAsia="Times New Roman" w:hAnsi="Times New Roman"/>
          <w:sz w:val="18"/>
          <w:szCs w:val="18"/>
          <w:color w:val="auto"/>
        </w:rPr>
        <w:t>Mr. MacLennan has served as a director since August 2018. Mr. MacLennan is a Partner at GIP, a part of BlackRock,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Greenlane Infrastructure,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69</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 (Chair)</w:t>
      </w:r>
    </w:p>
    <w:p>
      <w:pPr>
        <w:spacing w:after="0" w:line="99" w:lineRule="exact"/>
        <w:rPr>
          <w:sz w:val="20"/>
          <w:szCs w:val="20"/>
          <w:color w:val="auto"/>
        </w:rPr>
      </w:pPr>
    </w:p>
    <w:p>
      <w:pPr>
        <w:ind w:left="3420" w:right="439"/>
        <w:spacing w:after="0" w:line="253" w:lineRule="auto"/>
        <w:rPr>
          <w:sz w:val="20"/>
          <w:szCs w:val="20"/>
          <w:color w:val="auto"/>
        </w:rPr>
      </w:pPr>
      <w:r>
        <w:rPr>
          <w:rFonts w:ascii="Times New Roman" w:cs="Times New Roman" w:eastAsia="Times New Roman" w:hAnsi="Times New Roman"/>
          <w:sz w:val="18"/>
          <w:szCs w:val="18"/>
          <w:color w:val="auto"/>
        </w:rPr>
        <w:t>Mr. More has served as a director since February 2019. Mr. More was a Senior Advisor with Guggenheim Securities from October 2015 until August 2025.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Board.</w:t>
      </w:r>
    </w:p>
    <w:p>
      <w:pPr>
        <w:spacing w:after="0" w:line="1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74</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99" w:lineRule="exact"/>
        <w:rPr>
          <w:sz w:val="20"/>
          <w:szCs w:val="20"/>
          <w:color w:val="auto"/>
        </w:rPr>
      </w:pPr>
    </w:p>
    <w:p>
      <w:pPr>
        <w:ind w:left="3420" w:right="519"/>
        <w:spacing w:after="0" w:line="252" w:lineRule="auto"/>
        <w:rPr>
          <w:sz w:val="20"/>
          <w:szCs w:val="20"/>
          <w:color w:val="auto"/>
        </w:rPr>
      </w:pPr>
      <w:r>
        <w:rPr>
          <w:rFonts w:ascii="Times New Roman" w:cs="Times New Roman" w:eastAsia="Times New Roman" w:hAnsi="Times New Roman"/>
          <w:sz w:val="18"/>
          <w:szCs w:val="18"/>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w:t>
      </w:r>
    </w:p>
    <w:p>
      <w:pPr>
        <w:spacing w:after="0" w:line="6" w:lineRule="exact"/>
        <w:rPr>
          <w:sz w:val="20"/>
          <w:szCs w:val="20"/>
          <w:color w:val="auto"/>
        </w:rPr>
      </w:pPr>
    </w:p>
    <w:p>
      <w:pPr>
        <w:ind w:left="3420" w:right="439"/>
        <w:spacing w:after="0" w:line="251" w:lineRule="auto"/>
        <w:rPr>
          <w:sz w:val="20"/>
          <w:szCs w:val="20"/>
          <w:color w:val="auto"/>
        </w:rPr>
      </w:pPr>
      <w:r>
        <w:rPr>
          <w:rFonts w:ascii="Times New Roman" w:cs="Times New Roman" w:eastAsia="Times New Roman" w:hAnsi="Times New Roman"/>
          <w:sz w:val="18"/>
          <w:szCs w:val="18"/>
          <w:color w:val="auto"/>
        </w:rPr>
        <w:t>Mr. O’Neal was employed at General Motors Corporation where he held a number of financial positions of increasing responsibility.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and member of the audit committee of Hut 8 Corp, a cryptocurrency mining company, which was formed in November 2023 as a merger between Hut 8 Mining Corp and U.S. Data Mining Group, Inc. Mr. O’Neal is also a member of the board of directors of Allete. Mr. O’Neal was a director of General Motors Corporation from 2001 to 2006, chairman of the board of Merrill Lynch &amp; Co., Inc. from 2003 to 2007, a director of American Beacon Advisors, Inc. (investment advisor registered with the SEC) from 2009 to September 2012 and a director of Arconic Corp., an aluminum manufacturing company, from 2020 to 2023. Mr. O’Neal’s extensive executive experience, financial expertise and leadership skills enable him to provide unique guidance to the Board and the Company’s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46</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President, CEO and Director</w:t>
      </w:r>
    </w:p>
    <w:p>
      <w:pPr>
        <w:spacing w:after="0" w:line="99" w:lineRule="exact"/>
        <w:rPr>
          <w:sz w:val="20"/>
          <w:szCs w:val="20"/>
          <w:color w:val="auto"/>
        </w:rPr>
      </w:pPr>
    </w:p>
    <w:p>
      <w:pPr>
        <w:ind w:left="3420" w:right="419"/>
        <w:spacing w:after="0" w:line="252" w:lineRule="auto"/>
        <w:rPr>
          <w:sz w:val="20"/>
          <w:szCs w:val="20"/>
          <w:color w:val="auto"/>
        </w:rPr>
      </w:pPr>
      <w:r>
        <w:rPr>
          <w:rFonts w:ascii="Times New Roman" w:cs="Times New Roman" w:eastAsia="Times New Roman" w:hAnsi="Times New Roman"/>
          <w:sz w:val="18"/>
          <w:szCs w:val="18"/>
          <w:color w:val="auto"/>
        </w:rPr>
        <w:t>Mr. Cornelius has served as President and Chief Executive Officer of the Company since July 2024 and as a director since July 2024. He has been CEG’s chief executive officer since its formation through a spin-out of NRG Energy, Inc.’s (“NRG”)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w:t>
      </w:r>
    </w:p>
    <w:p>
      <w:pPr>
        <w:spacing w:after="0" w:line="5" w:lineRule="exact"/>
        <w:rPr>
          <w:sz w:val="20"/>
          <w:szCs w:val="20"/>
          <w:color w:val="auto"/>
        </w:rPr>
      </w:pPr>
    </w:p>
    <w:p>
      <w:pPr>
        <w:ind w:left="3420" w:right="439"/>
        <w:spacing w:after="0" w:line="251" w:lineRule="auto"/>
        <w:rPr>
          <w:sz w:val="20"/>
          <w:szCs w:val="20"/>
          <w:color w:val="auto"/>
        </w:rPr>
      </w:pPr>
      <w:r>
        <w:rPr>
          <w:rFonts w:ascii="Times New Roman" w:cs="Times New Roman" w:eastAsia="Times New Roman" w:hAnsi="Times New Roman"/>
          <w:sz w:val="18"/>
          <w:szCs w:val="18"/>
          <w:color w:val="auto"/>
        </w:rPr>
        <w:t>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Mr. Cornelius is also a member of the board of directors of Sunrun Inc., where he also serves as a member of its audit committee and nominating, governance and sustainability committee. As President and Chief Executive Officer of the Company, Mr. Cornelius provides the Board with management’s perspective regarding the Company’s day to day operations and overall strategic plan.</w:t>
      </w:r>
    </w:p>
    <w:p>
      <w:pPr>
        <w:spacing w:after="0" w:line="1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Olivier Jouny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45</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9" w:lineRule="exact"/>
        <w:rPr>
          <w:sz w:val="20"/>
          <w:szCs w:val="20"/>
          <w:color w:val="auto"/>
        </w:rPr>
      </w:pPr>
    </w:p>
    <w:p>
      <w:pPr>
        <w:ind w:left="3420" w:right="419"/>
        <w:spacing w:after="0" w:line="252" w:lineRule="auto"/>
        <w:rPr>
          <w:sz w:val="20"/>
          <w:szCs w:val="20"/>
          <w:color w:val="auto"/>
        </w:rPr>
      </w:pPr>
      <w:r>
        <w:rPr>
          <w:rFonts w:ascii="Times New Roman" w:cs="Times New Roman" w:eastAsia="Times New Roman" w:hAnsi="Times New Roman"/>
          <w:sz w:val="18"/>
          <w:szCs w:val="18"/>
          <w:color w:val="auto"/>
        </w:rPr>
        <w:t>Mr. Jouny has served as a director since October 2024. Mr. Jouny currently serves as Senior Vice President of the Renewables division of TotalEnergies. He began his career in the Gas &amp; 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41</w:t>
      </w:r>
    </w:p>
    <w:p>
      <w:pPr>
        <w:spacing w:after="0" w:line="99" w:lineRule="exact"/>
        <w:rPr>
          <w:sz w:val="20"/>
          <w:szCs w:val="20"/>
          <w:color w:val="auto"/>
        </w:rPr>
      </w:pPr>
    </w:p>
    <w:p>
      <w:pPr>
        <w:ind w:left="3420" w:right="459"/>
        <w:spacing w:after="0" w:line="252" w:lineRule="auto"/>
        <w:rPr>
          <w:sz w:val="20"/>
          <w:szCs w:val="20"/>
          <w:color w:val="auto"/>
        </w:rPr>
      </w:pPr>
      <w:r>
        <w:rPr>
          <w:rFonts w:ascii="Times New Roman" w:cs="Times New Roman" w:eastAsia="Times New Roman" w:hAnsi="Times New Roman"/>
          <w:sz w:val="18"/>
          <w:szCs w:val="18"/>
          <w:color w:val="auto"/>
        </w:rPr>
        <w:t>Mr. Pignon has served as a director since December 2024. Mr. Pignon currently serves as Chief Executive 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Board.</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Paige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-116840</wp:posOffset>
            </wp:positionV>
            <wp:extent cx="1028700" cy="1440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Age: 41</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Energy Risk Management Committee</w:t>
      </w:r>
    </w:p>
    <w:p>
      <w:pPr>
        <w:spacing w:after="0" w:line="99" w:lineRule="exact"/>
        <w:rPr>
          <w:sz w:val="20"/>
          <w:szCs w:val="20"/>
          <w:color w:val="auto"/>
        </w:rPr>
      </w:pPr>
    </w:p>
    <w:p>
      <w:pPr>
        <w:ind w:left="3420" w:right="459"/>
        <w:spacing w:after="0" w:line="253" w:lineRule="auto"/>
        <w:rPr>
          <w:sz w:val="20"/>
          <w:szCs w:val="20"/>
          <w:color w:val="auto"/>
        </w:rPr>
      </w:pPr>
      <w:r>
        <w:rPr>
          <w:rFonts w:ascii="Times New Roman" w:cs="Times New Roman" w:eastAsia="Times New Roman" w:hAnsi="Times New Roman"/>
          <w:sz w:val="18"/>
          <w:szCs w:val="18"/>
          <w:color w:val="auto"/>
        </w:rPr>
        <w:t>Ms. Goodwin has served as a director since July 2025. Ms. Goodwin currently serves as VP — U.S. Renewables Portfolio for TotalEnergies. She has been employed by TotalEnergies since 2014 and has held a variety of business and legal leadership roles, including as Senior Manager — U.S. Petrochemicals JVs and New Ventures; Assistant General Counsel — U.S. Litigation; and Assistant General Counsel — U.S. Refining &amp; Chemicals. Prior to joining TotalEnergies, Ms. Goodwin was a litigation attorney at Baker Botts L.L.P. in Houston, Texas. Ms. Goodwin received her Juris Doctor from the University of Pennsylvania Law School, and her Bachelor of Arts from Duke University. Ms. Goodwin’s legal, energy industry and leadership experience provides significant value to the Board.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The Board recommends a vote “FOR” the election to the Board of each of the foregoing nominees. Proxies</w:t>
      </w:r>
    </w:p>
    <w:p>
      <w:pPr>
        <w:spacing w:after="0" w:line="4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received by the Board will be voted “FOR” each of the nominees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chart below describes the compensation program established for our directors for their service as Board members, chairs of the Committees and Lead Independent Director, as applicable, in 2025. Only our independent, non-employee directors receive compensation for their services as directors, which is set by our Board based on recommendations by the Compensation Committee. Our President and CEO,</w:t>
      </w:r>
    </w:p>
    <w:p>
      <w:pPr>
        <w:spacing w:after="0" w:line="2"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Mr. Cornelius did not receive any compensation during 2025 for his service as a director, and none of the directors who are officers or employees of GIP or TotalEnergies receive compensation for their services as directors.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90"/>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440" w:type="dxa"/>
            <w:vAlign w:val="bottom"/>
          </w:tcPr>
          <w:p>
            <w:pPr>
              <w:spacing w:after="0"/>
              <w:rPr>
                <w:sz w:val="16"/>
                <w:szCs w:val="16"/>
                <w:color w:val="auto"/>
              </w:rPr>
            </w:pPr>
          </w:p>
        </w:tc>
        <w:tc>
          <w:tcPr>
            <w:tcW w:w="94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r>
      <w:tr>
        <w:trPr>
          <w:trHeight w:val="23"/>
        </w:trPr>
        <w:tc>
          <w:tcPr>
            <w:tcW w:w="6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1380" w:type="dxa"/>
            <w:vAlign w:val="bottom"/>
            <w:tcBorders>
              <w:right w:val="single" w:sz="8" w:color="CCEEFF"/>
            </w:tcBorders>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Equity Retainer</w:t>
            </w:r>
          </w:p>
        </w:tc>
        <w:tc>
          <w:tcPr>
            <w:tcW w:w="138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​$135,000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30,000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Chair Retainer</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 Conflicts and Nominating Committee Chair Retainer</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Risk Management Committee Chair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or Directors Affiliated with GIP or TotalEnergies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 compensation</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-1344930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Our independent directors receive an annual retainer of cash and equity for their services as directors. The independent directors received $100,000 in the form of cash and $135,000 in the form of stock awards issued under our Amended and Restated 2013 Equity Incentive Plan (the “Equity Incentive Plan” or “LTIP”). Chair retainers were payable 50% in the form of cash and 50% in the form of stock awards issued under the Equity Incentive Plan. Each stock award may, pursuant to an independent director’s deferral election, be awarded as deferred stock units (“DSUs”). In addition, directors may defer the cash component of their annual retainers into additional DSUs.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DSU issued in 2025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16"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Similar to its competitive assessment of NEO compensation, Pay Governance, the Compensation Committee’s compensation consultant, performed a review of director compensation and stock ownership guidelines with respect to fiscal year 2025. Results of the review were shared with the Compensation Committee, which made a recommendation to increase the annual cash retainer, annual equity retainer and lead independent director retainer to the full Board for final approval. These increases were intended to provide market-competitive compensation to the applicable members of our Board.</w:t>
      </w:r>
    </w:p>
    <w:p>
      <w:pPr>
        <w:spacing w:after="0" w:line="112" w:lineRule="exact"/>
        <w:rPr>
          <w:sz w:val="20"/>
          <w:szCs w:val="20"/>
          <w:color w:val="auto"/>
        </w:rPr>
      </w:pPr>
    </w:p>
    <w:p>
      <w:pPr>
        <w:ind w:left="1260" w:right="679" w:firstLine="360"/>
        <w:spacing w:after="0" w:line="244" w:lineRule="auto"/>
        <w:rPr>
          <w:sz w:val="20"/>
          <w:szCs w:val="20"/>
          <w:color w:val="auto"/>
        </w:rPr>
      </w:pPr>
      <w:r>
        <w:rPr>
          <w:rFonts w:ascii="Times New Roman" w:cs="Times New Roman" w:eastAsia="Times New Roman" w:hAnsi="Times New Roman"/>
          <w:sz w:val="18"/>
          <w:szCs w:val="18"/>
          <w:color w:val="auto"/>
        </w:rPr>
        <w:t>The Compensation Committee previously implemented a stock ownership guideline for directors requiring stock ownership equal to five times the annual cash retainer fee and, as part of its competitive assessment (described above), Pay Governance confirmed this guideline with respect to fiscal year 2025 was consistent with the market (i.e., with respect to similarly situated businesses). Although directors are not required to make purchases of our common stock to meet their target ownership multiple, they are restricted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from divesting any securities until such ownership multiple is attained, except to make a required tax payment, and must maintain their ownership multiple after any such transactions.</w:t>
      </w:r>
    </w:p>
    <w:p>
      <w:pPr>
        <w:spacing w:after="0" w:line="94"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1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8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220" w:type="dxa"/>
            <w:vAlign w:val="bottom"/>
          </w:tcPr>
          <w:p>
            <w:pPr>
              <w:spacing w:after="0"/>
              <w:rPr>
                <w:sz w:val="14"/>
                <w:szCs w:val="14"/>
                <w:color w:val="auto"/>
              </w:rPr>
            </w:pPr>
          </w:p>
        </w:tc>
        <w:tc>
          <w:tcPr>
            <w:tcW w:w="1660" w:type="dxa"/>
            <w:vAlign w:val="bottom"/>
            <w:gridSpan w:val="4"/>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5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0"/>
        </w:trPr>
        <w:tc>
          <w:tcPr>
            <w:tcW w:w="4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28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​$ 127,500 ​​ ​​$162,527​​ ​​$290,527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Jennifer E. Lowry</w:t>
            </w:r>
          </w:p>
        </w:tc>
        <w:tc>
          <w:tcPr>
            <w:tcW w:w="286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 ​$ 110,000 ​​ ​​$145,019​​ ​​$255,019​</w:t>
            </w:r>
          </w:p>
        </w:tc>
      </w:tr>
      <w:tr>
        <w:trPr>
          <w:trHeight w:val="25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282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​$ 110,000 ​​ ​​$145,019​​ ​​$255,019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24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​​$255,022​​ ​​$255,022​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-676910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-676910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-676910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559" w:hanging="360"/>
        <w:spacing w:after="0" w:line="25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DSUs awarded in 2025 determined in accordance with Financial Accounting Standards Board Accounting Standards Codification Topic 718, Compensation Stock Compensation, the full amount of which is recorded as a compensation expense in the income statement for the 2025 fiscal year. For all directors, the grant date fair value of the DSUs that are payable in Class C common stock was based on the closing price of our Class C common stock on the date of grant. For all directors, the grant date fair value of the DSUs granted on June 1, 2025 for their period of service beginning on June 1, 2025 through May 31, 2026 was based on the May 30, 2025 Class C common stock closing price of $30.77.</w:t>
      </w:r>
    </w:p>
    <w:p>
      <w:pPr>
        <w:spacing w:after="0" w:line="56" w:lineRule="exact"/>
        <w:rPr>
          <w:rFonts w:ascii="Times New Roman" w:cs="Times New Roman" w:eastAsia="Times New Roman" w:hAnsi="Times New Roman"/>
          <w:sz w:val="18"/>
          <w:szCs w:val="18"/>
          <w:color w:val="auto"/>
        </w:rPr>
      </w:pPr>
    </w:p>
    <w:p>
      <w:pPr>
        <w:ind w:left="1620" w:right="639" w:hanging="360"/>
        <w:spacing w:after="0" w:line="27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O’Neal elected to receive the cash portion of his director compensation in the 2025 fiscal year in the form of DSUs that are payable in Class C common stock upon termination of service as a Board member.</w:t>
      </w:r>
    </w:p>
    <w:p>
      <w:pPr>
        <w:spacing w:after="0" w:line="309"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number of stock awards (DSUs and any DERs thereon) held by each of the independent directors as of December 31, 2025. All DSUs held by the independent directors are payable upon termination of service as a Board member.</w:t>
      </w:r>
    </w:p>
    <w:p>
      <w:pPr>
        <w:spacing w:after="0" w:line="14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Class C</w:t>
            </w:r>
          </w:p>
        </w:tc>
      </w:tr>
      <w:tr>
        <w:trPr>
          <w:trHeight w:val="162"/>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24"/>
                <w:szCs w:val="24"/>
                <w:b w:val="1"/>
                <w:bCs w:val="1"/>
                <w:color w:val="auto"/>
                <w:vertAlign w:val="subscript"/>
              </w:rPr>
              <w:t>​</w:t>
            </w:r>
          </w:p>
        </w:tc>
      </w:tr>
      <w:tr>
        <w:trPr>
          <w:trHeight w:val="20"/>
        </w:trPr>
        <w:tc>
          <w:tcPr>
            <w:tcW w:w="6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14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​8,674 ​​ ​​88,067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Jennifer E. Lowry</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​​20,174​</w:t>
            </w:r>
          </w:p>
        </w:tc>
      </w:tr>
      <w:tr>
        <w:trPr>
          <w:trHeight w:val="25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​​64,549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​​71,780​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-676910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-676910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APPROVAL, ON AN ADVISORY BASIS, OF THE COMPANY’S EXECUTIVE COMPENSATION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Under Section 14A of the Exchange Act, the stockholders of the Company are entitled to vote at this year’s Annual Meeting to approve the compensation of the named executive officers (“NEOs”), as disclosed in this Proxy Statement pursuant to Item 402 of Regulation S-K (“Regulation S-K”) of the rules and regulations under the Securities Act of 1933, as amended (the “Securities Act”).</w:t>
      </w:r>
    </w:p>
    <w:p>
      <w:pPr>
        <w:spacing w:after="0" w:line="11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As described more fully in the CD&amp;A beginning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99"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12" w:lineRule="exact"/>
        <w:rPr>
          <w:sz w:val="20"/>
          <w:szCs w:val="20"/>
          <w:color w:val="auto"/>
        </w:rPr>
      </w:pPr>
    </w:p>
    <w:p>
      <w:pPr>
        <w:ind w:left="1620" w:right="11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NEOs, as disclosed pursuant to Item 402 of Regulation S-K, including the CD&amp;A, compensation tables and narrative discussion, is hereby APPROVED.”</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0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During the Company’s 2023 Annual Meeting of Stockholders, the Company’s stockholders approved a non-binding, advisory proposal to hold say on pay votes every year. In consideration of the results of this advisory vote, the Board has maintained its policy of providing for annual say on pay votes. Unless the Board modifies its current policy, the next say on pay vote following this vote will be held at the Company’s 2027 Annual Meeting of Stockholders.</w:t>
      </w:r>
    </w:p>
    <w:p>
      <w:pPr>
        <w:spacing w:after="0" w:line="179" w:lineRule="exact"/>
        <w:rPr>
          <w:sz w:val="20"/>
          <w:szCs w:val="20"/>
          <w:color w:val="auto"/>
        </w:rPr>
      </w:pPr>
    </w:p>
    <w:p>
      <w:pPr>
        <w:jc w:val="center"/>
        <w:ind w:left="1840"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2026 FISCAL YEAR</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May 10, 2024, the Audit Committee dismissed Ernst &amp; Young LLP as the Company’s independent registered public accounting firm, due to the fact that Ernst &amp; Young LLP would no longer be considered independent with respect to the Company under the rules of the SEC following the acquisition by BlackRock of all of the business and assets of Global Infrastructure Management, LLC, the investment manager of GIP, which acquisition was completed on October 1, 2024. Also on May 10, 2024, the Audit Committee appointed PricewaterhouseCoopers LLP as the independent registered public accounting firm for the Company for the fiscal year ended December 31, 2024. The dismissal of Ernst &amp; Young LLP and the appointment of PricewaterhouseCoopers LLP became effective on August 1, 2024, the date of the filing of the Company’s Quarterly Report on Form 10-Q for the quarter ended June 30, 2024.</w:t>
      </w:r>
    </w:p>
    <w:p>
      <w:pPr>
        <w:spacing w:after="0" w:line="120"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appointed PricewaterhouseCoopers LLP to audit the consolidated financial statements of the Company and its subsidiaries for the fiscal year ending December 31, 2026.</w:t>
      </w:r>
    </w:p>
    <w:p>
      <w:pPr>
        <w:spacing w:after="0" w:line="81"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Ernst &amp; Young LLP’s audit report on the consolidated financial statements of the Company and its subsidiaries as of and for the fiscal year ended December 31, 2023 did not contain an adverse opinion or disclaimer of opinion, nor was it qualified or modified as to uncertainty, audit scope or accounting principles.</w:t>
      </w:r>
    </w:p>
    <w:p>
      <w:pPr>
        <w:spacing w:after="0" w:line="96"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During the fiscal year ended December 31, 2023, and the subsequent interim period through August 1, 2024, there were no (i) disagreements (within the meaning of Item 304(a)(1)(iv) of Regulation S-K and the related instructions under the Exchange Act) between the Company and Ernst &amp; Young LLP on any matter of accounting principles or practices, financial statement disclosure or auditing scope or procedures, which, if not resolved to the satisfaction of Ernst &amp; Young LLP, would have caused Ernst &amp; Young LLP to make reference to the subject matter of the disagreement in connection with its report on the consolidated financial statements of the Company for the fiscal year ended December 31, 2023, or (ii) reportable events (within the meaning of Item 304(a)(1)(v) of Regulation S-K and the related instructions under the Exchange Act).</w:t>
      </w:r>
    </w:p>
    <w:p>
      <w:pPr>
        <w:spacing w:after="0" w:line="32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During the fiscal year ended December 31, 2023, and the subsequent interim period through August 1, 2024, neither the Company, nor anyone on the Company’s behalf, consulted with PricewaterhouseCoopers LLP regarding either (i) the application of accounting principles to a specified transaction, either completed or proposed, or the type of audit opinion that might be rendered on the Company’s consolidated financial statements, and no written report or oral advice was provided by PricewaterhouseCoopers LLP to the Company that PricewaterhouseCoopers LLP concluded was an important factor considered by the Company in reaching a decision as to the accounting, auditing or financial reporting issue or (ii)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w:t>
      </w:r>
    </w:p>
    <w:p>
      <w:pPr>
        <w:spacing w:after="0" w:line="11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accordance with SEC rules and PricewaterhouseCoopers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PricewaterhouseCoopers LLP’s lead audit partner.</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and the Board believe that the appointment of PricewaterhouseCoopers LLP to serve as the Company’s independent registered public accounting firm for the 2026 fiscal year is in the best interests of the Company and its stockholders. If the stockholders do not ratify the appointment of</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PricewaterhouseCoopers LLP, the Audit Committee will reconsider its selection. Representatives of PricewaterhouseCoopers LLP are expected to attend the Annual Meeting where they will be available to respond to questions and, if they desire, to make a statement.</w:t>
      </w:r>
    </w:p>
    <w:p>
      <w:pPr>
        <w:spacing w:after="0" w:line="172" w:lineRule="exact"/>
        <w:rPr>
          <w:sz w:val="20"/>
          <w:szCs w:val="20"/>
          <w:color w:val="auto"/>
        </w:rPr>
      </w:pPr>
    </w:p>
    <w:p>
      <w:pPr>
        <w:jc w:val="center"/>
        <w:ind w:left="190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PricewaterhouseCoopers LLP as the Company’s lead independent registered public accounting firm for the 2026 fiscal year. Proxies received by the Board will be voted “FOR” ratification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APPROVAL OF THE SECOND AMENDED AND RESTATED</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CERTIFICATE OF INCORPORATION OF THE COMPANY</w:t>
      </w:r>
    </w:p>
    <w:p>
      <w:pPr>
        <w:spacing w:after="0" w:line="126"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color w:val="auto"/>
        </w:rPr>
        <w:t>The Board, after the unanimous determination and recommendation of the Corporate Governance, Conflicts and Nominating Committee, has approved the Amended Charter, which would, if approved at the Annual Meeting and filed with the Secretary of State of the State of Delaware (the “Delaware Secretary of State”), amend and restate our Existing Charter to (i) provide that, upon the filing of the Amended Charter with the Delaware Secretary of State (the “Amended Charter Filing”), each share of our Class A common stock will become convertible into one share of our Class C common stock, (ii) provide that the Class A Conversion will occur automatically at 12:01 a.m., Eastern Time, on the second business day following the Amended Charter Filing, (iii) provide that, from and after the Class A Conversion, the Company will not have authority to issue or reissue shares of Class A common stock and certain provisions of our Existing Charter relating to the Class A common stock will have no further force or effect, (iv) reduce the total number of authorized shares of Class A common stock from 500,000,000 to 34,613,853 and (v) update certain other historical matters, in each case as described below.</w:t>
      </w:r>
    </w:p>
    <w:p>
      <w:pPr>
        <w:spacing w:after="0" w:line="12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Existing Charter and the Delaware General Corporation Law (the “DGCL”), the Board is submitting the proposed Amended Charter for the approval of our stockholders, as described in more detail below.</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description of the Amended Charter in this Proxy Statement does not purport to be complete and is qualified in its entirety by reference to, and should be read in conjunction with, the full text of the Amended Charter, a copy of which is attached to this Proxy Statement as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For convenience, a copy of the Amended Charter showing the changes from the Existing Charter, with deleted text shown as strike-through and added text shown as underlined, is attached to this Proxy Statement as </w:t>
      </w:r>
      <w:r>
        <w:rPr>
          <w:rFonts w:ascii="Times New Roman" w:cs="Times New Roman" w:eastAsia="Times New Roman" w:hAnsi="Times New Roman"/>
          <w:sz w:val="18"/>
          <w:szCs w:val="18"/>
          <w:i w:val="1"/>
          <w:iCs w:val="1"/>
          <w:color w:val="auto"/>
        </w:rPr>
        <w:t>Appendix B</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our Multi-Class Structure</w:t>
      </w:r>
    </w:p>
    <w:p>
      <w:pPr>
        <w:spacing w:after="0" w:line="148" w:lineRule="exact"/>
        <w:rPr>
          <w:sz w:val="20"/>
          <w:szCs w:val="20"/>
          <w:color w:val="auto"/>
        </w:rPr>
      </w:pPr>
    </w:p>
    <w:p>
      <w:pPr>
        <w:jc w:val="both"/>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currently have four classes of common stock outstanding: Class A common stock, Class B common stock, Class C common stock and Class D common stock. Our Class A common stock and Class C common stock are listed on the NYSE and trade under the ticker symbols “CWEN.A” and “CWEN”, respectively.</w:t>
      </w:r>
    </w:p>
    <w:p>
      <w:pPr>
        <w:spacing w:after="0" w:line="2" w:lineRule="exact"/>
        <w:rPr>
          <w:sz w:val="20"/>
          <w:szCs w:val="20"/>
          <w:color w:val="auto"/>
        </w:rPr>
      </w:pPr>
    </w:p>
    <w:p>
      <w:pPr>
        <w:jc w:val="both"/>
        <w:ind w:left="1260" w:right="559"/>
        <w:spacing w:after="0" w:line="246" w:lineRule="auto"/>
        <w:rPr>
          <w:sz w:val="20"/>
          <w:szCs w:val="20"/>
          <w:color w:val="auto"/>
        </w:rPr>
      </w:pPr>
      <w:r>
        <w:rPr>
          <w:rFonts w:ascii="Times New Roman" w:cs="Times New Roman" w:eastAsia="Times New Roman" w:hAnsi="Times New Roman"/>
          <w:sz w:val="18"/>
          <w:szCs w:val="18"/>
          <w:color w:val="auto"/>
        </w:rPr>
        <w:t>Holders of our Class A common stock and Class C common stock share ratably in all dividends as may be declared by the Board in respect of the outstanding common stock. The Company’s Class B common stock and Class D common stock are not publicly traded and do not receive dividends from the Company.</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Holders of our Class A common stock, Class B common stock, Class C common stock and Class D common stock vote together as a single class on all matters presented to the Company’s stockholders for their vote or approval, except as otherwise required by applicable law, the Existing Charter or the listing requirements of the NYSE. Each share of Class A common stock and Class B common stock entitles the holder thereof to one vote with respect to each matter presented to the Company’s stockholders on which the holders of Class A common stock and Class B common stock, respectively, are entitled to vote. Each share of Class C common stock and Class D common stock entitles the holder thereof to 1/100th of one vote with respect to each matter presented to the Company’s stockholders on which the holders of Class C common stock and Class D common stock, respectively, are entitled to vote.</w:t>
      </w:r>
    </w:p>
    <w:p>
      <w:pPr>
        <w:spacing w:after="0" w:line="107"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Except as expressly provided in the Existing Charter,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of the Company.</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March 19, 2026, the record date for the Annual Meeting, there were 34,613,853 shares of Class A common stock outstanding, 42,738,750 shares of Class B common stock outstanding, 86,290,173 shares of Class C common stock outstanding and 41,576,142 shares of Class D common stock outstanding. As of that date, (i) the outstanding Class A common stock represented approximately 16.87% of our shares, and approximately 44.02% of the total voting power, of our outstanding common stock, (ii) the outstanding</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Class B common stock represented approximately 20.83% of our shares, and approximately 54.35% of the total voting power, of our outstanding common stock, (iii) the outstanding Class C common stock represented approximately 42.05% of our shares, and approximately 1.10% of the total voting power, of our outstanding common stock and (iv) the outstanding Class D common stock represented approximately</w:t>
      </w:r>
    </w:p>
    <w:p>
      <w:pPr>
        <w:spacing w:after="0" w:line="3" w:lineRule="exact"/>
        <w:rPr>
          <w:sz w:val="20"/>
          <w:szCs w:val="20"/>
          <w:color w:val="auto"/>
        </w:rPr>
      </w:pPr>
    </w:p>
    <w:p>
      <w:pPr>
        <w:ind w:left="1260" w:right="899"/>
        <w:spacing w:after="0" w:line="245" w:lineRule="auto"/>
        <w:rPr>
          <w:sz w:val="20"/>
          <w:szCs w:val="20"/>
          <w:color w:val="auto"/>
        </w:rPr>
      </w:pPr>
      <w:r>
        <w:rPr>
          <w:rFonts w:ascii="Times New Roman" w:cs="Times New Roman" w:eastAsia="Times New Roman" w:hAnsi="Times New Roman"/>
          <w:sz w:val="18"/>
          <w:szCs w:val="18"/>
          <w:color w:val="auto"/>
        </w:rPr>
        <w:t>20.26% of our shares, and approximately 0.53% of the total voting power, of our outstanding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Considerations and Purpose of the Amended Charter</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Historically, the price of our Class A common stock on the NYSE has generally been below the price of our Class C common stock, despite the greater voting powers of our Class A common stock and the otherwise identical rights of the two classes. From January 1, 2020 to March 9, 2026, the discount ranged from a low of approximately 2.3% to a high of approximately 9.1%, with an average discount of approximately 6.5% during that timeframe. On March 9, 2026, the day on which we first publicly announced the Board’s approval of the Amended Charter, the last reported sales price of our Class A common stock on the NYSE was $35.57 per share and the last reported sales price of our Class C common stock on the NYSE was $37.94 per share. In addition, the average daily trading volume of our Class A common stock has generally been significantly lower than that of our Class C common stock. We believe that the resulting lower liquidity of the Class A common stock is primarily responsible for the price disparity between the two classes.</w:t>
      </w:r>
    </w:p>
    <w:p>
      <w:pPr>
        <w:spacing w:after="0" w:line="32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Considerations Involving the Amended Charter</w:t>
      </w:r>
      <w:r>
        <w:rPr>
          <w:rFonts w:ascii="Times New Roman" w:cs="Times New Roman" w:eastAsia="Times New Roman" w:hAnsi="Times New Roman"/>
          <w:sz w:val="18"/>
          <w:szCs w:val="18"/>
          <w:color w:val="auto"/>
        </w:rPr>
        <w:t>. The Company’s dual-class public trading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established in May 2015, when the Company was majority owned by NRG, generally in order to issue shares of Class C common stock as consideration for acquisitions, as the settlement for equity incentives and for raising funds, in each case, while minimizing the voting dilution of existing stockholders, including NRG. In August 2018, NRG transferred the majority interest in the Company to CEG and subsequently sold all of its interests in CEG to an affiliate of GIP. Soon after such transaction, in 2019, the Company began receiving feedback from investors regarding the complexity of the multi-class common stock structure and the desire to simplify the structure into a single class of publicly traded common stock.</w:t>
      </w:r>
    </w:p>
    <w:p>
      <w:pPr>
        <w:spacing w:after="0" w:line="10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light of the trading price disparity between our Class A common stock and Class C common stock, and feedback from investors, analysts and others, the Company’s management has explored various alternatives relating to a consolidation of the Class A common stock and Class C common stock since 2020. In early 2025, the Board and the Company’s management increased the Company’s focus on potential alternatives with respect to such consolidation and continued to discuss these alternatives, including the applicable tax and regulatory implications, throughout 2025 and 2026. In early March 2026, the Company’s management presented to the Board for its final approval the potential Amended Charter and the Class A Conversion. The Corporate Governance, Conflicts and Nominating Committee and the full Board considered the fairness of the proposed Class A Conversion to each class of stockholders, including consideration of the historically lesser trading price of the Class A common stock as compared to the Class C common stock, the expected improvement in the liquidity position of the Class C common stock and all holders of both classes of common stock in the event of the Class A Conversion, and the increase in the relative voting rights of holders of the Class C common stock as a result of the Class A Conversion, via elimination of the superior voting rights of the Class A common stock. Furthermore, the Corporate Governance, Conflicts and Nominating Committee and the full Board considered the expected benefits of eliminating investor confusion and the resulting management distraction regarding the dual-class public trading structure and the trading price disparity, as well as the reduction of administrative expenses resulting from the dual-class trading structure.</w:t>
      </w:r>
    </w:p>
    <w:p>
      <w:pPr>
        <w:spacing w:after="0" w:line="32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foregoing discussion of information considered by the Corporate Governance, Conflicts and Nominating Committee and the full Board in determining to authorize and recommend approval of the Amended Charter and the Class A Conversion is not intended to be exhaustive but includes the material factors considered by the Corporate Governance, Conflicts and Nominating Committee and the full Board in making this decision. In view of the wide variety of factors considered and the complexity of these matters, the Corporate Governance, Conflicts and Nominating Committee and the full Board did not consider it practicable to, nor did they attempt to quantify, rank or otherwise assign relative weights to the specific factors they considered in reaching their decisions.</w:t>
      </w:r>
    </w:p>
    <w:p>
      <w:pPr>
        <w:spacing w:after="0" w:line="117" w:lineRule="exact"/>
        <w:rPr>
          <w:sz w:val="20"/>
          <w:szCs w:val="20"/>
          <w:color w:val="auto"/>
        </w:rPr>
      </w:pPr>
    </w:p>
    <w:p>
      <w:pPr>
        <w:ind w:left="1260" w:right="7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Purpose of the Amended Charter. </w:t>
      </w:r>
      <w:r>
        <w:rPr>
          <w:rFonts w:ascii="Times New Roman" w:cs="Times New Roman" w:eastAsia="Times New Roman" w:hAnsi="Times New Roman"/>
          <w:sz w:val="18"/>
          <w:szCs w:val="18"/>
          <w:color w:val="auto"/>
        </w:rPr>
        <w:t>We believe that the current price for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reflect the intrinsic value of the Company and that the Class A Conversion, as described in this</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proposal, would enhance our financial flexibility, simplify our capital structure and improve the aggregate trading liquidity of our capital stock. We believe that the Amended Charter and the Class A Conversion would be beneficial to the Company for the following reasons:</w:t>
      </w:r>
    </w:p>
    <w:p>
      <w:pPr>
        <w:spacing w:after="0" w:line="61" w:lineRule="exact"/>
        <w:rPr>
          <w:sz w:val="20"/>
          <w:szCs w:val="20"/>
          <w:color w:val="auto"/>
        </w:rPr>
      </w:pPr>
    </w:p>
    <w:p>
      <w:pPr>
        <w:ind w:left="1800" w:right="55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Conversion would simplify our capital structure and increase the public float of our Class C common stock. A simplified capital structure with a larger public float for our Class C common stock may be more attractive to a broader set of investors, including institutional investors who may prefer the clarity of a single class of publicly traded common stock.</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Conversion would increase the number of shares of Class C common stock outstanding, which we believe would also increase the trading volume of the Class C common stock, improving trading liquidity for investors.</w:t>
      </w:r>
    </w:p>
    <w:p>
      <w:pPr>
        <w:spacing w:after="0" w:line="54"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Conversion would eliminate the disparity in trading prices between our Class A common stock and Class C common stock.</w:t>
      </w:r>
    </w:p>
    <w:p>
      <w:pPr>
        <w:spacing w:after="0" w:line="9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While we believe the Amended Charter and the Class A Conversion would provide benefits to the Company and our stockholders, we cannot guarantee that the benefits of a simplified capital structure will be accomplished to the extent and in the manner we currently expect, if at all.</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Proposed Amendments</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If approved at the Annual Meeting and filed with the Delaware Secretary of State, the Amended Charter would amend and restate the Existing Charter to:</w:t>
      </w:r>
    </w:p>
    <w:p>
      <w:pPr>
        <w:spacing w:after="0" w:line="54" w:lineRule="exact"/>
        <w:rPr>
          <w:sz w:val="20"/>
          <w:szCs w:val="20"/>
          <w:color w:val="auto"/>
        </w:rPr>
      </w:pPr>
    </w:p>
    <w:p>
      <w:pPr>
        <w:ind w:left="1800" w:right="10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upon the Amended Charter Filing, each share of our Class A common stock will become convertible into one fully paid and nonassessable share of Class C common stock;</w:t>
      </w:r>
    </w:p>
    <w:p>
      <w:pPr>
        <w:spacing w:after="0" w:line="53" w:lineRule="exact"/>
        <w:rPr>
          <w:rFonts w:ascii="Times New Roman" w:cs="Times New Roman" w:eastAsia="Times New Roman" w:hAnsi="Times New Roman"/>
          <w:sz w:val="18"/>
          <w:szCs w:val="18"/>
          <w:color w:val="auto"/>
        </w:rPr>
      </w:pPr>
    </w:p>
    <w:p>
      <w:pPr>
        <w:jc w:val="both"/>
        <w:ind w:left="1800" w:right="67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Class A Conversion will occur automatically, without further action on the part of the Company or any holder of Class A common stock, at 12:01 a.m., Eastern Time, on the second business day following the Amended Charter Filing;</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from and after the Class A Conversion, the Company will not have authority to issue or reissue shares of Class A common stock;</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upon the Class A Conversion, certain provisions relating to the Class A common stock will be deemed to have no further force or effect, including provisions defining the rights of holders of shares of Class A common stock (including provisions regarding voting rights, dividends and distributions and the transferability of Class A common stock) and obsolete provisions pertaining to certain rights of holders of shares of Class C common stock in relation to the Class A common stock;</w:t>
      </w:r>
    </w:p>
    <w:p>
      <w:pPr>
        <w:spacing w:after="0" w:line="75"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total number of authorized shares of Class A common stock from 500,000,000 to 34,613,853 (which reduction is intended to allow the Company to make additional filings with the Delaware Secretary of State following the Class A Conversion to eliminate all references to the Class A common stock in the Amended Charter, as further described in “— Additional Filings with the Delaware Secretary of State” below);</w:t>
      </w:r>
    </w:p>
    <w:p>
      <w:pPr>
        <w:spacing w:after="0" w:line="75"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certain references to the Exchange Agreement to reflect the terms of the Amended Exchange Agreement (as defined below) proposed to be executed prior to the Annual Meeting in anticipation of the Amended Charter, as further described in “— Amended Exchange Agreement” below; and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certain other non-substantive amendments to the Existing Charter, including ministerial and conforming changes.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Effects of the Amended Charter and the Class A Conversion</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Following the Amended Charter Filing, each share of our Class A common stock will become convertible into one new share of Class C common stock. The Class A Conversion will occur automatically at 12:01 a.m., Eastern Time, on the second business day following the Amended Charter Filing. The Amended Charter and the Class A Conversion will have the following effects, among others, on the holders of our common stock:</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Holders of shares of our Class A common stock are currently entitled to cast one vote per share with respect to each matter presented to the Company’s stockholders on which the holders of Class A common stock are entitled to vote. Following the Class A Conversion, such holders will hold shares of Class C common stock and, accordingly, will be entitled to cast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per share with respect to each matter presented to the Company’s stockholders on which the holders of Class C common stock are entitled to vote. Neither the Amended Charter nor the Class A Conversion will have any impact on the voting rights of our Class B common stock, Class C common stock or Class D common stock.</w:t>
      </w:r>
    </w:p>
    <w:p>
      <w:pPr>
        <w:spacing w:after="0" w:line="12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Following the Class A Conversion, and after giving effect to the terms of the Voting Trust Agreement (as defined below), assuming the same number of outstanding shares of common stock as on March 19, 2026, (i) the outstanding Class B common stock would represent approximately 39.37% of the total voting power of our outstanding common stock, (ii) the outstanding Class C common stock would represent approximately 45.12% of the total voting power of our outstanding common stock (with holders of formerly outstanding shares of Class A common stock holding approximately 12.92% of the total voting power of our outstanding common stock) and (iii) the outstanding Class D common stock would represent approximately 15.52% of the total voting power of our outstanding common stock.</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Economic Interests</w:t>
      </w:r>
    </w:p>
    <w:p>
      <w:pPr>
        <w:spacing w:after="0" w:line="16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Neither the Amended Charter nor the Class A Conversion will have any impact on the economic interests of holders of our common stock, including with regard to dividends and liquidation rights. Because both our Class A common stock and Class C common stock are entitled to receive dividends as and when declared by the Board, following the Class A Conversion, holders of our Class A common stock whose shares are converted to shares of Class C common stock will remain eligible to receive any dividends declared by the Board on the same basis on which they would have received dividends had the Class A Conversion not occurred.</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16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Amended Charter will have no impact on the total issued and outstanding shares of common stock. Additionally, under our Existing Charter, we are authorized to issue 500,000,000 shares of Class A common stock, 500,000,000 shares of Class B common stock, 1,000,000,000 shares of Class C common stock, 1,000,000,000 shares of Class D common stock and 10,000,000 shares of preferred stock. The Amended Charter will provide that, from and after the Class A Conversion, (i) the Company will not have authority to issue or reissue shares of Class A common stock, (ii) the total number of authorized shares of Class A common stock will be reduced from 500,000,000 to 34,613,853 and (iii) the total number of authorized shares of common stock will be reduced from 3,010,000,000 shares to 2,544,613,853 shares (which reduction is intended to allow the Company to make additional filings with the Delaware Secretary of State following the Class A Conversion to eliminate all references to the Class A common stock in the Amended Charter, as further described in “— Additional Filings with the Delaware Secretary of State” below). However, neither the Amended Charter nor the Class A Conversion will have any impact on the number of authorized shares of Class B common stock, Class C common stock, Class D common stock or preferred stock.</w:t>
      </w: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NYSE Listing</w:t>
      </w:r>
    </w:p>
    <w:p>
      <w:pPr>
        <w:spacing w:after="0" w:line="14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Following the Class A Conversion, our Class A common stock, trading symbol “CWEN.A”, will be delisted from the NYSE and will no longer be traded. Our Class C common stock, including the shares of Class A common stock converted into shares of Class C common stock pursuant to the Class A Conversion, will continue to trade on the NYSE under the symbol “CWEN”.</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160" w:lineRule="exact"/>
        <w:rPr>
          <w:sz w:val="20"/>
          <w:szCs w:val="20"/>
          <w:color w:val="auto"/>
        </w:rPr>
      </w:pPr>
    </w:p>
    <w:p>
      <w:pPr>
        <w:jc w:val="both"/>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Class A Conversion will have no impact on our operations, except to the limited extent that we are able to realize some or all of the potential benefits from the Class A Conversion, which are described above.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Securities Act; Resale of Common Stock</w:t>
      </w:r>
    </w:p>
    <w:p>
      <w:pPr>
        <w:spacing w:after="0" w:line="16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are relying on Section 3(a)(9) of the Securities Act to exempt the issuance of shares of Class C common stock resulting from the Class A Conversion from the registration requirements of the Securities Act. Under that exemption, when securities are exchanged for other securities of an issuer, the securities received assume the character of the exchanged securities for purposes of the Securities Act. Our outstanding shares of Class A common stock were issued in an offering registered, or were otherwise registered, under the Securities Act and therefore are not subject to resale restrictions (other than any shares of Class A common stock held by our affiliates or that constitute restricted securities). Accordingly, shares of Class C common stock issued as a result of the Class A Conversion may be sold in the same manner as our Class A common stock may currently be sold. Our affiliates and holders of any shares of Class A common stock that constitute restricted securities will continue to be subject to the restrictions specified in Rule 144 under the Securities Act.</w:t>
      </w:r>
    </w:p>
    <w:p>
      <w:pPr>
        <w:spacing w:after="0" w:line="343"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have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See “— Solicitations and Recommendations.”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Upon the Class A Conversion, outstanding options, restricted stock units, performance stock units, DSUs, DERs and other equity incentive awards issued under any of our equity incentive plans that represent the right to receive, or are denominated in, shares of Class A common stock will remain unchanged, except that they will represent the right to receive, or be denominated in, shares of Class C common stock rather than shares of Class A common stock.</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Interests of our Affiliates, Directors and Officers in the Class A Conversion</w:t>
      </w:r>
    </w:p>
    <w:p>
      <w:pPr>
        <w:spacing w:after="0" w:line="160"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Board, you should be aware that CEG and some of our directors and executive officers may have interests in the Class A Conversion that are or may be different from, or in addition to, the interests of some or all of our public stockholders. For instance, as of March 19, 2026, (i) CEG owns 21,841 shares of Class A common stock (which amount excludes 42,738,750 Class B units of Clearway Energy LLC that are exchangeable at any time for shares of our Class A common stock) and (ii) our directors and executive officers collectively own approximately 9,765 shares of Class A common stock (which amount excludes certain DSUs and DERs that may be paid in Class A common stock). See “Stock Ownership of Directors, Named Executive Officers and Certain Beneficial Owners.”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result of CEG’s interest in the Class A Conversion, the Board delegated to the Corporate Governance, Conflicts and Nominating Committee, consisting of three independent directors who satisfy the requirements for independence set forth in the Charter of the Corporate Governance, Conflicts and Nominating Committee, the power and authority (i) to make such investigation of the Class A Conversion and the Voting Trust Agreement (collectively, the “Potential Transactions”), and any alternatives thereto, as the Corporate Governance, Conflicts and Nominating Committee in its sole discretion deemed necessary, appropriate or advisable, (ii) to review, evaluate and, if applicable, negotiate (or supervise and direct the negotiations with respect to) the terms and conditions of the Potential Transactions on behalf of the Company, (iii) to approve and recommend that the Board approve, or determine not to approve, any of the Potential Transactions and (iv) to take such other actions with respect to the Potential Transactions as the Corporate Governance, Conflicts and Nominating Committee determined, in its sole discretion, to be necessary or appropriate.</w:t>
      </w:r>
    </w:p>
    <w:p>
      <w:pPr>
        <w:spacing w:after="0" w:line="327"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considered the fairness of the Potential Transactions to each class of stockholders, including consideration of the historically lesser trading price of the Class A common stock as compared to the Class C common stock and the expected improvement in the liquidity position of the Class C common stock and all holders of both classes of common stock in the event of the Class A Conversion. Following its consideration of a number of factors relating to the Potential Transactions, including the factors described above, the Corporate Governance,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459"/>
        <w:spacing w:after="0" w:line="282" w:lineRule="auto"/>
        <w:rPr>
          <w:sz w:val="20"/>
          <w:szCs w:val="20"/>
          <w:color w:val="auto"/>
        </w:rPr>
      </w:pPr>
      <w:r>
        <w:rPr>
          <w:rFonts w:ascii="Times New Roman" w:cs="Times New Roman" w:eastAsia="Times New Roman" w:hAnsi="Times New Roman"/>
          <w:sz w:val="18"/>
          <w:szCs w:val="18"/>
          <w:color w:val="auto"/>
        </w:rPr>
        <w:t>Conflicts and Nominating Committee unanimously (i) approved the Potential Transactions and (ii) recommended to the full Board that the Board approve the Potential Transactions.</w:t>
      </w:r>
    </w:p>
    <w:p>
      <w:pPr>
        <w:spacing w:after="0" w:line="81"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foregoing discussion of information considered by the Corporate Governance, Conflicts and Nominating Committee in determining to authorize and recommend approval of the Potential Transactions is not intended to be exhaustive but includes the material factors considered by the Corporate Governance, Conflicts and Nominating Committee in making its decision. In view of the wide variety of factors considered and the complexity of these matters, the Corporate Governance, Conflicts and Nominating Committee did not consider it practicable to, nor did it attempt to quantify, rank or otherwise assign relative weights to the specific factors it considered in reaching its decision.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Trust Agreement</w:t>
      </w:r>
    </w:p>
    <w:p>
      <w:pPr>
        <w:spacing w:after="0" w:line="162"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CEG beneficially owns all of our outstanding Class B common stock and Class D common stock, which represents, in the aggregate, approximately 54.88% of the combined voting power of our common stock as of March 19, 2026.</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of the disparity in voting rights between the Class A common stock and the Class 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common stock, the Class A Conversion would, in the absence of the Voting Trust Agreement, cause the total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relative voting power of CEG to increase disproportionately to the total relative voting power of all other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of the Company. In order to mitigate any such disproportionate increase in CEG’s total relative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power that may result from the Class A Conversion, CEG intends to enter into a voting trust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agreement (the “Voting Trust Agreement”) with Wilmington Trust, National Association, as the voting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trustee thereunder (the “Voting Trustee”), if the Amended Charter is approved at the Annual Meeting.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Voting Trust Agreement, CEG would, concurrently with, and contingent upon, the Class A Conversion,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deposit into a voting trust (the “Voting Trust”) a number of shares (the “Voting Trust Shares”) of our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B common stock equal to the number of shares necessary to cause the total relative voting power that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CEG holds in the Company as of immediately following the Class A Conversion to equal the total relative</w:t>
      </w:r>
    </w:p>
    <w:p>
      <w:pPr>
        <w:ind w:left="1260"/>
        <w:spacing w:after="0" w:line="234" w:lineRule="auto"/>
        <w:rPr>
          <w:sz w:val="20"/>
          <w:szCs w:val="20"/>
          <w:color w:val="auto"/>
        </w:rPr>
      </w:pPr>
      <w:r>
        <w:rPr>
          <w:rFonts w:ascii="Times New Roman" w:cs="Times New Roman" w:eastAsia="Times New Roman" w:hAnsi="Times New Roman"/>
          <w:sz w:val="18"/>
          <w:szCs w:val="18"/>
          <w:color w:val="auto"/>
        </w:rPr>
        <w:t>voting power that CEG holds in the Company as of immediately prior to the Class A Conversion. Based 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number of outstanding shares of each class of common stock on March 19, 2026, and assuming such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shares equals the number of shares of each such class of common stock outstanding immediately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prior to the Class A Conversion, the number of Voting Trust Shares that would be deposited into the Voting</w:t>
      </w:r>
    </w:p>
    <w:p>
      <w:pPr>
        <w:ind w:left="1260"/>
        <w:spacing w:after="0"/>
        <w:rPr>
          <w:sz w:val="20"/>
          <w:szCs w:val="20"/>
          <w:color w:val="auto"/>
        </w:rPr>
      </w:pPr>
      <w:r>
        <w:rPr>
          <w:rFonts w:ascii="Times New Roman" w:cs="Times New Roman" w:eastAsia="Times New Roman" w:hAnsi="Times New Roman"/>
          <w:sz w:val="18"/>
          <w:szCs w:val="18"/>
          <w:color w:val="auto"/>
        </w:rPr>
        <w:t>Trust would equal 41,683,815 shares of Class B common stock.</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Proportionate Voting</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Under the Voting Trust Agreement, on any matter presented to the Company’s stockholders for a vote, including the election or removal of directors and any corporate action (including certain proposed change of control transactions of the Company), the Voting Trustee would be required to vote the Voting Trust Shares in the same proportion as the votes cast by all stockholders of the Company (including CEG with respect to any shares not held in the Voting Trust). For any matter subject to a vote of the holders of the same class or series of securities as any Voting Trust Shares (voting separately as a class and not together with one or more other classes or series of voting securities of the Company), the Voting Trustee would be required to vote the Voting Trust Shares corresponding to such class or series in accordance with the written direction of CEG.</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Upon the declaration by the Company of any dividend or distribution with respect to any Voting Trust Shares, the Voting Trustee would instruct the Company to cause such dividend or distribution to be paid or delivered directly to CEG as if CEG itself held the Voting Trust Shares; provided, that any dividend or distribution paid in the form of voting securities of the Company would be retained by the Voting Trustee in the Voting Trust and would be subject to all of the terms and conditions of the Voting Trust Agreement.</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Under the Voting Trust Agreement, CEG would not be entitled to sell, transfer or otherwise dispose of any Voting Trust Shares, except in certain situations, including:</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4"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Voting Trust Shares (i) in a bona fide transaction to any person that is not (a) an affiliate, subsidiary, director, officer, employee, agent or other representative of CEG or (b) a person whose ownership of Voting Trust Shares would result in CEG continuing to be deemed the “beneficial owner” (as​ such term is used in Rule 13d-3 under the Exchange Act) of such Voting Trust Shares (each, a “CEG Related Person”), (ii) as collateral securing a bona fide debt financing of CEG or any of its affiliates or (iii) pursuant to any foreclosure, bankruptcy or other process as a result of which any lender or agent in respect of any such debt financing takes or transfers title to any Voting Trust Shares pledged pursuant to such debt financing;</w:t>
      </w:r>
    </w:p>
    <w:p>
      <w:pPr>
        <w:spacing w:after="0" w:line="8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Voting Trust Shares to a CEG Related Person (provided that (i) such Voting Trust Shares would be retained by the Voting Trustee in the Voting Trust and would remain subject to all of the terms and conditions of the Voting Trust Agreement and (ii) such CEG Related Person, as a condition to such transfer, agrees to be bound by the terms of the Voting Trust Agreement);</w:t>
      </w:r>
    </w:p>
    <w:p>
      <w:pPr>
        <w:spacing w:after="0" w:line="71"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CEG’s election to tender any or all Voting Trust Shares in accordance with the terms of a tender offer;</w:t>
      </w:r>
    </w:p>
    <w:p>
      <w:pPr>
        <w:spacing w:after="0" w:line="40"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CEG’s election to tender any or all Voting Trust Shares in accordance with the terms of an exchange offer (provided that any voting securities of the Company received in such exchange offer as consideration for such tendered Voting Trust Shares would be retained by the Voting Trustee in the Voting Trust and would be subject to all of the terms and conditions of the Voting Trust Agreement);</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CEG’s election to exchange Class B units of Clearway Energy LLC for shares of Class C common stock under the Amended Exchange Agreement (each, a “B/C Exchange”), in which case the shares of Class C common stock issued in such B/C Exchange would be delivered directly to CEG as if CEG itself held the Voting Trust Shares;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acquisition of Voting Trust Shares by the Company or Clearway Energy LLC;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Release (as defined below).</w:t>
      </w:r>
    </w:p>
    <w:p>
      <w:pPr>
        <w:spacing w:after="0" w:line="15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Upon completion of any transfer of Voting Trust Shares permitted under the Voting Trust Agreement, such Voting Trust Shares would no longer be subject to the terms and conditions of the Voting Trust Agreement.</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foregoing, under the Voting Trust Agreement, CEG would not be entitled to sell, transfer or otherwise dispose of any Voting Trust Shares to any person to the extent that such transfer, together with any other transfers of voting securities of the Company by CEG or any CEG Related Person to such person (but disregarding any other acquisition of voting securities of the Company by such person) would result in such person (and any “group” as that term is used in Rule 13d-3 under the Exchange Act) being transferred by CEG 90% or more of the total voting power of the Company (such number of voting securities that would otherwise be so transferred by CEG equal to the number of voting securities representing 90% or more of the total voting power of the Company, the “Excess Voting Securities”) that would permit such person to effect a merger of the Company pursuant to Section 253 of the DGCL. The foregoing restriction on transfers would not apply if the applicable transferee either (i) agrees to enter into an agreement substantially on the same terms and conditions as the Voting Trust Agreement with respect to the Excess Voting Securities or (ii) otherwise agrees with the Company to not cause a merger of the Company pursuant to Section 253 of the DGCL using and in reliance on the Excess Voting Securities.</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Share Issuances; Share Releases</w:t>
      </w:r>
    </w:p>
    <w:p>
      <w:pPr>
        <w:spacing w:after="0" w:line="14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the event the Company issues additional shares of Class C common stock (other than to CEG or a CEG Related Person) following the Class A Conversion (each such issuance, a “Class C Issuance”), CEG would be entitled to require the Voting Trustee to cause Voting Trust Shares to be released from the Voting Trust to CEG (each such release, a “Class C Issuance Share Release”) in an amount calculated pursuant to a formula set forth in the Voting Trust Agreement, which calculation would be intended to cause the total relative voting power that CEG holds in the Company as of immediately following such Class C Issuance and Class C Issuance Share Release to equal the total relative voting power that CEG would have held at such time had (i) the Class A Conversion and the Amended Charter Filing not occurred and (ii) the creation of the Voting Trust and the deposit of the initial Voting Trust Shares into the Voting Trust not occurred.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the event that, following the Class A Conversion, the Company issues additional voting securities (other than shares of Class C common stock) (other than to CEG or a CEG Related Person) or takes any other corporate action affecting the total relative voting power that CEG holds in the Company (each such issuance or corporate action, a “Specified Corporate Action”), CEG would be entitled to require the Voting Trustee to cause Voting Trust Shares to be released from the Voting Trust to CEG (each such release, an “SCA Share Release”) in an amount that would cause the total relative voting power that CEG holds in the Company as of immediately following such Specified Corporate Action and SCA Share Release to equal the total relative voting power that CEG would have held at such time had (i) the Class A Conversion and the Amended Charter Filing not occurred and (ii) the creation of the Voting Trust and the deposit of the initial Voting Trust Shares into the Voting Trust not occurred.</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the event CEG effects a B/C Exchange following the Class A Conversion, CEG would be entitled to require the Voting Trustee to cause Voting Trust Shares to be released from the Voting Trust to CEG (each such release, a “B/C Exchange Share Release” and, together with a Class C Issuance Share Release and an SCA Share Release, each a “Share Release”) in an amount that would cause the total relative voting power that CEG holds in the Company as of immediately following such B/C Exchange and B/C Exchange Share Release to equal the total relative voting power that CEG would have held at such time had (i) the Class A Conversion and the Amended Charter Filing not occurred, (ii) the creation of the Voting Trust and the deposit of the initial Voting Trust Shares into the Voting Trust not occurred and (iii) the Class B units of Clearway Energy LLC subject to such B/C Exchange been exchanged for shares of Class A common stock rather than shares of Class C common stock.</w:t>
      </w:r>
    </w:p>
    <w:p>
      <w:pPr>
        <w:spacing w:after="0" w:line="11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any Share Release, any Voting Trust Shares so released from the Voting Trust would no longer be subject to the terms and conditions of the Voting Trust Agreement.</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Term; Termination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Voting Trust would be irrevocable by CEG and would terminate only upon the earliest to occur of</w:t>
      </w:r>
    </w:p>
    <w:p>
      <w:pPr>
        <w:spacing w:after="0" w:line="16" w:lineRule="exact"/>
        <w:rPr>
          <w:sz w:val="20"/>
          <w:szCs w:val="20"/>
          <w:color w:val="auto"/>
        </w:rPr>
      </w:pPr>
    </w:p>
    <w:p>
      <w:pPr>
        <w:ind w:left="1260" w:right="1019"/>
        <w:spacing w:after="0" w:line="243" w:lineRule="auto"/>
        <w:tabs>
          <w:tab w:leader="none" w:pos="14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constituting a change of control of the Company, (ii) the dissolution or liquidation of the Company or (iii) the time at which no Voting Trust Shares remain in the Voting Trust.</w:t>
      </w:r>
    </w:p>
    <w:p>
      <w:pPr>
        <w:spacing w:after="0" w:line="11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foregoing description of the Voting Trust Agreement does not purport to be complete and is qualified in its entirety by reference to, and should be read in conjunction with, the full text of the Voting Trust Agreement, the form of which is attached to this Proxy Statement as </w:t>
      </w:r>
      <w:r>
        <w:rPr>
          <w:rFonts w:ascii="Times New Roman" w:cs="Times New Roman" w:eastAsia="Times New Roman" w:hAnsi="Times New Roman"/>
          <w:sz w:val="18"/>
          <w:szCs w:val="18"/>
          <w:i w:val="1"/>
          <w:iCs w:val="1"/>
          <w:color w:val="auto"/>
        </w:rPr>
        <w:t>Appendix C</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Exchange Agreement</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Company is a party to a Second Amended and Restated Exchange Agreement with CEG and Clearway Energy LLC (the “Exchange Agreement”). Under the Exchange Agreement, CEG (and certain permitted assignees and permitted transferees who acquire Class B units or Class D units of Clearway Energy LLC (collectively with CEG, the “CEG Unitholders”)) may, from time to time, (i) exchange its Class B units of Clearway Energy LLC for shares of Class A common stock or (ii) exchange its Class D units of Clearway Energy LLC for shares of Class C common stock, in each case, on a one-for-one basis, subject to equitable adjustments for stock splits, stock dividends and reclassifications; provided, that, upon any exchange of Class B units of Clearway Energy LLC for shares of our Class A common stock, or any exchange of Class D units of Clearway Energy LLC for shares of our Class C common stock, a corresponding number of shares of Class B common stock or Class D common stock, as applicable, will be extinguished. As of March 19, 2026, CEG owned 42,738,750 Class B units of Clearway Energy LLC that are exchangeable at any time for shares of Class A common stock. For additional information about the Exchange Agreement, see “Certain Relationships and Related Person Transactions — Exchange Agreement.”</w:t>
      </w:r>
    </w:p>
    <w:p>
      <w:pPr>
        <w:spacing w:after="0" w:line="32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our stockholders approve the Amended Charter and the Amended Charter is filed with the Delaware Secretary of State, from and after the Class A Conversion, the Company will not have authority to issue or reissue shares of Class A common stock, which will eliminate the ability of the CEG Unitholders to exchange their Class B units of Clearway Energy LLC for shares of Class A common stock. In light of these considerations, the Company, CEG and Clearway Energy LLC intend to, prior to the Annual Meeting, enter into a Third Amended and Restated Exchange Agreement (the “Amended Exchange Agreement”), pursuant to which a CEG Unitholder would be entitled to, from time to time, exchange its Class B units of</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Clearway Energy LLC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will be extinguished. Following any execution of the Amended Exchange Agreement, the Company will file such agreement with the SEC.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 Conditions Precedent to the Effectiveness of the Amended Charter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Adoption of this proposal requires the affirmative vote of:</w:t>
      </w:r>
    </w:p>
    <w:p>
      <w:pPr>
        <w:spacing w:after="0" w:line="158" w:lineRule="exact"/>
        <w:rPr>
          <w:sz w:val="20"/>
          <w:szCs w:val="20"/>
          <w:color w:val="auto"/>
        </w:rPr>
      </w:pPr>
    </w:p>
    <w:p>
      <w:pPr>
        <w:ind w:left="1980" w:right="559" w:hanging="360"/>
        <w:spacing w:after="0" w:line="225"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combined voting power of the shares of our common stock outstanding and entitled to vote on the proposal; and</w:t>
      </w:r>
    </w:p>
    <w:p>
      <w:pPr>
        <w:spacing w:after="0" w:line="130"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the shares of our Class A common stock outstanding and entitled to vote on the proposal.</w:t>
      </w:r>
    </w:p>
    <w:p>
      <w:pPr>
        <w:spacing w:after="0" w:line="81"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If approved by our stockholders at the Annual Meeting, the Amended Charter would become effective upon acceptance of its filing by the Delaware Secretary of State, which we expect to occur on the day following the Annual Meeting. If our stockholders do not approve this proposal, the Amended Charter will not be filed.</w:t>
      </w:r>
    </w:p>
    <w:p>
      <w:pPr>
        <w:spacing w:after="0" w:line="33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Additionally, the Company will not file the Amended Charter with the Delaware Secretary of State unless and until the Voting Trust Agreement has been executed by CEG and the Voting Trustee, which we expect to occur on the day following the Annual Meeting.</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Furthermore, the Board reserves the right to abandon or delay the Amended Charter Filing, without further action by our stockholders, at any time before the effectiveness of the Amended Charter, even if the proposal has been approved by our stockholders and all other conditions to the adoption of this proposal and the Amended Charter Filing have been satisfied. Although the Board does not anticipate exercising its rights to abandon or delay the Amended Charter Filing, nor does it contemplate specific events that would trigger abandonment or delay, the Board will abandon or delay such filing if, in its business judgment, the Amended Charter Filing is no longer in the best interests of the Company or our stockholders. By voting in favor of the Amended Charter, you will also be expressly authorizing the Board to determine not to proceed with, and abandon, the Amended Charter if it should decide to do so.</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Filings with the Delaware Secretary of State</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Pursuant to Section 243 of the DGCL, a corporation, by resolution of its board of directors, may retire any shares of its capital stock that are issued but are not outstanding. Whenever any such shares are retired, such shares resume the status of authorized and unissued shares of the class or series to which they belong, unless the corporation’s certificate of incorporation otherwise provides. If the corporation’s certificate of incorporation prohibits the reissuance of such shares, a certificate stating that reissuance of the shares (as part of the class or series) is prohibited, identifying the shares and reciting their retirement will be executed, acknowledged and filed with the Delaware Secretary of State and will become effective in accordance with Section 103 of the DGCL. When such certificate becomes effective, it will have the effect of amending the corporation’s certificate of incorporation so as to reduce accordingly the number of authorized shares of the class or series to which such shares belong or, if such retired shares constitute all of the authorized shares of the class or series to which they belong, of eliminating from the certificate of incorporation all references to such class or series of stock.</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Amended Charter (i) will provide that, from and after the Class A Conversion, the Company will not have authority to issue or reissue shares of Class A common stock and (ii) will reduce the total number of authorized shares of Class A common stock to 34,613,853, which is equal to the total number of shares of Class A common stock outstanding as of March 19, 2026. Accordingly, in the event the Amended Charter is approved at the Annual Meeting and filed with the Delaware Secretary of State, the Company intends to, promptly following the Class A Conversion, file with the Delaware Secretary of State (a) a certificate of retirement pursuant to Section 243 of the DGCL to retire all of the shares of Class A common stock converted in the Class A Conversion, which will also have the effect of eliminating from the Amended Charter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19"/>
        <w:spacing w:after="0" w:line="275" w:lineRule="auto"/>
        <w:rPr>
          <w:sz w:val="20"/>
          <w:szCs w:val="20"/>
          <w:color w:val="auto"/>
        </w:rPr>
      </w:pPr>
      <w:r>
        <w:rPr>
          <w:rFonts w:ascii="Times New Roman" w:cs="Times New Roman" w:eastAsia="Times New Roman" w:hAnsi="Times New Roman"/>
          <w:sz w:val="18"/>
          <w:szCs w:val="18"/>
          <w:color w:val="auto"/>
        </w:rPr>
        <w:t>all references to the Class A common stock, and (b) a restated certificate of incorporation of the Company that would restate the Amended Charter to reflect the elimination of all references to the Class A common stock.</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Certificates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From and after the Class A Conversion, physical stock certificates formerly representing shares of Class A common stock will represent an equal number of shares of Class C common stock. Following the Class A Conversion, any holder of a certificate formerly representing shares of Class A common stock may surrender such certificate to the Company at any time during normal business hours at the principal executive offices of the Company or at the office of the Company’s transfer agent, accompanied by a written request from the holder of such shares for a new certificate representing the shares of Class C common stock into which such shares were converted, and (if so required by the Company or its transfer agent) by instruments of transfer, in form satisfactory to the Company and its transfer agent, duly executed by such holder or such holder’s duly authorized attorney. The issuance of certificates for shares of Class C common stock in connection with the Class A Conversion will be made without charge to the holders of such shares for any stamp or other similar tax in respect of such issuance. However, if any such certificate is to be issued in a name other than that of the holder of the share or shares that were converted, then the holder requesting the issuance thereof must pay to the Company the amount of any tax that may be payable in respect of any transfer involved in such issuance or establish to the satisfaction of the Company that such tax has been paid or is not payable.</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will not have appraisal rights under Delaware law or under our Existing Charter or Amended Charter in connection with the Class A Conversion.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summarized below certain U.S. federal income tax consequences of the Class A Conversion based on the Internal Revenue Code (the “Code”). This summary does not discuss all aspects of federal income taxation that may be relevant to you in light of your individual circumstances. In addition, this summary does not address any state, local or foreign tax consequences of the Class A Conversion. This summary is included for general information purposes only and is not intended to constitute advice regarding the federal income tax consequences of the Class A Conversion. We have not and do not intend to seek any rulings from the U.S. Internal Revenue Service (the “IRS”) regarding the tax consequences of the Class A Conversion and, thus, there can be no assurance that the IRS will not take a contrary position or that such position would not be sustained by a court. Accordingly, you are urged to consult your own tax advisor with respect to the tax consequences of the Class A Conversion, including tax reporting requirements.</w:t>
      </w:r>
    </w:p>
    <w:p>
      <w:pPr>
        <w:spacing w:after="0" w:line="127"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Class A Conversion is intended to qualify as a recapitalization within the meaning of Section 368(a)(1)(E) of the Code and/or as an exchange described under Section 1036(a) of the Code. Assuming the Class A Conversion so qualifies:</w:t>
      </w:r>
    </w:p>
    <w:p>
      <w:pPr>
        <w:spacing w:after="0" w:line="68" w:lineRule="exact"/>
        <w:rPr>
          <w:sz w:val="20"/>
          <w:szCs w:val="20"/>
          <w:color w:val="auto"/>
        </w:rPr>
      </w:pPr>
    </w:p>
    <w:p>
      <w:pPr>
        <w:ind w:left="1800" w:right="6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is expected to be recognized for U.S. federal income tax purposes by holders of our Class A common stock upon the Class A Conversion;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aggregate basis in shares of Class C common stock received in the Class A Conversion is expected to be the same as the stockholder’s aggregate basis in its Class A common stock converted pursuant to the Class A Conversion;</w:t>
      </w:r>
    </w:p>
    <w:p>
      <w:pPr>
        <w:spacing w:after="0" w:line="8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holding period for Class C common stock is expected to include such stockholder’s holding period for the Class A common stock converted pursuant to the Class A Conversion, provided that each share of Class A common stock was held by such stockholder as a capital asset as defined in Section 1221 of the Code as of immediately prior to the Class A Conversion; and</w:t>
      </w:r>
    </w:p>
    <w:p>
      <w:pPr>
        <w:spacing w:after="0" w:line="71"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is expected to be recognized for U.S. federal income tax purposes by us upon the Class A Conversion.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Solicitations and Recommendations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have no contract, arrangement or understanding relating to the payment of, and will not, directly or indirectly, pay any commission or other remuneration to any broker, dealer, salesperson, agent or any other person in connection with the Class A Conversion or the solicitation of proxies or votes in favor of the Charter Amendment Proposal. In addition, neither our proxy solicitor, MacKenzie Partners, Inc., nor any broker, dealer, salesperson, agent or any other person is engaged or authorized to express any opinion, recommendation or judgment with respect to the relative merits and risks of the Charter Amendment Proposal or the Class A Conversion. The Board and officers of the Company, as well as employees of CEG in accordance with the services such employees perform for and on behalf of the Company pursuant to the CEG Master Services Agreement (as defined below), may solicit proxies or votes in favor of the Charter Amendment Proposal and will answer inquiries concerning the Charter Amendment Proposal and the Class A Conversion. However, no such employees will receive additional compensation for, and no such employees have been hired or appointed for the purpose of, soliciting proxies or votes in favor of the Charter Amendment Proposal or answering any such inquiries. In addition, the fees payable by us to CEG under the CEG Master Services Agreement are not contingent upon the number of proxies or votes in favor of the Charter Amendment Proposal.</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Exchange Offer</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our stockholders do not approve the Amended Charter, the Company intends to pursue certain transactions or other actions to cause all or a portion of the shares of our Class A common stock to no longer be outstanding, or to otherwise simplify the class structure of the Company’s capital stock, which actions may include the purchase of such shares in the open market, in privately negotiated transactions or through one or more tender or exchange offers.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particular, the Company may commence an offer to exchange (the “Potential Exchange Offer”) any and all shares of Class A common stock tendered in the Potential Exchange Offer for shares of Class C common stock. In exchange for each share of Class A common stock properly tendered (and not validly withdrawn) in the Potential Exchange Offer, participating holders of Class A common stock would receive one share of Class C common stock. The complete terms and conditions of the Potential Exchange Offer would be set forth in an Offer to Exchange and related letter of transmittal that would be filed with the SEC under cover of Schedule TO and sent to holders of shares of Class A common stock.</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There can be no assurance that the Company will complete the Potential Exchange Offer if our stockholders do not approve the Amended Charter. The Potential Exchange Offer would be subject to the satisfaction of certain conditions to be set forth in the Offer to Exchange, related letter of transmittal and other related documents that would be filed with the SEC with respect to the Potential Exchange Offer, and if any of such conditions are not satisfied or waived for the Potential Exchange Offer, the Potential Exchange Offer would not be completed. In addition, even if the Company completes the Potential Exchange Offer, the as-converted value of the Class C common stock our holders of Class A common stock would receive in connection with the Potential Exchange Offer may be less than the as-converted value they would have received had the Class A Conversion occurred.</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THIS PROXY STATEMENT IS NEITHER AN OFFER TO PURCHASE NOR A SOLICITATION OF AN OFFER TO SELL ANY SHARES OF CLASS A COMMON STOCK, NOR IS IT AN OFFER TO SELL OR A SOLICITATION OF AN OFFER TO BUY ANY SHARES OF CLASS C COMMON STOCK. THIS PROXY STATEMENT IS NOT A SOLICITATION FOR ACCEPTANCE OF ANY POTENTIAL EXCHANGE OFFER. ANY POTENTIAL EXCHANGE OFFER WILL BE MADE ONLY BY, AND PURSUANT TO THE TERMS OF, THE OFFER TO EXCHANGE, LETTER OF TRANSMITTAL AND OTHER RELATED DOCUMENTS FILED WITH THE SEC WITH RESPECT TO SUCH POTENTIAL EXCHANGE OFFER, IF APPLICABLE. NONE OF THE COMPANY, THE BOARD, ITS OFFICERS OR EMPLOYEES NOR ANY OTHER PERSON IS MAKING ANY RECOMMENDATION IN CONNECTION WITH ANY POTENTIAL EXCHANGE OFFER OR ANY SOLICITATION FOR TENDERS IN ANY POTENTIAL EXCHANGE OFFER.</w:t>
      </w:r>
    </w:p>
    <w:p>
      <w:pPr>
        <w:spacing w:after="0" w:line="111" w:lineRule="exact"/>
        <w:rPr>
          <w:sz w:val="20"/>
          <w:szCs w:val="20"/>
          <w:color w:val="auto"/>
        </w:rPr>
      </w:pPr>
    </w:p>
    <w:p>
      <w:pPr>
        <w:jc w:val="center"/>
        <w:ind w:left="1840" w:right="100"/>
        <w:spacing w:after="0" w:line="252"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Amended Charter as disclosed in this Proxy Statement. Proxies received by the Board will be voted “FOR” the approval of the Amended Charter unless a contrary vote is specified.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executive officers are elected by the Board annually to hold office until their successors are elected and qualified. The biographical information for each of the executive officers is provided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Craig Cornelius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46</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biographical information for Craig Cornelius, see “Proposal No. 1 — Nominees for Director.”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Kevin P. Malcarney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59</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1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Mr. Malcarney has served as the Company’s General Counsel, Corporate Secretary and Chief Compliance Officer since May 2018, and was promoted from Senior Vice President to 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w:t>
      </w:r>
    </w:p>
    <w:p>
      <w:pPr>
        <w:spacing w:after="0" w:line="3" w:lineRule="exact"/>
        <w:rPr>
          <w:sz w:val="20"/>
          <w:szCs w:val="20"/>
          <w:color w:val="auto"/>
        </w:rPr>
      </w:pPr>
    </w:p>
    <w:p>
      <w:pPr>
        <w:ind w:left="1260" w:right="799"/>
        <w:spacing w:after="0" w:line="260" w:lineRule="auto"/>
        <w:rPr>
          <w:sz w:val="20"/>
          <w:szCs w:val="20"/>
          <w:color w:val="auto"/>
        </w:rPr>
      </w:pPr>
      <w:r>
        <w:rPr>
          <w:rFonts w:ascii="Times New Roman" w:cs="Times New Roman" w:eastAsia="Times New Roman" w:hAnsi="Times New Roman"/>
          <w:sz w:val="18"/>
          <w:szCs w:val="18"/>
          <w:color w:val="auto"/>
        </w:rPr>
        <w:t>Mr. Malcarney received his JD/MBA from Rutgers University School of Law, Camden, and his BBA in Marketing from The Wharton School, University of Pennsylvania.</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Sarah Rubenstein</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48</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39"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Ms. Rubenstein has served as Executive Vice President and Chief Financial Officer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STOCK OWNERSHIP OF DIRECTORS, NAMED EXECUTIVE OFFICERS AND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OF DIRECTORS AND EXECUTIVE OFFICERS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34,613,853 shares of Class A common stock outstanding as of March 19, 2026 and 86,290,173 shares of Class C common stock outstanding as of March 19, 2026, and percentage of combined voting power is based on 78,631,266 votes represented by our outstanding Class A, Class B, Class C and Class D common stock in the aggregate as of March 19, 2026. The percentage of beneficial ownership and the percentage of combined voting power also include any shares that such person has the right to acquire within 60 days of March 19, 2026. Unless otherwise indicated, each person has sole voting and dispositive power with respect to the shares set forth in the following table.</w:t>
      </w:r>
    </w:p>
    <w:p>
      <w:pPr>
        <w:spacing w:after="0" w:line="343"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beneficial owners is Clearway Energy, Inc., 300 Carnegie Center, Suite 300, Princeton, New Jersey 08540.</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Class A Common Stock</w:t>
            </w: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Class C Common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23"/>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8"/>
        </w:trPr>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 of Class A</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 of Class C</w:t>
            </w:r>
          </w:p>
        </w:tc>
        <w:tc>
          <w:tcPr>
            <w:tcW w:w="9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 of Combined</w:t>
            </w:r>
          </w:p>
        </w:tc>
      </w:tr>
      <w:tr>
        <w:trPr>
          <w:trHeight w:val="20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20" w:type="dxa"/>
            <w:vAlign w:val="bottom"/>
          </w:tcPr>
          <w:p>
            <w:pPr>
              <w:spacing w:after="0"/>
              <w:rPr>
                <w:sz w:val="17"/>
                <w:szCs w:val="17"/>
                <w:color w:val="auto"/>
              </w:rPr>
            </w:pP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Common Stock</w:t>
            </w:r>
          </w:p>
        </w:tc>
        <w:tc>
          <w:tcPr>
            <w:tcW w:w="2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Common 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Voting Power</w:t>
            </w:r>
            <w:r>
              <w:rPr>
                <w:rFonts w:ascii="Times New Roman" w:cs="Times New Roman" w:eastAsia="Times New Roman" w:hAnsi="Times New Roman"/>
                <w:sz w:val="17"/>
                <w:szCs w:val="17"/>
                <w:b w:val="1"/>
                <w:bCs w:val="1"/>
                <w:color w:val="auto"/>
                <w:w w:val="94"/>
                <w:vertAlign w:val="superscript"/>
              </w:rPr>
              <w:t>(2)</w:t>
            </w:r>
          </w:p>
        </w:tc>
      </w:tr>
      <w:tr>
        <w:trPr>
          <w:trHeight w:val="20"/>
        </w:trPr>
        <w:tc>
          <w:tcPr>
            <w:tcW w:w="3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21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Jonathan Bram</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6"/>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Craig Cornelius</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44"/>
              <w:spacing w:after="0" w:line="117" w:lineRule="exact"/>
              <w:rPr>
                <w:sz w:val="20"/>
                <w:szCs w:val="20"/>
                <w:color w:val="auto"/>
              </w:rPr>
            </w:pPr>
            <w:r>
              <w:rPr>
                <w:rFonts w:ascii="Times New Roman" w:cs="Times New Roman" w:eastAsia="Times New Roman" w:hAnsi="Times New Roman"/>
                <w:sz w:val="12"/>
                <w:szCs w:val="12"/>
                <w:color w:val="auto"/>
                <w:w w:val="71"/>
              </w:rPr>
              <w:t>(3)</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17" w:lineRule="exact"/>
              <w:rPr>
                <w:sz w:val="20"/>
                <w:szCs w:val="20"/>
                <w:color w:val="auto"/>
              </w:rPr>
            </w:pPr>
            <w:r>
              <w:rPr>
                <w:rFonts w:ascii="Times New Roman" w:cs="Times New Roman" w:eastAsia="Times New Roman" w:hAnsi="Times New Roman"/>
                <w:sz w:val="12"/>
                <w:szCs w:val="12"/>
                <w:color w:val="auto"/>
              </w:rPr>
              <w:t>(3)</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tcPr>
          <w:p>
            <w:pPr>
              <w:jc w:val="right"/>
              <w:ind w:right="224"/>
              <w:spacing w:after="0" w:line="10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​270,326​</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jc w:val="right"/>
              <w:ind w:right="244"/>
              <w:spacing w:after="0" w:line="122" w:lineRule="exact"/>
              <w:rPr>
                <w:sz w:val="20"/>
                <w:szCs w:val="20"/>
                <w:color w:val="auto"/>
              </w:rPr>
            </w:pPr>
            <w:r>
              <w:rPr>
                <w:rFonts w:ascii="Times New Roman" w:cs="Times New Roman" w:eastAsia="Times New Roman" w:hAnsi="Times New Roman"/>
                <w:sz w:val="12"/>
                <w:szCs w:val="12"/>
                <w:color w:val="auto"/>
                <w:w w:val="71"/>
              </w:rPr>
              <w:t>(4)</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tcPr>
          <w:p>
            <w:pPr>
              <w:jc w:val="right"/>
              <w:ind w:right="224"/>
              <w:spacing w:after="0" w:line="10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74,468​</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40" w:type="dxa"/>
            <w:vAlign w:val="bottom"/>
          </w:tcPr>
          <w:p>
            <w:pPr>
              <w:jc w:val="right"/>
              <w:ind w:right="244"/>
              <w:spacing w:after="0" w:line="122" w:lineRule="exact"/>
              <w:rPr>
                <w:sz w:val="20"/>
                <w:szCs w:val="20"/>
                <w:color w:val="auto"/>
              </w:rPr>
            </w:pPr>
            <w:r>
              <w:rPr>
                <w:rFonts w:ascii="Times New Roman" w:cs="Times New Roman" w:eastAsia="Times New Roman" w:hAnsi="Times New Roman"/>
                <w:sz w:val="12"/>
                <w:szCs w:val="12"/>
                <w:color w:val="auto"/>
                <w:w w:val="71"/>
              </w:rPr>
              <w:t>(5)</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(5)</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tcPr>
          <w:p>
            <w:pPr>
              <w:jc w:val="right"/>
              <w:ind w:right="224"/>
              <w:spacing w:after="0" w:line="10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30,949​</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Nathaniel Anschuetz</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440" w:type="dxa"/>
            <w:vAlign w:val="bottom"/>
          </w:tcPr>
          <w:p>
            <w:pPr>
              <w:jc w:val="right"/>
              <w:ind w:right="244"/>
              <w:spacing w:after="0" w:line="122" w:lineRule="exact"/>
              <w:rPr>
                <w:sz w:val="20"/>
                <w:szCs w:val="20"/>
                <w:color w:val="auto"/>
              </w:rPr>
            </w:pPr>
            <w:r>
              <w:rPr>
                <w:rFonts w:ascii="Times New Roman" w:cs="Times New Roman" w:eastAsia="Times New Roman" w:hAnsi="Times New Roman"/>
                <w:sz w:val="12"/>
                <w:szCs w:val="12"/>
                <w:color w:val="auto"/>
                <w:w w:val="71"/>
              </w:rPr>
              <w:t>(6)</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(6)</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40" w:type="dxa"/>
            <w:vAlign w:val="bottom"/>
          </w:tcPr>
          <w:p>
            <w:pPr>
              <w:jc w:val="right"/>
              <w:ind w:right="224"/>
              <w:spacing w:after="0" w:line="10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89,131​</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Paige Goodwin</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Olivier Jouny</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Jennifer Lowry</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(7)</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21,221​</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Bruce MacLennan</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(8)</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65,329​</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0"/>
                <w:szCs w:val="10"/>
                <w:color w:val="auto"/>
              </w:rPr>
            </w:pPr>
          </w:p>
        </w:tc>
        <w:tc>
          <w:tcPr>
            <w:tcW w:w="760" w:type="dxa"/>
            <w:vAlign w:val="bottom"/>
          </w:tcPr>
          <w:p>
            <w:pPr>
              <w:ind w:left="360"/>
              <w:spacing w:after="0" w:line="122" w:lineRule="exact"/>
              <w:rPr>
                <w:sz w:val="20"/>
                <w:szCs w:val="20"/>
                <w:color w:val="auto"/>
              </w:rPr>
            </w:pPr>
            <w:r>
              <w:rPr>
                <w:rFonts w:ascii="Times New Roman" w:cs="Times New Roman" w:eastAsia="Times New Roman" w:hAnsi="Times New Roman"/>
                <w:sz w:val="12"/>
                <w:szCs w:val="12"/>
                <w:color w:val="auto"/>
              </w:rPr>
              <w:t>(9)</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gridSpan w:val="2"/>
          </w:tcPr>
          <w:p>
            <w:pPr>
              <w:jc w:val="right"/>
              <w:ind w:right="268"/>
              <w:spacing w:after="0" w:line="108" w:lineRule="exact"/>
              <w:rPr>
                <w:sz w:val="20"/>
                <w:szCs w:val="20"/>
                <w:color w:val="auto"/>
              </w:rPr>
            </w:pPr>
            <w:r>
              <w:rPr>
                <w:rFonts w:ascii="Times New Roman" w:cs="Times New Roman" w:eastAsia="Times New Roman" w:hAnsi="Times New Roman"/>
                <w:sz w:val="12"/>
                <w:szCs w:val="12"/>
                <w:color w:val="auto"/>
              </w:rPr>
              <w:t>​ 82,647​</w:t>
            </w: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Marc-Antoine Pignon</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vMerge w:val="restart"/>
          </w:tcPr>
          <w:p>
            <w:pPr>
              <w:jc w:val="right"/>
              <w:ind w:right="184"/>
              <w:spacing w:after="0"/>
              <w:rPr>
                <w:sz w:val="20"/>
                <w:szCs w:val="20"/>
                <w:color w:val="auto"/>
              </w:rPr>
            </w:pPr>
            <w:r>
              <w:rPr>
                <w:rFonts w:ascii="Times New Roman" w:cs="Times New Roman" w:eastAsia="Times New Roman" w:hAnsi="Times New Roman"/>
                <w:sz w:val="12"/>
                <w:szCs w:val="12"/>
                <w:color w:val="auto"/>
                <w:w w:val="79"/>
              </w:rPr>
              <w:t>(10)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auto"/>
              </w:rPr>
              <w:t>(10)</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group (13 people)</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440" w:type="dxa"/>
            <w:vAlign w:val="bottom"/>
            <w:vMerge w:val="continue"/>
          </w:tcPr>
          <w:p>
            <w:pPr>
              <w:spacing w:after="0"/>
              <w:rPr>
                <w:sz w:val="9"/>
                <w:szCs w:val="9"/>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8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​634,071​</w:t>
            </w:r>
          </w:p>
        </w:tc>
        <w:tc>
          <w:tcPr>
            <w:tcW w:w="58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-1965325</wp:posOffset>
            </wp:positionV>
            <wp:extent cx="52120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-1673860</wp:posOffset>
            </wp:positionV>
            <wp:extent cx="521208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-1382395</wp:posOffset>
            </wp:positionV>
            <wp:extent cx="52120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-1090930</wp:posOffset>
            </wp:positionV>
            <wp:extent cx="521208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-799465</wp:posOffset>
            </wp:positionV>
            <wp:extent cx="521208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-508000</wp:posOffset>
            </wp:positionV>
            <wp:extent cx="52120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0" w:lineRule="exact"/>
        <w:rPr>
          <w:sz w:val="20"/>
          <w:szCs w:val="20"/>
          <w:color w:val="auto"/>
        </w:rPr>
      </w:pPr>
    </w:p>
    <w:p>
      <w:pPr>
        <w:ind w:left="1620" w:right="89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outstanding Class A common stock, Class C common stock or combined voting power, as applicable.</w:t>
      </w:r>
    </w:p>
    <w:p>
      <w:pPr>
        <w:spacing w:after="0" w:line="13" w:lineRule="exact"/>
        <w:rPr>
          <w:sz w:val="20"/>
          <w:szCs w:val="20"/>
          <w:color w:val="auto"/>
        </w:rPr>
      </w:pPr>
    </w:p>
    <w:p>
      <w:pPr>
        <w:ind w:left="1620" w:right="559" w:hanging="360"/>
        <w:spacing w:after="0" w:line="258"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4" w:lineRule="exact"/>
        <w:rPr>
          <w:rFonts w:ascii="Times New Roman" w:cs="Times New Roman" w:eastAsia="Times New Roman" w:hAnsi="Times New Roman"/>
          <w:sz w:val="18"/>
          <w:szCs w:val="18"/>
          <w:color w:val="auto"/>
        </w:rPr>
      </w:pPr>
    </w:p>
    <w:p>
      <w:pPr>
        <w:ind w:left="1620" w:right="439"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26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49,185 restricted stock units (“RSUs”), 15,737 DERs and 139,891 relative performance stock units (“RPSUs”). Each RSU represents the right to receive one share of Class C common stock</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spacing w:after="0" w:line="250" w:lineRule="auto"/>
        <w:rPr>
          <w:sz w:val="20"/>
          <w:szCs w:val="20"/>
          <w:color w:val="auto"/>
        </w:rPr>
      </w:pPr>
      <w:r>
        <w:rPr>
          <w:rFonts w:ascii="Times New Roman" w:cs="Times New Roman" w:eastAsia="Times New Roman" w:hAnsi="Times New Roman"/>
          <w:sz w:val="18"/>
          <w:szCs w:val="18"/>
          <w:color w:val="auto"/>
        </w:rPr>
        <w:t>upon vesting. Each RPSU represents the potential to receive Class C common stock based upon the Company achieving a certain level of total shareholder return relative to the Company’s peer group over a three- 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29" w:lineRule="exact"/>
        <w:rPr>
          <w:sz w:val="20"/>
          <w:szCs w:val="20"/>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560 DERs to be paid in Class C common stock. Excludes 7,182 RSUs, 5,425 DERs and</w:t>
      </w:r>
    </w:p>
    <w:p>
      <w:pPr>
        <w:spacing w:after="0" w:line="27" w:lineRule="exact"/>
        <w:rPr>
          <w:rFonts w:ascii="Times New Roman" w:cs="Times New Roman" w:eastAsia="Times New Roman" w:hAnsi="Times New Roman"/>
          <w:sz w:val="18"/>
          <w:szCs w:val="18"/>
          <w:color w:val="auto"/>
        </w:rPr>
      </w:pPr>
    </w:p>
    <w:p>
      <w:pPr>
        <w:ind w:left="162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38,872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1"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515 DERs to be paid in Class C common stock. Excludes 14,426 RSUs, 5,703 DERs and 30,369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0"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4,547 DSUs and 4,238 outstanding DERs to be paid in Class A common stock and 62,792 DSUs and 26,339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39" w:lineRule="exact"/>
        <w:rPr>
          <w:rFonts w:ascii="Times New Roman" w:cs="Times New Roman" w:eastAsia="Times New Roman" w:hAnsi="Times New Roman"/>
          <w:sz w:val="18"/>
          <w:szCs w:val="18"/>
          <w:color w:val="auto"/>
        </w:rPr>
      </w:pPr>
    </w:p>
    <w:p>
      <w:pPr>
        <w:ind w:left="1620" w:right="5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17,788 DSUs and 2,630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59"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50,707 DSUs and 12,045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59"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58,074 DSUs and 11,709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25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total holdings of directors and all executive officers as a group.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OF PRINCIPAL STOCKHOLDERS</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the BlackRock Advisory Entities (as defined below) and the TotalEnergies Entities (as defined below), percentage of beneficial ownership is based on 34,613,853 shares of Class A common stock outstanding as of March 19, 2026 and 86,290,173 shares of Class C common stock outstanding as of March 19, 2026, and percentage of combined voting power is based on 78,631,266 votes represented by our outstanding Class A, Class B, Class C and Class D common stock in the aggregate as of March 19, 2026. For the GIP Entities, the BlackRock Advisory Entities and the TotalEnergies Entities, percentage of beneficial ownership is based on 34,613,853 shares of Class A common stock outstanding as of March 19, 2026 and 86,290,173 shares of Class C common stock outstanding as of March 19, 2026, plus any shares exchangeable into Class A or Class C common stock within 60 days of March 19, 2026,</w:t>
      </w:r>
    </w:p>
    <w:p>
      <w:pPr>
        <w:spacing w:after="0" w:line="2"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and percentage of combined voting power is based on 78,631,266 votes represented by our outstanding Class A, Class B, Class C and Class D common stock in the aggregate as of March 19, 2026. The GIP Entities and the TotalEnergies Entities are the shared beneficial owners of our Class B and Class D common stock.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7"/>
                <w:szCs w:val="17"/>
                <w:color w:val="auto"/>
              </w:rPr>
            </w:pPr>
          </w:p>
        </w:tc>
        <w:tc>
          <w:tcPr>
            <w:tcW w:w="1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Class C Common Stock</w:t>
            </w:r>
          </w:p>
        </w:tc>
        <w:tc>
          <w:tcPr>
            <w:tcW w:w="2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Common Stock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 of Class A</w:t>
            </w: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 of Class C</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 of Combined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6"/>
                <w:szCs w:val="16"/>
                <w:color w:val="auto"/>
              </w:rPr>
            </w:pPr>
          </w:p>
        </w:tc>
        <w:tc>
          <w:tcPr>
            <w:tcW w:w="900" w:type="dxa"/>
            <w:vAlign w:val="bottom"/>
          </w:tcPr>
          <w:p>
            <w:pPr>
              <w:ind w:left="40"/>
              <w:spacing w:after="0" w:line="187"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5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6"/>
                <w:szCs w:val="16"/>
                <w:color w:val="auto"/>
              </w:rPr>
            </w:pPr>
          </w:p>
        </w:tc>
        <w:tc>
          <w:tcPr>
            <w:tcW w:w="880" w:type="dxa"/>
            <w:vAlign w:val="bottom"/>
          </w:tcPr>
          <w:p>
            <w:pPr>
              <w:ind w:left="40"/>
              <w:spacing w:after="0" w:line="187"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6"/>
                <w:szCs w:val="16"/>
                <w:color w:val="auto"/>
              </w:rPr>
            </w:pPr>
          </w:p>
        </w:tc>
        <w:tc>
          <w:tcPr>
            <w:tcW w:w="5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3"/>
              </w:rPr>
              <w:t>Power</w:t>
            </w:r>
            <w:r>
              <w:rPr>
                <w:rFonts w:ascii="Times New Roman" w:cs="Times New Roman" w:eastAsia="Times New Roman" w:hAnsi="Times New Roman"/>
                <w:sz w:val="17"/>
                <w:szCs w:val="17"/>
                <w:b w:val="1"/>
                <w:bCs w:val="1"/>
                <w:color w:val="auto"/>
                <w:w w:val="93"/>
                <w:vertAlign w:val="superscript"/>
              </w:rPr>
              <w:t>(2)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238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GIP Entities and BlackRock</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1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center"/>
              <w:ind w:left="360"/>
              <w:spacing w:after="0" w:line="188" w:lineRule="exact"/>
              <w:rPr>
                <w:sz w:val="20"/>
                <w:szCs w:val="20"/>
                <w:color w:val="auto"/>
              </w:rPr>
            </w:pPr>
            <w:r>
              <w:rPr>
                <w:rFonts w:ascii="Times New Roman" w:cs="Times New Roman" w:eastAsia="Times New Roman" w:hAnsi="Times New Roman"/>
                <w:sz w:val="17"/>
                <w:szCs w:val="17"/>
                <w:color w:val="auto"/>
                <w:w w:val="70"/>
              </w:rPr>
              <w:t> </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36"/>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1"/>
                <w:szCs w:val="11"/>
                <w:color w:val="auto"/>
                <w:w w:val="71"/>
              </w:rPr>
              <w:t> </w:t>
            </w: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shd w:val="clear" w:color="auto" w:fill="CCEEFF"/>
          </w:tcPr>
          <w:p>
            <w:pPr>
              <w:ind w:left="2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 </w:t>
            </w: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right w:val="single" w:sz="8" w:color="CCEEFF"/>
            </w:tcBorders>
            <w:shd w:val="clear" w:color="auto" w:fill="CCEEFF"/>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Entities</w:t>
            </w:r>
          </w:p>
        </w:tc>
        <w:tc>
          <w:tcPr>
            <w:tcW w:w="1140" w:type="dxa"/>
            <w:vAlign w:val="bottom"/>
            <w:gridSpan w:val="2"/>
            <w:shd w:val="clear" w:color="auto" w:fill="CCEEFF"/>
          </w:tcPr>
          <w:p>
            <w:pPr>
              <w:ind w:left="160"/>
              <w:spacing w:after="0" w:line="220" w:lineRule="exact"/>
              <w:rPr>
                <w:sz w:val="20"/>
                <w:szCs w:val="20"/>
                <w:color w:val="auto"/>
              </w:rPr>
            </w:pPr>
            <w:r>
              <w:rPr>
                <w:rFonts w:ascii="Times New Roman" w:cs="Times New Roman" w:eastAsia="Times New Roman" w:hAnsi="Times New Roman"/>
                <w:sz w:val="18"/>
                <w:szCs w:val="18"/>
                <w:color w:val="auto"/>
                <w:w w:val="97"/>
              </w:rPr>
              <w:t>42,824,670</w:t>
            </w:r>
            <w:r>
              <w:rPr>
                <w:rFonts w:ascii="Times New Roman" w:cs="Times New Roman" w:eastAsia="Times New Roman" w:hAnsi="Times New Roman"/>
                <w:sz w:val="23"/>
                <w:szCs w:val="23"/>
                <w:color w:val="auto"/>
                <w:w w:val="97"/>
                <w:vertAlign w:val="superscript"/>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8"/>
                <w:szCs w:val="18"/>
                <w:color w:val="auto"/>
                <w:w w:val="95"/>
              </w:rPr>
              <w:t>42,556,814</w:t>
            </w:r>
            <w:r>
              <w:rPr>
                <w:rFonts w:ascii="Times New Roman" w:cs="Times New Roman" w:eastAsia="Times New Roman" w:hAnsi="Times New Roman"/>
                <w:sz w:val="23"/>
                <w:szCs w:val="23"/>
                <w:color w:val="auto"/>
                <w:w w:val="95"/>
                <w:vertAlign w:val="superscript"/>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18"/>
                <w:szCs w:val="18"/>
                <w:color w:val="auto"/>
              </w:rPr>
              <w:t>55.00%</w:t>
            </w:r>
            <w:r>
              <w:rPr>
                <w:rFonts w:ascii="Times New Roman" w:cs="Times New Roman" w:eastAsia="Times New Roman" w:hAnsi="Times New Roman"/>
                <w:sz w:val="23"/>
                <w:szCs w:val="23"/>
                <w:color w:val="auto"/>
                <w:vertAlign w:val="superscript"/>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New York 10001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TotalEnergies Entities</w:t>
            </w:r>
          </w:p>
        </w:tc>
        <w:tc>
          <w:tcPr>
            <w:tcW w:w="124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7"/>
                <w:szCs w:val="17"/>
                <w:color w:val="auto"/>
              </w:rPr>
              <w:t>​42,760,591</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w:t>
            </w:r>
          </w:p>
        </w:tc>
        <w:tc>
          <w:tcPr>
            <w:tcW w:w="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​55.28% ​​ ​</w:t>
            </w:r>
          </w:p>
        </w:tc>
        <w:tc>
          <w:tcPr>
            <w:tcW w:w="13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7"/>
                <w:szCs w:val="17"/>
                <w:color w:val="auto"/>
              </w:rPr>
              <w:t>​41,743,231</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7"/>
                <w:szCs w:val="17"/>
                <w:color w:val="auto"/>
              </w:rPr>
              <w:t xml:space="preserve"> ​​ ​</w:t>
            </w:r>
          </w:p>
        </w:tc>
        <w:tc>
          <w:tcPr>
            <w:tcW w:w="1000" w:type="dxa"/>
            <w:vAlign w:val="bottom"/>
            <w:gridSpan w:val="4"/>
          </w:tcPr>
          <w:p>
            <w:pPr>
              <w:ind w:left="200"/>
              <w:spacing w:after="0" w:line="198" w:lineRule="exact"/>
              <w:rPr>
                <w:sz w:val="20"/>
                <w:szCs w:val="20"/>
                <w:color w:val="auto"/>
              </w:rPr>
            </w:pPr>
            <w:r>
              <w:rPr>
                <w:rFonts w:ascii="Times New Roman" w:cs="Times New Roman" w:eastAsia="Times New Roman" w:hAnsi="Times New Roman"/>
                <w:sz w:val="18"/>
                <w:szCs w:val="18"/>
                <w:color w:val="auto"/>
              </w:rPr>
              <w:t>​32.65% ​​ ​</w:t>
            </w:r>
          </w:p>
        </w:tc>
        <w:tc>
          <w:tcPr>
            <w:tcW w:w="9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7"/>
                <w:szCs w:val="17"/>
                <w:color w:val="auto"/>
              </w:rPr>
              <w:t>​54.91%</w:t>
            </w:r>
            <w:r>
              <w:rPr>
                <w:rFonts w:ascii="Times New Roman" w:cs="Times New Roman" w:eastAsia="Times New Roman" w:hAnsi="Times New Roman"/>
                <w:sz w:val="22"/>
                <w:szCs w:val="22"/>
                <w:color w:val="auto"/>
                <w:vertAlign w:val="superscript"/>
              </w:rPr>
              <w:t>(6)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 place Jean Millier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 Défense 6, 92400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Courbevoie, France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Income Partners</w:t>
            </w:r>
          </w:p>
        </w:tc>
        <w:tc>
          <w:tcPr>
            <w:tcW w:w="1240" w:type="dxa"/>
            <w:vAlign w:val="bottom"/>
            <w:gridSpan w:val="4"/>
            <w:shd w:val="clear" w:color="auto" w:fill="CCEEFF"/>
          </w:tcPr>
          <w:p>
            <w:pPr>
              <w:ind w:left="160"/>
              <w:spacing w:after="0" w:line="198" w:lineRule="exact"/>
              <w:rPr>
                <w:sz w:val="20"/>
                <w:szCs w:val="20"/>
                <w:color w:val="auto"/>
              </w:rPr>
            </w:pPr>
            <w:r>
              <w:rPr>
                <w:rFonts w:ascii="Times New Roman" w:cs="Times New Roman" w:eastAsia="Times New Roman" w:hAnsi="Times New Roman"/>
                <w:sz w:val="17"/>
                <w:szCs w:val="17"/>
                <w:color w:val="auto"/>
              </w:rPr>
              <w:t>​ 2,265,330</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6.54% ​​ ​</w:t>
            </w:r>
          </w:p>
        </w:tc>
        <w:tc>
          <w:tcPr>
            <w:tcW w:w="2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44"/>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 2.88%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Wright Street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Westport, Connecticut 06880</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BlackRock, Inc.</w:t>
            </w:r>
          </w:p>
        </w:tc>
        <w:tc>
          <w:tcPr>
            <w:tcW w:w="124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7"/>
                <w:szCs w:val="17"/>
                <w:color w:val="auto"/>
              </w:rPr>
              <w:t>​ 4,481,251</w:t>
            </w:r>
            <w:r>
              <w:rPr>
                <w:rFonts w:ascii="Times New Roman" w:cs="Times New Roman" w:eastAsia="Times New Roman" w:hAnsi="Times New Roman"/>
                <w:sz w:val="22"/>
                <w:szCs w:val="22"/>
                <w:color w:val="auto"/>
                <w:vertAlign w:val="superscript"/>
              </w:rPr>
              <w:t>(8)</w:t>
            </w:r>
            <w:r>
              <w:rPr>
                <w:rFonts w:ascii="Times New Roman" w:cs="Times New Roman" w:eastAsia="Times New Roman" w:hAnsi="Times New Roman"/>
                <w:sz w:val="17"/>
                <w:szCs w:val="17"/>
                <w:color w:val="auto"/>
              </w:rPr>
              <w:t xml:space="preserve"> ​</w:t>
            </w:r>
          </w:p>
        </w:tc>
        <w:tc>
          <w:tcPr>
            <w:tcW w:w="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​12.95% ​​ ​</w:t>
            </w:r>
          </w:p>
        </w:tc>
        <w:tc>
          <w:tcPr>
            <w:tcW w:w="136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7"/>
                <w:szCs w:val="17"/>
                <w:color w:val="auto"/>
              </w:rPr>
              <w:t>​11,459,562</w:t>
            </w:r>
            <w:r>
              <w:rPr>
                <w:rFonts w:ascii="Times New Roman" w:cs="Times New Roman" w:eastAsia="Times New Roman" w:hAnsi="Times New Roman"/>
                <w:sz w:val="22"/>
                <w:szCs w:val="22"/>
                <w:color w:val="auto"/>
                <w:vertAlign w:val="superscript"/>
              </w:rPr>
              <w:t>(8)</w:t>
            </w:r>
            <w:r>
              <w:rPr>
                <w:rFonts w:ascii="Times New Roman" w:cs="Times New Roman" w:eastAsia="Times New Roman" w:hAnsi="Times New Roman"/>
                <w:sz w:val="17"/>
                <w:szCs w:val="17"/>
                <w:color w:val="auto"/>
              </w:rPr>
              <w:t xml:space="preserve"> ​​ ​</w:t>
            </w:r>
          </w:p>
        </w:tc>
        <w:tc>
          <w:tcPr>
            <w:tcW w:w="1000" w:type="dxa"/>
            <w:vAlign w:val="bottom"/>
            <w:gridSpan w:val="4"/>
          </w:tcPr>
          <w:p>
            <w:pPr>
              <w:ind w:left="200"/>
              <w:spacing w:after="0" w:line="198" w:lineRule="exact"/>
              <w:rPr>
                <w:sz w:val="20"/>
                <w:szCs w:val="20"/>
                <w:color w:val="auto"/>
              </w:rPr>
            </w:pPr>
            <w:r>
              <w:rPr>
                <w:rFonts w:ascii="Times New Roman" w:cs="Times New Roman" w:eastAsia="Times New Roman" w:hAnsi="Times New Roman"/>
                <w:sz w:val="18"/>
                <w:szCs w:val="18"/>
                <w:color w:val="auto"/>
              </w:rPr>
              <w:t>​13.28% ​​ ​</w:t>
            </w:r>
          </w:p>
        </w:tc>
        <w:tc>
          <w:tcPr>
            <w:tcW w:w="9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 5.84%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New York 10001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w:t>
            </w:r>
          </w:p>
        </w:tc>
        <w:tc>
          <w:tcPr>
            <w:tcW w:w="1240" w:type="dxa"/>
            <w:vAlign w:val="bottom"/>
            <w:gridSpan w:val="4"/>
            <w:shd w:val="clear" w:color="auto" w:fill="CCEEFF"/>
          </w:tcPr>
          <w:p>
            <w:pPr>
              <w:ind w:left="160"/>
              <w:spacing w:after="0" w:line="198" w:lineRule="exact"/>
              <w:rPr>
                <w:sz w:val="20"/>
                <w:szCs w:val="20"/>
                <w:color w:val="auto"/>
              </w:rPr>
            </w:pPr>
            <w:r>
              <w:rPr>
                <w:rFonts w:ascii="Times New Roman" w:cs="Times New Roman" w:eastAsia="Times New Roman" w:hAnsi="Times New Roman"/>
                <w:sz w:val="17"/>
                <w:szCs w:val="17"/>
                <w:color w:val="auto"/>
              </w:rPr>
              <w:t>​ 4,061,716</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​11.73% ​​ ​</w:t>
            </w:r>
          </w:p>
        </w:tc>
        <w:tc>
          <w:tcPr>
            <w:tcW w:w="136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7"/>
                <w:szCs w:val="17"/>
                <w:color w:val="auto"/>
              </w:rPr>
              <w:t>​ 9,568,569</w:t>
            </w:r>
            <w:r>
              <w:rPr>
                <w:rFonts w:ascii="Times New Roman" w:cs="Times New Roman" w:eastAsia="Times New Roman" w:hAnsi="Times New Roman"/>
                <w:sz w:val="22"/>
                <w:szCs w:val="22"/>
                <w:color w:val="auto"/>
                <w:vertAlign w:val="superscript"/>
              </w:rPr>
              <w:t>(9)</w:t>
            </w:r>
            <w:r>
              <w:rPr>
                <w:rFonts w:ascii="Times New Roman" w:cs="Times New Roman" w:eastAsia="Times New Roman" w:hAnsi="Times New Roman"/>
                <w:sz w:val="17"/>
                <w:szCs w:val="17"/>
                <w:color w:val="auto"/>
              </w:rPr>
              <w:t xml:space="preserve"> ​​ ​</w:t>
            </w:r>
          </w:p>
        </w:tc>
        <w:tc>
          <w:tcPr>
            <w:tcW w:w="1000" w:type="dxa"/>
            <w:vAlign w:val="bottom"/>
            <w:gridSpan w:val="4"/>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​11.09% ​​ ​</w:t>
            </w:r>
          </w:p>
        </w:tc>
        <w:tc>
          <w:tcPr>
            <w:tcW w:w="960" w:type="dxa"/>
            <w:vAlign w:val="bottom"/>
            <w:tcBorders>
              <w:right w:val="single" w:sz="8" w:color="CCEEFF"/>
            </w:tcBorders>
            <w:gridSpan w:val="2"/>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 5.29%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Vanguard Boulevard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Malvern, Pennsylvania,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19355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Morgan Stanley</w:t>
            </w:r>
          </w:p>
        </w:tc>
        <w:tc>
          <w:tcPr>
            <w:tcW w:w="1240" w:type="dxa"/>
            <w:vAlign w:val="bottom"/>
            <w:gridSpan w:val="4"/>
          </w:tcPr>
          <w:p>
            <w:pPr>
              <w:ind w:left="160"/>
              <w:spacing w:after="0" w:line="198" w:lineRule="exact"/>
              <w:rPr>
                <w:sz w:val="20"/>
                <w:szCs w:val="20"/>
                <w:color w:val="auto"/>
              </w:rPr>
            </w:pPr>
            <w:r>
              <w:rPr>
                <w:rFonts w:ascii="Times New Roman" w:cs="Times New Roman" w:eastAsia="Times New Roman" w:hAnsi="Times New Roman"/>
                <w:sz w:val="17"/>
                <w:szCs w:val="17"/>
                <w:color w:val="auto"/>
              </w:rPr>
              <w:t>​ 1,828,361</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7"/>
                <w:szCs w:val="17"/>
                <w:color w:val="auto"/>
              </w:rPr>
              <w:t>​</w:t>
            </w:r>
          </w:p>
        </w:tc>
        <w:tc>
          <w:tcPr>
            <w:tcW w:w="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 5.28% ​​ ​</w:t>
            </w:r>
          </w:p>
        </w:tc>
        <w:tc>
          <w:tcPr>
            <w:tcW w:w="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44"/>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 2.33%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1585 Broadway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New York 10036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auto"/>
              </w:rPr>
              <w:t>​ 4,836,937</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ClearBridge Investments</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4"/>
            <w:vMerge w:val="continue"/>
          </w:tcPr>
          <w:p>
            <w:pPr>
              <w:spacing w:after="0"/>
              <w:rPr>
                <w:sz w:val="18"/>
                <w:szCs w:val="18"/>
                <w:color w:val="auto"/>
              </w:rPr>
            </w:pPr>
          </w:p>
        </w:tc>
        <w:tc>
          <w:tcPr>
            <w:tcW w:w="1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5.61% ​​ ​</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0.06%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One Madison Ave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New York</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10010 and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8229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82296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-3436620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-3436620</wp:posOffset>
            </wp:positionV>
            <wp:extent cx="120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-3436620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-3436620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-3436620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Level 13, 35 Clarence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Sydney, Australia 2000</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Class C Common Stock</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of Class A</w:t>
            </w: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of Class C</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Combined</w:t>
            </w:r>
          </w:p>
        </w:tc>
      </w:t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Voting</w:t>
            </w:r>
          </w:p>
        </w:tc>
      </w:tr>
      <w:tr>
        <w:trPr>
          <w:trHeight w:val="187"/>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300"/>
              <w:spacing w:after="0" w:line="187"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p>
        </w:tc>
        <w:tc>
          <w:tcPr>
            <w:tcW w:w="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40"/>
              <w:spacing w:after="0" w:line="187" w:lineRule="exact"/>
              <w:rPr>
                <w:sz w:val="20"/>
                <w:szCs w:val="20"/>
                <w:color w:val="auto"/>
              </w:rPr>
            </w:pPr>
            <w:r>
              <w:rPr>
                <w:rFonts w:ascii="Times New Roman" w:cs="Times New Roman" w:eastAsia="Times New Roman" w:hAnsi="Times New Roman"/>
                <w:sz w:val="14"/>
                <w:szCs w:val="14"/>
                <w:b w:val="1"/>
                <w:bCs w:val="1"/>
                <w:color w:val="auto"/>
                <w:w w:val="98"/>
              </w:rPr>
              <w:t>Number</w:t>
            </w:r>
            <w:r>
              <w:rPr>
                <w:rFonts w:ascii="Times New Roman" w:cs="Times New Roman" w:eastAsia="Times New Roman" w:hAnsi="Times New Roman"/>
                <w:sz w:val="17"/>
                <w:szCs w:val="17"/>
                <w:b w:val="1"/>
                <w:bCs w:val="1"/>
                <w:color w:val="auto"/>
                <w:w w:val="98"/>
                <w:vertAlign w:val="superscript"/>
              </w:rPr>
              <w:t>(1)</w:t>
            </w: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3"/>
              </w:rPr>
              <w:t>Power</w:t>
            </w:r>
            <w:r>
              <w:rPr>
                <w:rFonts w:ascii="Times New Roman" w:cs="Times New Roman" w:eastAsia="Times New Roman" w:hAnsi="Times New Roman"/>
                <w:sz w:val="17"/>
                <w:szCs w:val="17"/>
                <w:b w:val="1"/>
                <w:bCs w:val="1"/>
                <w:color w:val="auto"/>
                <w:w w:val="93"/>
                <w:vertAlign w:val="superscript"/>
              </w:rPr>
              <w:t>(2)</w:t>
            </w:r>
          </w:p>
        </w:tc>
      </w:tr>
      <w:tr>
        <w:trPr>
          <w:trHeight w:val="191"/>
        </w:trPr>
        <w:tc>
          <w:tcPr>
            <w:tcW w:w="2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First Trust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 1,773,795</w:t>
            </w:r>
            <w:r>
              <w:rPr>
                <w:rFonts w:ascii="Times New Roman" w:cs="Times New Roman" w:eastAsia="Times New Roman" w:hAnsi="Times New Roman"/>
                <w:sz w:val="22"/>
                <w:szCs w:val="22"/>
                <w:color w:val="auto"/>
                <w:vertAlign w:val="superscript"/>
              </w:rPr>
              <w:t>(12)</w:t>
            </w:r>
          </w:p>
        </w:tc>
        <w:tc>
          <w:tcPr>
            <w:tcW w:w="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auto"/>
              </w:rPr>
              <w:t>​ 5.12% ​</w:t>
            </w:r>
          </w:p>
        </w:tc>
        <w:tc>
          <w:tcPr>
            <w:tcW w:w="88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 —  ​</w:t>
            </w:r>
          </w:p>
        </w:tc>
        <w:tc>
          <w:tcPr>
            <w:tcW w:w="940" w:type="dxa"/>
            <w:vAlign w:val="bottom"/>
            <w:shd w:val="clear" w:color="auto" w:fill="CCEEFF"/>
          </w:tcPr>
          <w:p>
            <w:pPr>
              <w:ind w:left="260"/>
              <w:spacing w:after="0" w:line="191" w:lineRule="exact"/>
              <w:rPr>
                <w:sz w:val="20"/>
                <w:szCs w:val="20"/>
                <w:color w:val="auto"/>
              </w:rPr>
            </w:pPr>
            <w:r>
              <w:rPr>
                <w:rFonts w:ascii="Times New Roman" w:cs="Times New Roman" w:eastAsia="Times New Roman" w:hAnsi="Times New Roman"/>
                <w:sz w:val="18"/>
                <w:szCs w:val="18"/>
                <w:color w:val="auto"/>
              </w:rPr>
              <w:t>​  —   ​</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8"/>
                <w:szCs w:val="18"/>
                <w:color w:val="auto"/>
              </w:rPr>
              <w:t>​ 2.26%  ​</w:t>
            </w: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 East Liberty Drive,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Suite 400</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Wheaton, Illinois 60187</w:t>
            </w: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-556895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-556895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-556895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-556895</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-556895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89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outstanding Class A common stock, Class C common stock or combined voting power, as applicable.</w:t>
      </w:r>
    </w:p>
    <w:p>
      <w:pPr>
        <w:spacing w:after="0" w:line="27" w:lineRule="exact"/>
        <w:rPr>
          <w:sz w:val="20"/>
          <w:szCs w:val="20"/>
          <w:color w:val="auto"/>
        </w:rPr>
      </w:pPr>
    </w:p>
    <w:p>
      <w:pPr>
        <w:ind w:left="1620" w:right="559" w:hanging="360"/>
        <w:spacing w:after="0" w:line="258"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4" w:lineRule="exact"/>
        <w:rPr>
          <w:rFonts w:ascii="Times New Roman" w:cs="Times New Roman" w:eastAsia="Times New Roman" w:hAnsi="Times New Roman"/>
          <w:sz w:val="18"/>
          <w:szCs w:val="18"/>
          <w:color w:val="auto"/>
        </w:rPr>
      </w:pPr>
    </w:p>
    <w:p>
      <w:pPr>
        <w:ind w:left="1620" w:right="459"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263" w:lineRule="exact"/>
        <w:rPr>
          <w:rFonts w:ascii="Times New Roman" w:cs="Times New Roman" w:eastAsia="Times New Roman" w:hAnsi="Times New Roman"/>
          <w:sz w:val="18"/>
          <w:szCs w:val="18"/>
          <w:color w:val="auto"/>
        </w:rPr>
      </w:pPr>
    </w:p>
    <w:p>
      <w:pPr>
        <w:ind w:left="1620" w:right="419" w:hanging="360"/>
        <w:spacing w:after="0" w:line="25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 amounts differ from the information set forth in the Schedule 13D/A filed on September 16, 2025 (the “GIP/BlackRock 13D/A”) by BlackRock Portfolio Management LLC, an indirect wholly owned subsidiary of BlackRock (“BPM”). In the GIP/BlackRock 13D/A, BPM reported that, as of September 12, 2025, (i) Global Infrastructure Investors III, LLC, Global Infrastructure GP III, L.P., GIP III Zephyr Midco Holdings, L.P., Zephyr Holdings GP, LLC, GIP III Zephyr Acquisition Partners, L.P., and CEG (collectively, the “GIP Entities”) beneficially owned 42,760,591 shares of our Class A common stock and 41,675,865 shares of our Class C common stock, (ii) certain of BlackRock’s investment adviser subsidiaries (collectively, the “BlackRock Advisory Entities”), in their capacity as investment advisers to certain client accounts of BlackRock, beneficially owned 64,079 shares of our Class A common stock and 813,583 shares of our Class C common stock and (iii) the GIP Entities and the BlackRock Advisory Entities collectively had sole voting power and sole dispositive power over 42,824,670 shares of our Class A common stock and 42,489,448 shares of our Class C common stock. Since the filing of the GIP/BlackRock 13D/A, CEG acquired 67,366 shares of our Class C common stock. The shares beneficially owned by the GIP Entities include 42,738,750 Class B units and 41,576,142 Class D units of Clearway Energy LLC held by CEG.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GIP Entities may be deemed to be acting as a group with the TotalEnergies Entities for purposes of Rule 13d-3 under the Exchange Act.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jc w:val="both"/>
        <w:ind w:left="1620" w:right="59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Entities beneficially own 42,738,750 shares of our Class B common stock and 41,576,142 shares of our Class D common stock. Each holder of Class B common stock is entitled to one vote per share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20" w:right="479"/>
        <w:spacing w:after="0" w:line="230" w:lineRule="auto"/>
        <w:rPr>
          <w:sz w:val="20"/>
          <w:szCs w:val="20"/>
          <w:color w:val="auto"/>
        </w:rPr>
      </w:pPr>
      <w:r>
        <w:rPr>
          <w:rFonts w:ascii="Times New Roman" w:cs="Times New Roman" w:eastAsia="Times New Roman" w:hAnsi="Times New Roman"/>
          <w:sz w:val="18"/>
          <w:szCs w:val="18"/>
          <w:color w:val="auto"/>
        </w:rPr>
        <w:t>of Class B common stock. Each holder of our Class D common stock is entitled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per share of Class D common stock.</w:t>
      </w:r>
    </w:p>
    <w:p>
      <w:pPr>
        <w:spacing w:after="0" w:line="36" w:lineRule="exact"/>
        <w:rPr>
          <w:sz w:val="20"/>
          <w:szCs w:val="20"/>
          <w:color w:val="auto"/>
        </w:rPr>
      </w:pPr>
    </w:p>
    <w:p>
      <w:pPr>
        <w:ind w:left="1620" w:right="479" w:hanging="360"/>
        <w:spacing w:after="0" w:line="25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 amounts differ from the information set forth in the Schedule 13D/A filed on June 28, 2024 (the “TotalEnergies 13D/A”) by TotalEnergies SE, TotalEnergies Gestion USA SARL, TotalEnergies Holdings USA, Inc., TotalEnergies Delaware, Inc., and TotalEnergies Renewables USA, LLC (collectively, the “TotalEnergies Entities”). In the TotalEnergies 13D/A, the TotalEnergies Entities reported to beneficially own, and to have shared voting power and shared dispositive power over, 42,760,591 shares of our Class A common stock and 42,021,902 shares of our Class C common stock as of June 28, 2024. Since the filing of the TotalEnergies 13D/A, CEG acquired 333,251 shares of our Class C common stock, disposed of 611,922 shares of our Class C common stock and exchanged 385,608 Class D units of Clearway Energy LLC for 385,608 shares of our Class C common stock pursuant to the Exchange Agreement, resulting in a net acquisition by CEG of 106,937 shares of our Class C common stock. The exchange by CEG of 385,608 Class D units of Clearway Energy LLC for 385,608 shares of our Class C common stock did not affect the total number of shares of Class C common stock beneficially owned by the TotalEnergies Entities because Class D units of Clearway Energy LLC are exchangeable for shares of our Class C common stock at any time and were therefore already included in the beneficial ownership amounts reflected in the TotalEnergies 13D/A. The shares beneficially owned by the TotalEnergies Entities include 42,738,750 Class B units and 41,576,142 Class D units of Clearway Energy LLC held by CEG. The Class B units of Clearway Energy LLC are exchangeable for shares of our Class A common stock at any time and the Class D units are exchangeable for shares of our Class C common stock at any time. As a result, the TotalEnergies Entities may be deemed to beneficially own the shares of Class A common stock or Class C common stock for which such Class B units or Class D units of Clearway Energy LLC, as applicable, are exchangeable. TotalEnergies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TotalEnergies Entities may be deemed to be acting as a group with the GIP Entities for purposes of Rule 13d-3 under the Exchange Act.</w:t>
      </w: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620" w:right="639" w:hanging="360"/>
        <w:spacing w:after="0" w:line="25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Entities beneficially own 42,738,750 shares of our Class B common stock and 41,576,142 shares of our Class D common stock. Each holder of Class B common stock is entitled to one vote per share of Class B common stock. Each holder of our Class D common stock is entitled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per share of Class D common stock.</w:t>
      </w:r>
    </w:p>
    <w:p>
      <w:pPr>
        <w:spacing w:after="0" w:line="2" w:lineRule="exact"/>
        <w:rPr>
          <w:rFonts w:ascii="Times New Roman" w:cs="Times New Roman" w:eastAsia="Times New Roman" w:hAnsi="Times New Roman"/>
          <w:sz w:val="18"/>
          <w:szCs w:val="18"/>
          <w:color w:val="auto"/>
        </w:rPr>
      </w:pPr>
    </w:p>
    <w:p>
      <w:pPr>
        <w:ind w:left="1620" w:right="619" w:hanging="360"/>
        <w:spacing w:after="0" w:line="25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August 14, 2025 by Energy Income Partners, LLC, James Murchie, Eva Pao, Saul Ballesteros and John Tysseland (collectively, “Energy Income Partners”). Energy Income Partners has sole voting power and sole dispositive power over 658,023 shares of Class A common stock and shared voting power and shared dispositive power over 1,607,307 shares of Class A common stock.</w:t>
      </w:r>
    </w:p>
    <w:p>
      <w:pPr>
        <w:spacing w:after="0" w:line="40"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Schedules 13G/A filed on July 8, 2024 and April 29, 2025 by BlackRock, Inc. (“BlackRock”). BlackRock has sole voting power over 4,317,114 shares of Class A common stock and sole dispositive power over 4,481,251 shares of Class A common stock. BlackRock has sole voting power over 11,281,709 shares of Class C common stock and sole dispositive power over 11,459,562 shares of Class C common stock.</w:t>
      </w:r>
    </w:p>
    <w:p>
      <w:pPr>
        <w:spacing w:after="0" w:line="34" w:lineRule="exact"/>
        <w:rPr>
          <w:rFonts w:ascii="Times New Roman" w:cs="Times New Roman" w:eastAsia="Times New Roman" w:hAnsi="Times New Roman"/>
          <w:sz w:val="18"/>
          <w:szCs w:val="18"/>
          <w:color w:val="auto"/>
        </w:rPr>
      </w:pPr>
    </w:p>
    <w:p>
      <w:pPr>
        <w:ind w:left="1620" w:right="499" w:hanging="360"/>
        <w:spacing w:after="0" w:line="25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Schedules 13G/A filed on February 13, 2024 by The Vanguard Group (“Vanguard”). Vanguard has shared voting power over 11,793 shares of Class A common stock, sole dispositive power over 4,026,206 shares of Class A common stock, and shared dispositive power over 35,510 shares of Class A common stock. Vanguard has shared voting power over 29,549 shares of Class C common stock, sole dispositive power over 9,452,059 shares of Class C common stock and shared dispositive power over 116,510 shares of Class C common stock.</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hanging="360"/>
        <w:spacing w:after="0" w:line="25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February 17, 2015 by Morgan Stanley. Morgan Stanley has sole voting power over 1,492,155 shares of Class A common stock, shared voting power over 231,384 shares of Class A common stock and shared dispositive power over 1,596,978 shares of Class A common stock.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268"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February 12, 2026 by ClearBridge Investments, LLC, ClearBridge Investments Limited and ClearBridge Investments (North America) Pty Ltd (collectively, “ClearBridge Investments”). ClearBridge Investments has sole voting power over 4,586,327 shares of Class C common stock and sole dispositive power over 4,836,937 shares of Class C common stock.</w:t>
      </w:r>
    </w:p>
    <w:p>
      <w:pPr>
        <w:spacing w:after="0" w:line="34" w:lineRule="exact"/>
        <w:rPr>
          <w:rFonts w:ascii="Times New Roman" w:cs="Times New Roman" w:eastAsia="Times New Roman" w:hAnsi="Times New Roman"/>
          <w:sz w:val="18"/>
          <w:szCs w:val="18"/>
          <w:color w:val="auto"/>
        </w:rPr>
      </w:pPr>
    </w:p>
    <w:p>
      <w:pPr>
        <w:ind w:left="1620" w:right="799"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January 27, 2026 by First Trust Portfolios L.P., First Trust Advisors L.P. and The Charger Corporation (collectively, “First Trust”). First Trust has shared voting power over 1,772,537 shares of Class A common stock and shared dispositive power over 1,773,795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 WITH CEG</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CEG beneficially owns all of our outstanding Class B common stock and Class D common stock, which represents, in the aggregate, approximately 54.88% of the combined voting power of our common stock as of March 19, 2026, and receives distributions from Clearway Energy LLC through its ownership of Class B and Class D units of Clearway Energy LLC. Holders of our Class A common stock and Class C common stock hold, in the aggregate, the remaining approximately 45.12% of the combined voting power of our stock as of March 19, 2026. Each holder of Class A or Class B common stock is entitled to one vote for each share held. Each holder of Class C or Class D common stock is entitled to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The holders of our outstanding shares of Class A and Class C common stock are entitled to dividends as declared.</w:t>
      </w:r>
    </w:p>
    <w:p>
      <w:pPr>
        <w:spacing w:after="0" w:line="351"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diagram below depicts our organizational structure as of March 19, 2026. Clearway Energy LLC indirectly holds the equity interests in our facilities, other than Pine Forest, a 300 MW solar facility paired with a 200 MW battery energy storage system (“BESS”) facility located in Hopkins County,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97790</wp:posOffset>
            </wp:positionV>
            <wp:extent cx="4928870" cy="3866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8870" cy="386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and TotalEnergies each own 50% of CEG through intermediate holding companies.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STRATEGIC SPONSORSHIP WITH CEG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Company, along with certain of its subsidiaries, and CEG are parties to an Amended and Restated Master Services Agreement and Payroll Sharing Agreement, effective as of January 1, 2025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as well as accounting, internal audit, tax, legal and treasury services, in exchange for the payment of fees in respect of such services. In addition, under the CEG Master Services Agreement, the Company engages CEG in a payroll sharing agreement, such that the Company directly bears all labor costs for certain employees of CEG who perform work on behalf of the Company. Certain independent functions of the Company are directed by the Board’s Corporate Governance, Conflicts and Nominating Committee and paid for by the Company, while being administered by CEG. For the year ended December 31, 2025, the Company paid approximately $23,760,000 under the CEG Master Services Agreement.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CEG Committed Investments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assets listed below represent our currently committed investments in facilities with CEG: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Gross Capacity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40" w:type="dxa"/>
            <w:vAlign w:val="bottom"/>
          </w:tcPr>
          <w:p>
            <w:pPr>
              <w:spacing w:after="0"/>
              <w:rPr>
                <w:sz w:val="14"/>
                <w:szCs w:val="14"/>
                <w:color w:val="auto"/>
              </w:rPr>
            </w:pPr>
          </w:p>
        </w:tc>
      </w:tr>
      <w:tr>
        <w:trPr>
          <w:trHeight w:val="19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Funding</w:t>
            </w:r>
          </w:p>
        </w:tc>
        <w:tc>
          <w:tcPr>
            <w:tcW w:w="40" w:type="dxa"/>
            <w:vAlign w:val="bottom"/>
          </w:tcPr>
          <w:p>
            <w:pPr>
              <w:spacing w:after="0"/>
              <w:rPr>
                <w:sz w:val="16"/>
                <w:szCs w:val="16"/>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 Solar Portfolio</w:t>
            </w:r>
            <w:r>
              <w:rPr>
                <w:rFonts w:ascii="Times New Roman" w:cs="Times New Roman" w:eastAsia="Times New Roman" w:hAnsi="Times New Roman"/>
                <w:sz w:val="23"/>
                <w:szCs w:val="23"/>
                <w:color w:val="auto"/>
                <w:vertAlign w:val="superscript"/>
              </w:rPr>
              <w:t>(a)(b)</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Distributed Generation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Various</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​1H26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Goat Mountain Repower</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​2H27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Mt. Storm Repower</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WV</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​2H26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Rosamond South II</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Juan Mesa Repower</w:t>
            </w:r>
            <w:r>
              <w:rPr>
                <w:rFonts w:ascii="Times New Roman" w:cs="Times New Roman" w:eastAsia="Times New Roman" w:hAnsi="Times New Roman"/>
                <w:sz w:val="23"/>
                <w:szCs w:val="23"/>
                <w:color w:val="auto"/>
                <w:vertAlign w:val="superscript"/>
              </w:rPr>
              <w:t>(b)</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NM</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​2H27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Spindle</w:t>
            </w: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Tuolumne Repower</w:t>
            </w: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​2H26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-1182370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-1182370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-1182370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-1182370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acquisition of operating facilities.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 co-investment partnership.</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Drop Down Transactions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Pine Forest</w:t>
      </w:r>
    </w:p>
    <w:p>
      <w:pPr>
        <w:spacing w:after="0" w:line="146"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On June 10, 2025, the Company, through its indirect subsidiary, Pine Forest CE Class A Owner LLC, acquired the Class A membership interests in Pine Forest CE TargetCo LLC (“Pine Forest TargetCo”), a partnership and the indirect owner of Pine Forest, a 300 MW solar facility that is paired with a 200 MW BESS facility located in Hopkins County, Texas, from Clearway Renew LLC, a subsidiary of CEG, and its wholly-owned subsidiaries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Owner LLC (“Pine Forest TE Class A”), contributed $9 million to acquire the Class A membership interests in Pine Forest TE HoldCo LLC.</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Pine Forest Drop Down, the Company assumed non-recourse facility-level debt,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 On December 17, 2025, when Pine Forest reached substantial completion, the Company paid $50 million to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Clearway Renew as an additional purchase price, the third-party cash equity investor</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contributed $144 million, the Company, through Pine Forest TE Class A, contributed an additional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$38 million for its Class A membership interests in Pine Forest TE HoldCo LLC and CEG contributed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$49 million, which were utilized, along with the $9 million previously held in escrow, to repay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 million cash equity bridge loan, to repay the $41 million tax equity bridge loan, to partially repay</w:t>
      </w:r>
    </w:p>
    <w:p>
      <w:pPr>
        <w:ind w:left="1260"/>
        <w:spacing w:after="0" w:line="234" w:lineRule="auto"/>
        <w:rPr>
          <w:sz w:val="20"/>
          <w:szCs w:val="20"/>
          <w:color w:val="auto"/>
        </w:rPr>
      </w:pPr>
      <w:r>
        <w:rPr>
          <w:rFonts w:ascii="Times New Roman" w:cs="Times New Roman" w:eastAsia="Times New Roman" w:hAnsi="Times New Roman"/>
          <w:sz w:val="18"/>
          <w:szCs w:val="18"/>
          <w:color w:val="auto"/>
        </w:rPr>
        <w:t>$44 million of the tax credit transfer bridge loan, to fund $39 million in construction completion reserves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to pay $15 million in associated fees, of which $7 million related to construction management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(“CMA”) fees paid to CEG. The Company’s total capital investment in Pine Forest TargetCo was</w:t>
      </w:r>
    </w:p>
    <w:p>
      <w:pPr>
        <w:ind w:left="1260"/>
        <w:spacing w:after="0"/>
        <w:rPr>
          <w:sz w:val="20"/>
          <w:szCs w:val="20"/>
          <w:color w:val="auto"/>
        </w:rPr>
      </w:pPr>
      <w:r>
        <w:rPr>
          <w:rFonts w:ascii="Times New Roman" w:cs="Times New Roman" w:eastAsia="Times New Roman" w:hAnsi="Times New Roman"/>
          <w:sz w:val="18"/>
          <w:szCs w:val="18"/>
          <w:color w:val="auto"/>
        </w:rPr>
        <w:t>$90 million.</w:t>
      </w:r>
    </w:p>
    <w:p>
      <w:pPr>
        <w:spacing w:after="0" w:line="12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January 2026, the Company repaid the $231 million outstanding on the tax credit transfer bridge loan utilizing the proceeds received from the sale of transferable Investment Tax Credits and distributed the remaining $51 million to CEG.</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Rosamond South II and Spindle</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Honeycomb</w:t>
      </w:r>
    </w:p>
    <w:p>
      <w:pPr>
        <w:spacing w:after="0" w:line="16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On October 15, 2025, the Company, through its indirect subsidiary, Honeycomb 1 Holdco LLC, acquired Honeycomb TargetCo LLC (“Honeycomb TargetCo”), the indirect owner of the 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w:t>
      </w:r>
    </w:p>
    <w:p>
      <w:pPr>
        <w:spacing w:after="0" w:line="9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the Honeycomb Drop Down, the Company assumed non-recourse facility-level debt, which included a $218 million construction loan that converts to a term loan at substantial completion, which is expected to occur in the first half of 2026, and a $234 million tax equity bridge loan, offset by</w:t>
      </w:r>
    </w:p>
    <w:p>
      <w:pPr>
        <w:spacing w:after="0" w:line="2" w:lineRule="exact"/>
        <w:rPr>
          <w:sz w:val="20"/>
          <w:szCs w:val="20"/>
          <w:color w:val="auto"/>
        </w:rPr>
      </w:pPr>
    </w:p>
    <w:p>
      <w:pPr>
        <w:ind w:left="1260" w:right="799"/>
        <w:spacing w:after="0" w:line="242" w:lineRule="auto"/>
        <w:rPr>
          <w:sz w:val="20"/>
          <w:szCs w:val="20"/>
          <w:color w:val="auto"/>
        </w:rPr>
      </w:pPr>
      <w:r>
        <w:rPr>
          <w:rFonts w:ascii="Times New Roman" w:cs="Times New Roman" w:eastAsia="Times New Roman" w:hAnsi="Times New Roman"/>
          <w:sz w:val="18"/>
          <w:szCs w:val="18"/>
          <w:color w:val="auto"/>
        </w:rPr>
        <w:t>$9 million in unamortized debt issuance costs. The tax equity bridge loan will be repaid at substantial completion with the final proceeds received from the tax equity investor, as well as the Company’s additional purchase price, along with the $ 59 million that was contributed into escrow by the tax equity investor at acquisition date. The Company estimates that its total capital investment in Honeycomb TargetCo will be $78 million, excluding the impact of any closing adjustments noted in the purchase agreement.</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Mt. Storm</w:t>
      </w:r>
    </w:p>
    <w:p>
      <w:pPr>
        <w:spacing w:after="0" w:line="16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On October 2, 2025, the Company, through its indirect subsidiary, WV Wind Holdco LLC, sold 100% of its membership interests in Mount Storm Wind LLC, which owns Mt. Storm, to Clearway Renew for $152 million in cash consideration in order for Clearway Renew to repower the facility.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Daggett 1</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April 29, 2025, the Company, through its indirect subsidiary, LV-Daggett Parent Holdco LLC, acquired Daggett 1 Class B Member LLC (“Daggett 1 Class B”), the indirect owner of Daggett 1, a 114 MW BESS facility located in San Bernardino County, California, from Clearway Renew for initial cash consideration of $11 million. In connection with the Daggett 1 Drop Down, the Company assumed non-recourse facility-level debt, which included a $92 million construction loan and a $131 million tax equity bridge loan, offset by $3 million in unamortized debt issuance costs.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September 19, 2025, when Daggett 1 reached substantial completion, the Company paid</w:t>
      </w:r>
    </w:p>
    <w:p>
      <w:pPr>
        <w:spacing w:after="0" w:line="27" w:lineRule="exact"/>
        <w:rPr>
          <w:sz w:val="20"/>
          <w:szCs w:val="20"/>
          <w:color w:val="auto"/>
        </w:rPr>
      </w:pPr>
    </w:p>
    <w:p>
      <w:pPr>
        <w:ind w:left="1260" w:right="839"/>
        <w:spacing w:after="0"/>
        <w:rPr>
          <w:sz w:val="20"/>
          <w:szCs w:val="20"/>
          <w:color w:val="auto"/>
        </w:rPr>
      </w:pPr>
      <w:r>
        <w:rPr>
          <w:rFonts w:ascii="Times New Roman" w:cs="Times New Roman" w:eastAsia="Times New Roman" w:hAnsi="Times New Roman"/>
          <w:sz w:val="18"/>
          <w:szCs w:val="18"/>
          <w:color w:val="auto"/>
        </w:rPr>
        <w:t>$42 million to Clearway Renew as additional purchase price, and the tax equity investor contributed an additional $ 108 million, which was utilized, along with the $38 million previously held in escrow and $31 million in construction loan proceeds, to repay the $131 million tax equity bridge loan, to fund</w:t>
      </w: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$6 million in construction completion reserves and to pay $7 million in associated fees, of which $7 million related to CMA fees paid to CEG, with the remaining $33 million distributed to CEG. Subsequent to the acquisition, the Company received $3 million in contributions from CEG to pay for construction completion expenses. On October 15, 2025, the Company paid $4 million to Clearway Renew as a final purchase price adjustment. The Company’s total capital investment in Daggett 1 Class B was $57 million.</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Luna Valley</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April 29, 2025, the Company, through its indirect subsidiary, LV- Daggett Parent Holdco LLC, acquired Luna Valley Class B Member LLC (“Luna Valley Class B”), the indirect owner of Luna Valley, a 200 MW solar facility located in Fresno County, California, from Clearway Renew for initial cash consideration of $18 million. In connection with the Luna Valley Drop Down, the Company assumed non-recourse facility-level debt,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September 4, 2025, when the facility reached substantial completion, the Company paid $72 million to Clearway Renew as additional purchase price, the tax equity investor contributed an additional</w:t>
      </w: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$114 million and CEG contributed $50 million, which were utilized, along with the $29 million previously held in escrow and $28 million in construction loan proceeds, to repay the $46 million cash equity bridge loan, to repay the $ 144 million tax equity bridge loan, to fund $22 million in construction completion reserves and to pay $9 million in associated fees, of which $5 million related to CMA fees paid to CEG. On October 15, 2025, the Company paid $29 million to Clearway Renew as a final purchase price adjustment. The Company’s total capital investment in Luna Valley Class B was $119 million.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Rosamond South I</w:t>
      </w:r>
    </w:p>
    <w:p>
      <w:pPr>
        <w:spacing w:after="0" w:line="14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On March 20, 2025, the Company, through its indirect subsidiary, Rosamond South Investment LLC, acquired the Class A membership interests in Rosie South TargetCo LLC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In connection with the Rosamond South I Drop Down, the Company assumed non-recourse facility-level debt,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w:t>
      </w:r>
    </w:p>
    <w:p>
      <w:pPr>
        <w:spacing w:after="0" w:line="5"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$2 million from the third-party cash equity investor, as well as all of the proceeds from the Company, which were contributed back to the Company by CEG, and an additional $3 million contributed by CEG.</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August 13, 2025 when the facility reached substantial completion, the Company paid $29 million to Clearway Renew as additional purchase price and the third-party cash equity investor contributed an additional $41 million and the tax equity investor contributed an additional $226 million, which were utilized, along with the $58 million previously held in escrow and $13 million in construction loan proceeds, to repay the $276 million tax equity bridge loan and to pay $9 million in associated fees, of which $6 million related to CMA fees paid to CEG with the remaining $53 million distributed to CEG. Subsequent to the acquisition, the Company received $46 million in contributions from CEG to pay for construction completion expenses. The Company’s total capital investment in Rosie South TargetCo was $33 million.</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Dan’s Mountain</w:t>
      </w:r>
    </w:p>
    <w:p>
      <w:pPr>
        <w:spacing w:after="0" w:line="160"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On November 18, 2024, the Company, through its indirect subsidiary, Dan’s Mountain Parent Holdco LLC, acquired the Class A membership interests in Dan’s Mountain TargetCo LLC (“Dan’s Mountain TargetCo”), a partnership and the indirect owner of Dan’s Mountain, a 55 MW wind facility</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located in Allegany County, Maryland, from Clearway Renew for initial cash consideration of $7 million. In connection with the Dan’s Mountain Drop Down, the Company assumed non-recourse facility-level debt, which included a cash equity bridge loan and a tax equity bridge loan.</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The Company also received $16 million in contributions from CEG to pay for construction completion expenses during 2025 and paid $3 million to CEG for CMA fees. The Company’s total capital investment in Dan’s Mountain TargetCo was $43 million.</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Daggett 2 and 3</w:t>
      </w:r>
    </w:p>
    <w:p>
      <w:pPr>
        <w:spacing w:after="0" w:line="160"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During 2025, the Company distributed $4 million to CEG related to the reimbursement of Daggett 2 and 3 revenue earned during construction.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Rosamond Central</w:t>
      </w:r>
    </w:p>
    <w:p>
      <w:pPr>
        <w:spacing w:after="0" w:line="146"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During 2025, the Company distributed $3 million to CEG related to the refunds received by the Rosamond Central solar facility for construction costs that were previously incurred by CEG.</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Texas Solar Nova 1 and 2</w:t>
      </w:r>
    </w:p>
    <w:p>
      <w:pPr>
        <w:spacing w:after="0" w:line="16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During 2025, the Company distributed $3 million to CEG related to the reimbursement of Texas Solar Nova 1 and 2 revenue earned during construction.</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Victory Pass and Arica</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During 2025, the Company received $16 million in contributions from CEG related to purchase price adjustments that the Company subsequently paid to the third-party cash equity investor in the Victory Pass and Arica solar and BESS facilities.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with Clearway Energy Finance Inc.</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On December 17, 2025, in connection with the Pine Forest solar and BESS facility reaching substantial completion, the Company issued a loan to Clearway Energy Finance Inc., a subsidiary of the Company, in the amount of $22 million in order to partially fund Pine Forest TE Class A’s additional contribution. The loan bears interest at a fixed rate of 6% and matures on December 17, 2045. As of December 31, 2025, the full $22 million remained outstanding.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the year ended December 31, 2025 are described in the table below. Under these O&amp;M agreements, we generally pay an annual or monthly fee, which may be subject to annual adjustment, plus any reimbursable expenses.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90"/>
        </w:trPr>
        <w:tc>
          <w:tcPr>
            <w:tcW w:w="12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6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120" w:type="dxa"/>
            <w:vAlign w:val="bottom"/>
          </w:tcPr>
          <w:p>
            <w:pPr>
              <w:spacing w:after="0"/>
              <w:rPr>
                <w:sz w:val="16"/>
                <w:szCs w:val="16"/>
                <w:color w:val="auto"/>
              </w:rPr>
            </w:pPr>
          </w:p>
        </w:tc>
        <w:tc>
          <w:tcPr>
            <w:tcW w:w="196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8"/>
              </w:rPr>
              <w:t>CEG</w:t>
            </w:r>
          </w:p>
        </w:tc>
      </w:tr>
      <w:tr>
        <w:trPr>
          <w:trHeight w:val="23"/>
        </w:trPr>
        <w:tc>
          <w:tcPr>
            <w:tcW w:w="126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3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Agua Caliente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22, 2017</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$4,373,000</w:t>
            </w:r>
          </w:p>
        </w:tc>
      </w:tr>
      <w:tr>
        <w:trPr>
          <w:trHeight w:val="257"/>
        </w:trPr>
        <w:tc>
          <w:tcPr>
            <w:tcW w:w="1260" w:type="dxa"/>
            <w:vAlign w:val="bottom"/>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Arica</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April 27, 2023</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$2,086,000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Borrego</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August 1, 2012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455,000</w:t>
            </w:r>
          </w:p>
        </w:tc>
      </w:tr>
      <w:tr>
        <w:trPr>
          <w:trHeight w:val="257"/>
        </w:trPr>
        <w:tc>
          <w:tcPr>
            <w:tcW w:w="1260" w:type="dxa"/>
            <w:vAlign w:val="bottom"/>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Buckthorn Solar</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May 22, 2017</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$1,611,000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Chestnut Fund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9, 2018</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$1,610,000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Clearway &amp; EFS Distributed Solar LLC</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28,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340,000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CS4 Fund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November 29, 2018</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$1,085,000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CVSR</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September 30, 2011</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$3,033,000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Daggett 2</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July 15, 2022</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$1,214,000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28, 2021</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$2,116,000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 CS Holdco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November 2, 2020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195,000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DGPV Fund 1 LLC</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12, 2015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318,000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DGPV Fund 2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4, 2015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361,000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DGPV Fund 4 LLC</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16, 2017</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$1,955,000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Golden Puma Fund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March 30,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717,000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Honeycomb</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20,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227,000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Kansas South</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June 13,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562,000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Lanikuhana Solar LLC</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28, 2017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342,000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Luna Valley</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June 17,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331,000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May 28, 2021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629,000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Pine Forest</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23, 2024</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$1,344,000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30, 2023</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$2,752,000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Rosamond South</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April 26, 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131,000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 Blythe</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November 1, 2017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242,000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Solar Blythe II</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March 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298,000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 Community I</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9, 2018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121,000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Solar Vegas</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31,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127,000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SPP Facilities</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Agreements, dated October 31, 2017</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$1,481,000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 High Desert</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June 9,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465,000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Texas Solar Nova 1</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24, 2022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$1,841,000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Texas Solar Nova 2</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24, 2022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976,000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Utah Solar Portfolio</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Agreements, dated June 13, 2022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$3,527,000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Victory Pass</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April 27, 2023</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$1,572,000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Waiawa</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May 28, 2021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417,000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Waipio PV LLC</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28,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638,000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Wind</w:t>
            </w:r>
          </w:p>
        </w:tc>
        <w:tc>
          <w:tcPr>
            <w:tcW w:w="3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I</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$2,106,000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II</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696,000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III</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635,000</w:t>
            </w:r>
          </w:p>
        </w:tc>
      </w:tr>
      <w:tr>
        <w:trPr>
          <w:trHeight w:val="270"/>
        </w:trPr>
        <w:tc>
          <w:tcPr>
            <w:tcW w:w="126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IV</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443,000</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-7646035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-7646035</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90"/>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36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100" w:type="dxa"/>
            <w:vAlign w:val="bottom"/>
          </w:tcPr>
          <w:p>
            <w:pPr>
              <w:spacing w:after="0"/>
              <w:rPr>
                <w:sz w:val="16"/>
                <w:szCs w:val="16"/>
                <w:color w:val="auto"/>
              </w:rPr>
            </w:pP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CEG</w:t>
            </w:r>
          </w:p>
        </w:tc>
      </w:tr>
      <w:tr>
        <w:trPr>
          <w:trHeight w:val="23"/>
        </w:trPr>
        <w:tc>
          <w:tcPr>
            <w:tcW w:w="3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V</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667,000</w:t>
            </w: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X</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2,646,000</w:t>
            </w:r>
          </w:p>
        </w:tc>
      </w:tr>
      <w:tr>
        <w:trPr>
          <w:trHeight w:val="25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XI</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1,875,000</w:t>
            </w: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Black Rock</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30, 2020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1,011,000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Broken Bow</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 6, 2017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1,577,000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Buffalo Bear</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1, 2016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Cedar Creek</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15,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Cedro Hill</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 11, 2015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2,979,000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Crofton Bluffs</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13, 2012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Dan’s Mountain</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2, 2024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Elbow Creek</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31, 2018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1,517,000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Forward</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20, 2016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Goat Mountain</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18, 2008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2,758,000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Langford</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July 30, 2018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2,793,000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Laredo Ridge</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24, 2015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1,789,000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Lookout</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11, 2008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1,026,000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Mesquite Sky</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30, 2020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1,032,000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Mesquite Star</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7,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1,278,000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Mt. Storm</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April 23, 2021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1,250,000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Mountain Wind 1</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17, 2016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Mountain Wind 2</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September 17,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1,875,000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Ocotillo</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November 3, 2020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1,196,000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Pinnacle</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Rattlesnake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5, 2020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1,716,000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Sleeping Bear</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May 1,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1,946,000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South Trent</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1, 2015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2,082,000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Spanish Fork</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September 16, 2016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456,000</w:t>
            </w:r>
          </w:p>
        </w:tc>
      </w:tr>
      <w:tr>
        <w:trPr>
          <w:trHeight w:val="27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Taloga</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July 1, 2016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3,126,000</w:t>
            </w:r>
          </w:p>
        </w:tc>
      </w:tr>
      <w:tr>
        <w:trPr>
          <w:trHeight w:val="27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Wildorado</w:t>
            </w: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11, 2008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-4945380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-4945380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MANAGEMENT AND ADMINISTRATIVE SERVICES AGREEMENTS</w:t>
      </w:r>
    </w:p>
    <w:p>
      <w:pPr>
        <w:spacing w:after="0" w:line="162"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CEG provides day-to-day administrative support to certain of our facility-level entities in accordance with asset management and administrative services agreements (the “ASAs”). The ASAs for which the amount involved exceeded $120,000 during the year ended December 31, 2025 are described in the table below. Under these agreements, we generally pay an annual or monthly fee, which may be subject to annual adjustment, plus any reimbursable expenses.</w:t>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90"/>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to CEG</w:t>
            </w:r>
          </w:p>
        </w:tc>
      </w:tr>
      <w:tr>
        <w:trPr>
          <w:trHeight w:val="23"/>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Flexible Generation</w:t>
            </w:r>
          </w:p>
        </w:tc>
        <w:tc>
          <w:tcPr>
            <w:tcW w:w="5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21"/>
                <w:szCs w:val="21"/>
                <w:color w:val="auto"/>
              </w:rPr>
            </w:pPr>
          </w:p>
        </w:tc>
      </w:tr>
      <w:tr>
        <w:trPr>
          <w:trHeight w:val="25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Carlsbad</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19,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523,000</w:t>
            </w:r>
          </w:p>
        </w:tc>
      </w:tr>
      <w:tr>
        <w:trPr>
          <w:trHeight w:val="256"/>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El Segundo</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19,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r>
      <w:tr>
        <w:trPr>
          <w:trHeight w:val="25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Marsh Landing</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19,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571,000</w:t>
            </w:r>
          </w:p>
        </w:tc>
      </w:tr>
      <w:tr>
        <w:trPr>
          <w:trHeight w:val="257"/>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Walnut Creek</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19,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516,000</w:t>
            </w:r>
          </w:p>
        </w:tc>
      </w:tr>
      <w:tr>
        <w:trPr>
          <w:trHeight w:val="25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5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2"/>
                <w:szCs w:val="22"/>
                <w:color w:val="auto"/>
              </w:rPr>
            </w:pPr>
          </w:p>
        </w:tc>
      </w:tr>
      <w:tr>
        <w:trPr>
          <w:trHeight w:val="257"/>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Agua Caliente</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January 18, 2012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619,000</w:t>
            </w:r>
          </w:p>
        </w:tc>
      </w:tr>
      <w:tr>
        <w:trPr>
          <w:trHeight w:val="256"/>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Alpine</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March 15, 2012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Arica</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16,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Buckthorn Solar</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May 22,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Chestnut Fund LLC</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July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CS4 Fund LLC</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November 29,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CVSR</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April 26, 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 CS Holdco LLC</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November 2, 2020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$ 1,730,000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1</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June 17,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October 28,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DGPV Fund 4 LLC</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June 28, 2016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Honeycomb</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20,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May 28,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Oahu Solar</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28,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Pine Forest</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September 23,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June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Rosamond South</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26,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SPP Facilities</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Agreements, dated October 31, 2017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Texas Solar Nova 1</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October 24,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Texas Solar Nova 2</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October 24,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Utah Solar Portfolio</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Agreements, dated December 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Victory Pass</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November 16,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Waiawa</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May 28,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w:t>
            </w:r>
          </w:p>
        </w:tc>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3"/>
                <w:szCs w:val="23"/>
                <w:color w:val="auto"/>
              </w:rPr>
            </w:pP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Black Rock</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30,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Broken Bow</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 2012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Buffalo Bear</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September 15, 2011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r>
      <w:tr>
        <w:trPr>
          <w:trHeight w:val="27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Capistrano Portfolio</w:t>
            </w: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6"/>
        </w:trPr>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Holdco</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Services Agreement, dated June 23, 2022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$ 2,566,000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Cedar Creek</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March 10,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-6094095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-6094095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to CEG</w:t>
            </w:r>
          </w:p>
        </w:tc>
      </w:tr>
      <w:tr>
        <w:trPr>
          <w:trHeight w:val="23"/>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Cedro Hill</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and Administration Agreement, dated March 10, 2010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391,000</w:t>
            </w:r>
          </w:p>
        </w:tc>
      </w:tr>
      <w:tr>
        <w:trPr>
          <w:trHeight w:val="25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Crofton Bluffs</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 2012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251,000</w:t>
            </w:r>
          </w:p>
        </w:tc>
      </w:tr>
      <w:tr>
        <w:trPr>
          <w:trHeight w:val="256"/>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Dan’s Mountain</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March 15, 2024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229,000</w:t>
            </w:r>
          </w:p>
        </w:tc>
      </w:tr>
      <w:tr>
        <w:trPr>
          <w:trHeight w:val="25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Elbow Creek</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January 1, 2018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Forward</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Langford</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24, 2020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Laredo Ridge</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Services Agreement, dated May 27, 2010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Lookout</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Mesquite Sky</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30, 2020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Mesquite Star</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Agreement, dated May 7, 2019</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Mountain Wind 1</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 2012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Mountain Wind 2</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 2012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Mt. Storm</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23, 2021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Ocotillo</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Agreement, dated November 3, 2020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Pinnacle</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September 15, 2011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Rattlesnake</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February 5, 2020</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Sleeping Bear</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South Trent</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October 1, 2015</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Spanish Fork</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Taloga</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Agreement, dated November 20, 2012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r>
      <w:tr>
        <w:trPr>
          <w:trHeight w:val="270"/>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Washington Wind</w:t>
            </w: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29, 2025</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r>
      <w:tr>
        <w:trPr>
          <w:trHeight w:val="270"/>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Wildorado</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September 25, 2017</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-3745230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-3745230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LAND LEASE AGREEMENTS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Company is party to various land lease agreements with CEG. The land lease agreements for which the amount involved exceeded $ 120,000 during the year ended December 31, 2025 are described in the table below. Under these agreements, the Company generally pays a quarterly or monthly fee, which may be subject to annual adjustment.</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20" w:type="dxa"/>
            <w:vAlign w:val="bottom"/>
          </w:tcPr>
          <w:p>
            <w:pPr>
              <w:spacing w:after="0"/>
              <w:rPr>
                <w:sz w:val="16"/>
                <w:szCs w:val="16"/>
                <w:color w:val="auto"/>
              </w:rPr>
            </w:pPr>
          </w:p>
        </w:tc>
        <w:tc>
          <w:tcPr>
            <w:tcW w:w="40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Paid to CEG</w:t>
            </w:r>
          </w:p>
        </w:tc>
      </w:tr>
      <w:tr>
        <w:trPr>
          <w:trHeight w:val="23"/>
        </w:trPr>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220" w:type="dxa"/>
            <w:vAlign w:val="bottom"/>
            <w:shd w:val="clear" w:color="auto" w:fill="CCEEFF"/>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21"/>
                <w:szCs w:val="21"/>
                <w:color w:val="auto"/>
              </w:rPr>
            </w:pP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Daggett 2</w:t>
            </w:r>
          </w:p>
        </w:tc>
        <w:tc>
          <w:tcPr>
            <w:tcW w:w="4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October 27,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988,000</w:t>
            </w:r>
          </w:p>
        </w:tc>
      </w:tr>
      <w:tr>
        <w:trPr>
          <w:trHeight w:val="257"/>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Lease Agreement, dated December 18,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1,634,000</w:t>
            </w: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Luna Valley</w:t>
            </w:r>
          </w:p>
        </w:tc>
        <w:tc>
          <w:tcPr>
            <w:tcW w:w="4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October 24,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1,020,000</w:t>
            </w:r>
          </w:p>
        </w:tc>
      </w:tr>
      <w:tr>
        <w:trPr>
          <w:trHeight w:val="27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Lease Agreement, dated November 18,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847,000</w:t>
            </w: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Oahu Solar</w:t>
            </w:r>
          </w:p>
        </w:tc>
        <w:tc>
          <w:tcPr>
            <w:tcW w:w="4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September 19,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936,000</w:t>
            </w:r>
          </w:p>
        </w:tc>
      </w:tr>
      <w:tr>
        <w:trPr>
          <w:trHeight w:val="27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42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Lease Agreement, dated November 18,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Rosamond South I</w:t>
            </w:r>
          </w:p>
        </w:tc>
        <w:tc>
          <w:tcPr>
            <w:tcW w:w="4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October 30,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-1344930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-1344930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DEVELOPMENT COLLABORATION AGREEMENT</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and Clearway Renew are parties to a Development Collaboration Agreement, dated as of February 9, 2024 (the “Collaboration Agreement”), pursuant to which, among other things, the Company procures substitute resource adequacy (“RA”) capacity from Clearway Renew to meet the Company’s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 fired generating assets purchase substitute RA capacity from certain subsidiaries of Clearway Renew that operate its BESS development companies (the “BESS Facility Companies”), in each case pursuant to separate, five-year purchase agreements (the “RA Agreements”). In addition, pursuant to the Collaboration Agreement, the Company has a right of first offer to acquire an ownership interest in the BESS Facility Companies or certain of Clearway Renew’s BESS facilities. Under the Collaboration Agreement and the RA Agreements, the BESS Facility Companies posted approximately $1,435,000 of security to the Company in 2024 to guarantee the financial obligations of the BESS Facility Companies. The value of such security may increase in the future if certain milestones are met.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DEVELOPMENT SERVICES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Master Development Services Agreement with Clearway Renew</w:t>
      </w:r>
    </w:p>
    <w:p>
      <w:pPr>
        <w:spacing w:after="0" w:line="162"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San Juan Mesa Development Services Agreement with Clearway Renew</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Goat Mountain Development Services Agreement with Clearway Renew</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The Company estimates that its total capital investment in the Goat Mountain repowering will be $200 million, subject to closing adjustments. In connection with the agreement, on December 12, 2025, the Company paid Clearway Renew $27 million, of which $25 million is related to the future delivery of equipment and $2 million related to capital expenditures.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INSURANCE REIMBURSEMENTS</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During 2025, we paid approximately $22,481,000 to CEG, consisting primarily of reimbursements of insurance premiums, employee -related benefits that CEG paid on our behalf and enterprise resource planning shared costs. We also received $4,065,000 from CEG, consisting primarily of employee-related expenses that we paid on behalf of CEG.</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During 2025, we also paid approximately $6,023,000 consisting of annual property insurance premiums to TotalEnergies’ captive insurance affiliate.</w:t>
      </w:r>
    </w:p>
    <w:p>
      <w:pPr>
        <w:spacing w:after="0" w:line="158" w:lineRule="exact"/>
        <w:rPr>
          <w:sz w:val="20"/>
          <w:szCs w:val="20"/>
          <w:color w:val="auto"/>
        </w:rPr>
      </w:pPr>
    </w:p>
    <w:p>
      <w:pPr>
        <w:ind w:left="1260" w:right="1359"/>
        <w:spacing w:after="0" w:line="286" w:lineRule="auto"/>
        <w:rPr>
          <w:sz w:val="20"/>
          <w:szCs w:val="20"/>
          <w:color w:val="auto"/>
        </w:rPr>
      </w:pPr>
      <w:r>
        <w:rPr>
          <w:rFonts w:ascii="Times New Roman" w:cs="Times New Roman" w:eastAsia="Times New Roman" w:hAnsi="Times New Roman"/>
          <w:sz w:val="18"/>
          <w:szCs w:val="18"/>
          <w:b w:val="1"/>
          <w:bCs w:val="1"/>
          <w:color w:val="auto"/>
        </w:rPr>
        <w:t>FOURTH AMENDED AND RESTATED LIMITED LIABILITY COMPANY AGREEMENT OF CLEARWAY ENERGY LLC</w:t>
      </w:r>
    </w:p>
    <w:p>
      <w:pPr>
        <w:spacing w:after="0" w:line="78" w:lineRule="exact"/>
        <w:rPr>
          <w:sz w:val="20"/>
          <w:szCs w:val="20"/>
          <w:color w:val="auto"/>
        </w:rPr>
      </w:pPr>
    </w:p>
    <w:p>
      <w:pPr>
        <w:ind w:left="1260" w:right="679" w:firstLine="360"/>
        <w:spacing w:after="0" w:line="244" w:lineRule="auto"/>
        <w:rPr>
          <w:sz w:val="20"/>
          <w:szCs w:val="20"/>
          <w:color w:val="auto"/>
        </w:rPr>
      </w:pPr>
      <w:r>
        <w:rPr>
          <w:rFonts w:ascii="Times New Roman" w:cs="Times New Roman" w:eastAsia="Times New Roman" w:hAnsi="Times New Roman"/>
          <w:sz w:val="18"/>
          <w:szCs w:val="18"/>
          <w:color w:val="auto"/>
        </w:rPr>
        <w:t>The following is a description of certain material terms of Clearway Energy LLC’s Fourth Amended and Restated Limited Liability Company Agreement. For the year ended December 31, 2025, Clearway Energy LLC made approximately $149,235,000 in distributions to us (the holder of Class A and Class C units) and $208,936,000 to CEG (the holder of Class B and Class D units). In addition to the quarterly distributions, Clearway Energy LLC distributed an additional $43,898,000, $25,681,000 of which was distributed to us primarily related to our contributions through Pine Forest TE Class A, our indirect</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subsidiary, to acquire the Class A membership interests in Pine Forest TE HoldCo LLC, and $18,217,000 of which was distributed to CEG, which represents CEG’s pro- rata share of the additional distributions, during the year ended December 31, 2025. Also, for the year ended December 31, 2025, Clearway Energy LLC recorded approximately $4,744,000 of equity contributions, consisting of $2,757,000 attributable to the Company and $1,987,000 attributable to CEG, related to each member’s respective allocation of transferable ITCs and PTCs generated by the Company’s wind, solar and BESS facilities and received during 2025.</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serve as the sole managing member of Clearway Energy LLC. As such, we and effectively our</w:t>
      </w:r>
    </w:p>
    <w:p>
      <w:pPr>
        <w:spacing w:after="0" w:line="27"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Board, control the business and affairs of Clearway Energy LLC and are responsible for the management of its business.</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C common stock, in each case subject to equitable adjustments for stock splits, dividends and reclassifications in accordance with the terms of the Exchange Agreement (as described below).</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 of the units have any voting rights.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Coordination with Clearway Energy LLC</w:t>
      </w:r>
    </w:p>
    <w:p>
      <w:pPr>
        <w:spacing w:after="0" w:line="148"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At any time we issue a share of Class A common stock or a share of our Class C common stock for cash, the net proceeds therefrom will promptly be transferred to Clearway Energy LLC, and Clearway Energy LLC will either:</w:t>
      </w:r>
    </w:p>
    <w:p>
      <w:pPr>
        <w:spacing w:after="0" w:line="61" w:lineRule="exact"/>
        <w:rPr>
          <w:sz w:val="20"/>
          <w:szCs w:val="20"/>
          <w:color w:val="auto"/>
        </w:rPr>
      </w:pPr>
    </w:p>
    <w:p>
      <w:pPr>
        <w:ind w:left="1800" w:right="47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are a party to the Exchange Agreement with CEG and Clearway Energy LLC. Under the Exchange Agreement, CEG Unitholders may from time to time cause Clearway Energy LLC to exchange their Class B units for shares of our Class A common stock on a one-for-one basis, subject to adjustments for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splits, stock dividends and reclassifications, or exchange their Class D units for shares of our Class C common stock on a one-for-one basis, subject to equitable adjustments for stock splits, stock dividends and reclassifications.</w:t>
      </w:r>
    </w:p>
    <w:p>
      <w:pPr>
        <w:spacing w:after="0" w:line="10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When a CEG Unitholder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a CEG Unitholder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CEG Unitholder exchanges its Class B units for shares of our Class A common stock, or its Class D units for shares of our Class C common stock, our interest in Clearway Energy LLC will be correspondingly increased.</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Additionally, when a CEG Unitholder exchanges a Class B unit or Class D unit of Clearway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Energy LLC, the CEG Unitholder will pay us an equitable cash settlement on the applicable exchange date</w:t>
      </w:r>
    </w:p>
    <w:p>
      <w:pPr>
        <w:ind w:left="1260"/>
        <w:spacing w:after="0"/>
        <w:rPr>
          <w:sz w:val="20"/>
          <w:szCs w:val="20"/>
          <w:color w:val="auto"/>
        </w:rPr>
      </w:pPr>
      <w:r>
        <w:rPr>
          <w:rFonts w:ascii="Times New Roman" w:cs="Times New Roman" w:eastAsia="Times New Roman" w:hAnsi="Times New Roman"/>
          <w:sz w:val="18"/>
          <w:szCs w:val="18"/>
          <w:color w:val="auto"/>
        </w:rPr>
        <w:t>for the value of certain of our assets that are not held through Clearway Energy LLC. The amount of 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payment will be calculated based on the net present value of the projected discounted cash flow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such assets, using a discount rate equal to the weighted average cost of capital for such assets, and the daily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volume-weighted average closing price of our Class A common stock or Class C common stock, 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applicable, for the trailing 30 trading days ending on the second trading day prior to the applicable exchange</w:t>
      </w: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Charter Amendment Proposal, the Company, CEG and Clearway Energy LLC intend to, at a future date prior to the Annual Meeting, enter into the Amended Exchange Agreement, pursuant to which a CEG Unitholder would be entitled to, from time to time, exchange its Class B units of Clearway Energy LLC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will be extinguished. Following any execution of the Amended Exchange Agreement, the Company will file such agreement with the SEC. For additional information about the Amended Exchange Agreement, see “Proposal No. 4 — Amended Exchange Agreement.”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OFFICERS</w:t>
      </w:r>
    </w:p>
    <w:p>
      <w:pPr>
        <w:spacing w:after="0" w:line="148"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We are a party to an Amended and Restated Registration Rights Agreement with CEG (the “Registration Rights Agreement”).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76" w:lineRule="exact"/>
        <w:rPr>
          <w:sz w:val="20"/>
          <w:szCs w:val="20"/>
          <w:color w:val="auto"/>
        </w:rPr>
      </w:pPr>
    </w:p>
    <w:p>
      <w:pPr>
        <w:ind w:left="1260" w:right="1579"/>
        <w:spacing w:after="0" w:line="271" w:lineRule="auto"/>
        <w:rPr>
          <w:sz w:val="20"/>
          <w:szCs w:val="20"/>
          <w:color w:val="auto"/>
        </w:rPr>
      </w:pPr>
      <w:r>
        <w:rPr>
          <w:rFonts w:ascii="Times New Roman" w:cs="Times New Roman" w:eastAsia="Times New Roman" w:hAnsi="Times New Roman"/>
          <w:sz w:val="18"/>
          <w:szCs w:val="18"/>
          <w:b w:val="1"/>
          <w:bCs w:val="1"/>
          <w:color w:val="auto"/>
        </w:rPr>
        <w:t>PROCEDURES FOR REVIEW, APPROVAL AND RATIFICATION OF RELATED PERSON TRANSACTIONS; CONFLICTS OF INTEREST</w:t>
      </w:r>
    </w:p>
    <w:p>
      <w:pPr>
        <w:spacing w:after="0" w:line="9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1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Related Person Policy operates in conjunction with our Code of Conduct and is applicable to all “Related Person Transactions”, which are all transactions, arrangements or relationships in which:</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aggregate amount involved will or may be expected to exceed $50,000 in any calendar year;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participant;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(as that term is defined below) has or will have a direct or indirect interest.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“Related Person” is:</w:t>
      </w:r>
    </w:p>
    <w:p>
      <w:pPr>
        <w:spacing w:after="0" w:line="117" w:lineRule="exact"/>
        <w:rPr>
          <w:sz w:val="20"/>
          <w:szCs w:val="20"/>
          <w:color w:val="auto"/>
        </w:rPr>
      </w:pPr>
    </w:p>
    <w:p>
      <w:pPr>
        <w:ind w:left="1800" w:right="6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a director of the Company or a nominee for director or an executive officer;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the Company to be the beneficial owner of more than 5% of any class of the Company’s voting stock;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79"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32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the aggregate amount involved is expected to be less than $500,000, the transaction may be approved or ratified by the Chair of the Corporate Governance, Conflicts and Nominating Committee.</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2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95"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0" w:type="dxa"/>
            <w:vAlign w:val="bottom"/>
            <w:gridSpan w:val="14"/>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6"/>
              </w:rPr>
              <w:t>EXECUTIVE COMPENSATION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8"/>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6"/>
              </w:rPr>
              <w:t>COMPENSATION DISCUSSION &amp; ANALYSIS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1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2040" w:type="dxa"/>
            <w:vAlign w:val="bottom"/>
            <w:tcBorders>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EXECUTIVE SUMMARY</w:t>
            </w:r>
          </w:p>
        </w:tc>
        <w:tc>
          <w:tcPr>
            <w:tcW w:w="4900" w:type="dxa"/>
            <w:vAlign w:val="bottom"/>
            <w:tcBorders>
              <w:bottom w:val="single" w:sz="8" w:color="CCEEFF"/>
            </w:tcBorders>
            <w:gridSpan w:val="19"/>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0000EE"/>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w w:val="88"/>
              </w:rPr>
              <w:t>62</w:t>
            </w:r>
          </w:p>
        </w:tc>
      </w:tr>
      <w:tr>
        <w:trPr>
          <w:trHeight w:val="216"/>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EXECUTIVE COMPENSATION PROGRAM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62</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tcBorders>
              <w:bottom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KEY GOVERNANCE FEATURES OF OUR EXECUTIVE COMPENSATION PROGRAM</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64</w:t>
            </w:r>
          </w:p>
        </w:tc>
      </w:tr>
      <w:tr>
        <w:trPr>
          <w:trHeight w:val="229"/>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BUSINESS STRATEGY AND COMPANY PERFORMANCE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 PROGRAM</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65</w:t>
            </w:r>
          </w:p>
        </w:tc>
      </w:tr>
      <w:tr>
        <w:trPr>
          <w:trHeight w:val="229"/>
        </w:trPr>
        <w:tc>
          <w:tcPr>
            <w:tcW w:w="34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2025 NAMED EXECUTIVE OFFICERS</w:t>
            </w:r>
          </w:p>
        </w:tc>
        <w:tc>
          <w:tcPr>
            <w:tcW w:w="3460" w:type="dxa"/>
            <w:vAlign w:val="bottom"/>
            <w:tcBorders>
              <w:top w:val="single" w:sz="8" w:color="CCEEFF"/>
            </w:tcBorders>
            <w:gridSpan w:val="10"/>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GOALS AND OBJECTIVES OF THE PROGRAM</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65</w:t>
            </w:r>
          </w:p>
        </w:tc>
      </w:tr>
      <w:tr>
        <w:trPr>
          <w:trHeight w:val="229"/>
        </w:trPr>
        <w:tc>
          <w:tcPr>
            <w:tcW w:w="38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THE COMPENSATION PROCESS</w:t>
            </w:r>
          </w:p>
        </w:tc>
        <w:tc>
          <w:tcPr>
            <w:tcW w:w="3080" w:type="dxa"/>
            <w:vAlign w:val="bottom"/>
            <w:tcBorders>
              <w:top w:val="single" w:sz="8" w:color="CCEEFF"/>
            </w:tcBorders>
            <w:gridSpan w:val="6"/>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CONSULTANT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65</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COMPENSATION PEER GROUP ANALYSIS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66</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274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ELEMENTS OF COMPENSATION</w:t>
            </w:r>
          </w:p>
        </w:tc>
        <w:tc>
          <w:tcPr>
            <w:tcW w:w="4200" w:type="dxa"/>
            <w:vAlign w:val="bottom"/>
            <w:tcBorders>
              <w:bottom w:val="single" w:sz="8" w:color="CCEEFF"/>
            </w:tcBorders>
            <w:gridSpan w:val="14"/>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r>
      <w:tr>
        <w:trPr>
          <w:trHeight w:val="229"/>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BASE SALARY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67</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30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ANNUAL INCENTIVE COMPENSATION</w:t>
            </w:r>
          </w:p>
        </w:tc>
        <w:tc>
          <w:tcPr>
            <w:tcW w:w="3640" w:type="dxa"/>
            <w:vAlign w:val="bottom"/>
            <w:tcBorders>
              <w:bottom w:val="single" w:sz="8" w:color="CCEEFF"/>
            </w:tcBorders>
            <w:gridSpan w:val="11"/>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68</w:t>
            </w:r>
          </w:p>
        </w:tc>
      </w:tr>
      <w:tr>
        <w:trPr>
          <w:trHeight w:val="230"/>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LONG-TERM INCENTIVE COMPENSATION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70</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CLAWBACKS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73</w:t>
            </w:r>
          </w:p>
        </w:tc>
      </w:tr>
      <w:tr>
        <w:trPr>
          <w:trHeight w:val="230"/>
        </w:trPr>
        <w:tc>
          <w:tcPr>
            <w:tcW w:w="1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BENEFITS</w:t>
            </w:r>
          </w:p>
        </w:tc>
        <w:tc>
          <w:tcPr>
            <w:tcW w:w="5800" w:type="dxa"/>
            <w:vAlign w:val="bottom"/>
            <w:tcBorders>
              <w:top w:val="single" w:sz="8" w:color="CCEEFF"/>
            </w:tcBorders>
            <w:gridSpan w:val="23"/>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73</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SEVERANCE AND CHANGE-IN-CONTROL BENEFITS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73</w:t>
            </w:r>
          </w:p>
        </w:tc>
      </w:tr>
      <w:tr>
        <w:trPr>
          <w:trHeight w:val="230"/>
        </w:trPr>
        <w:tc>
          <w:tcPr>
            <w:tcW w:w="55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1400" w:type="dxa"/>
            <w:vAlign w:val="bottom"/>
            <w:tcBorders>
              <w:top w:val="single" w:sz="8" w:color="CCEEFF"/>
            </w:tcBorders>
            <w:gridSpan w:val="4"/>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74</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OWNERSHIP GUIDELINES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74</w:t>
            </w:r>
          </w:p>
        </w:tc>
      </w:tr>
      <w:tr>
        <w:trPr>
          <w:trHeight w:val="20"/>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TAX AND ACCOUNTING CONSIDERATIONS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TABLES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75</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EMPLOYMENT AGREEMENTS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79</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560" w:type="dxa"/>
            <w:vAlign w:val="bottom"/>
            <w:tcBorders>
              <w:bottom w:val="single" w:sz="8" w:color="0000EE"/>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SEVERANCE AND CHANGE-IN-CONTROL</w:t>
            </w:r>
          </w:p>
        </w:tc>
        <w:tc>
          <w:tcPr>
            <w:tcW w:w="3380" w:type="dxa"/>
            <w:vAlign w:val="bottom"/>
            <w:tcBorders>
              <w:bottom w:val="single" w:sz="8" w:color="CCEEFF"/>
            </w:tcBorders>
            <w:gridSpan w:val="9"/>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80</w:t>
            </w:r>
          </w:p>
        </w:tc>
      </w:tr>
      <w:tr>
        <w:trPr>
          <w:trHeight w:val="230"/>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DEFINITION OF CHANGE-IN-CONTROL, ETC.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81</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24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83</w:t>
            </w:r>
          </w:p>
        </w:tc>
      </w:tr>
      <w:tr>
        <w:trPr>
          <w:trHeight w:val="230"/>
        </w:trPr>
        <w:tc>
          <w:tcPr>
            <w:tcW w:w="6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CEO PAY RATIO</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84</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22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REPORT ON EXECUTIVE COMPENSATION</w:t>
            </w:r>
          </w:p>
        </w:tc>
        <w:tc>
          <w:tcPr>
            <w:tcW w:w="720" w:type="dxa"/>
            <w:vAlign w:val="bottom"/>
            <w:tcBorders>
              <w:bottom w:val="single" w:sz="8" w:color="CCEEFF"/>
            </w:tcBorders>
            <w:gridSpan w:val="3"/>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r>
      <w:tr>
        <w:trPr>
          <w:trHeight w:val="230"/>
        </w:trPr>
        <w:tc>
          <w:tcPr>
            <w:tcW w:w="64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Clearway is a publicly-traded energy infrastructure investor with a focus on investments in clean energy and owner of modern, sustainable and long-term contracted assets across North America. The Company is sponsored by GIP and TotalEnergies through the portfolio company, CEG, and, together, GIP and TotalEnergies hold all of the Company’s Class B common stock and Class D common stock and thus collectively have the majority voting interest in the Company. This Compensation Discussion and Analysis (this “CD&amp;A”) describes the philosophy, elements, implementation, and results of the Company’s 2025 executive compensation program as it applies to the executive team.</w:t>
      </w:r>
    </w:p>
    <w:p>
      <w:pPr>
        <w:spacing w:after="0" w:line="109"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Compensation Committee’s objectives are to design a simple, yet competitive, executive compensation program for the Company, which is aligned with the interests of our stockholders. This program is designed to align our short-term and long-term compensation with the Company’s annual performance and three-year performance, respectively. Our annual incentive program (“AIP”) is primarily based on objective criteria that support the achievement of our short-term objectives, which we believe ultimately creates long-term stockholder value. Our long-term incentive awards, which are issued under the LTIP, are comprised of (i) approximately 67% Performance Stock Units (“PSUs”), which vest based on the attainment of certain performance metrics described in the following sentence, and (ii) approximately 33% Restricted Stock Units (“RSUs”), which vest based on continued service over three years. With respect to the PSUs granted in 2025, approximately 50% of the PSUs vest based on our relative TSR measured over three years, and approximately 50% of the PSUs vest based on the growth of our average cash available for distribution (“CAFD”) on a per share basis measured over three years. The program is intended to incorporate many best practices in compensation design, while being tailored to our business needs and compensation objectives.</w:t>
      </w:r>
    </w:p>
    <w:p>
      <w:pPr>
        <w:spacing w:after="0" w:line="345"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2025, the Compensation Committee reviewed and did not modify its general philosophy related to the compensation program. However, consistent with Mr. Cornelius’ status as an employee of CEG during 2024, the Company does not pay any cash compensation or provide employee benefits (other than LTIP payments) to Mr. Cornelius. Similarly, beginning in 2025, our other named executive officers (the “Other NEOs”), along with substantially all of the Company’s workforce, also became employees of CEG in 2025 and began receiving cash compensation and employee benefits (other than LTIP payments) from CEG (rather than the Company). Nonetheless, the Compensation Committee’s role with respect to our compensation program during 2025 remained consistent with its role in 2024.</w:t>
      </w:r>
    </w:p>
    <w:p>
      <w:pPr>
        <w:spacing w:after="0" w:line="109"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Although the Company pays CEG the management fee pursuant to the Company’s management services arrangement with CEG, (i) the management fee is unaffected by any cash compensation or employee benefit amounts that CEG provides to Mr. Cornelius, and (ii) the Company does not otherwise pay or reimburse CEG for the foregoing cash compensation and employee benefits that are provided by CEG to Mr. Cornelius. With respect to the Other NEOs, the management fee is similarly unaffected by the cash compensation or employee benefit amounts that CEG provides to the Other NEOs, in that the management fee generally consists of a fixed amount that may be adjusted under limited circumstances. However, as part of the process of establishing the management fee in 2025, the management services agreement was amended to increase the management fee, to account for, in part, CEG’s increased payroll costs as a result of the transition of substantially all of CWEN’s workforce to CEG in 2025 (the “Payroll Component”). While CEG’s payroll costs with respect to Mr. Cornelius are not reflected in the Payroll Component, the Company could be viewed under the Payroll Component as bearing certain of CEG’s payroll costs with respect to the cash compensation and employee benefits that the Other NEOs receive from CEG.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tables set forth the payor of each primary element of the NEOs’ compensation:</w:t>
      </w:r>
    </w:p>
    <w:p>
      <w:pPr>
        <w:spacing w:after="0" w:line="178" w:lineRule="exact"/>
        <w:rPr>
          <w:sz w:val="20"/>
          <w:szCs w:val="20"/>
          <w:color w:val="auto"/>
        </w:rPr>
      </w:pPr>
    </w:p>
    <w:p>
      <w:pPr>
        <w:ind w:left="126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Primary Element of Mr. Cornelius’ Compensation</w:t>
      </w:r>
      <w:r>
        <w:rPr>
          <w:sz w:val="20"/>
          <w:szCs w:val="20"/>
          <w:color w:val="auto"/>
        </w:rPr>
        <w:tab/>
      </w:r>
      <w:r>
        <w:rPr>
          <w:rFonts w:ascii="Times New Roman" w:cs="Times New Roman" w:eastAsia="Times New Roman" w:hAnsi="Times New Roman"/>
          <w:sz w:val="13"/>
          <w:szCs w:val="13"/>
          <w:b w:val="1"/>
          <w:bCs w:val="1"/>
          <w:color w:val="auto"/>
        </w:rPr>
        <w:t>Payor of 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r>
        <w:trPr>
          <w:trHeight w:val="25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Incentive Compensation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r>
        <w:trPr>
          <w:trHeight w:val="30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Company</w:t>
            </w:r>
            <w:r>
              <w:rPr>
                <w:rFonts w:ascii="Times New Roman" w:cs="Times New Roman" w:eastAsia="Times New Roman" w:hAnsi="Times New Roman"/>
                <w:sz w:val="23"/>
                <w:szCs w:val="23"/>
                <w:color w:val="auto"/>
                <w:w w:val="97"/>
                <w:vertAlign w:val="superscript"/>
              </w:rPr>
              <w:t>(1)</w:t>
            </w:r>
          </w:p>
        </w:tc>
      </w:t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r>
        <w:trPr>
          <w:trHeight w:val="382"/>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Primary Element of the Other NEOs’ Compensation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Payor of Compensation Element</w:t>
            </w:r>
          </w:p>
        </w:tc>
      </w:tr>
      <w:tr>
        <w:trPr>
          <w:trHeight w:val="37"/>
        </w:trPr>
        <w:tc>
          <w:tcPr>
            <w:tcW w:w="4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r>
      <w:tr>
        <w:trPr>
          <w:trHeight w:val="25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r>
        <w:trPr>
          <w:trHeight w:val="25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Incentive Compensation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r>
        <w:trPr>
          <w:trHeight w:val="25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Company</w:t>
            </w:r>
          </w:p>
        </w:tc>
      </w:tr>
      <w:tr>
        <w:trPr>
          <w:trHeight w:val="257"/>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CEG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right="459" w:hanging="360"/>
        <w:spacing w:after="0" w:line="261"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Mr. Cornelius received a one-time award of 375,000 restricted shares of Class C common stock of the Company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166"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Because the Company does not pay any cash compensation or provide employee benefits (other than the payments with respect to the Company’s LTIP) to Mr. Cornelius and because the cash compensation and employee benefit amounts provided by CEG to Mr. Cornelius are not subject to the Payroll Component, the Company has not disclosed these items with respect to Mr. Cornelius in the Summary Compensation Table. Instead, the Company has disclosed only the compensatory amounts that are payable to Mr. Cornelius by the Company, which are limited to Mr. Cornelius’ RSU and PSU grants under the LTIP. With respect to the Other NEOs, because the cash compensation and employee benefit amounts (or some portion thereof) provided by CEG to the Other NEOs potentially are reflected in the Payroll Component, the Company has disclosed all elements of the Other NEOs’ compensation and benefits in the Summary Compensation Table.</w:t>
      </w:r>
    </w:p>
    <w:p>
      <w:pPr>
        <w:spacing w:after="0" w:line="17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 our 2025 Annual Meeting of Stockholders, we received approximately 99% support for our say on pay proposal. After considering the 2025 say on pay voting results, the Compensation Committee and the Board did not make any changes to the Company’s executive compensation program in response to such vote. We believe the 2025 say on pay voting results demonstrate our stockholders support our pay practices and that our compensation program is aligned with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GOVERNANCE FEATURES OF OUR EXECUTIVE COMPENSATION PROGRAM</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compensation program and practices incorporate several key governance features as highlighted in the table below.</w:t>
      </w:r>
    </w:p>
    <w:p>
      <w:pPr>
        <w:spacing w:after="0" w:line="101" w:lineRule="exact"/>
        <w:rPr>
          <w:sz w:val="20"/>
          <w:szCs w:val="20"/>
          <w:color w:val="auto"/>
        </w:rPr>
      </w:pPr>
    </w:p>
    <w:p>
      <w:pPr>
        <w:ind w:left="286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29" w:lineRule="exact"/>
        <w:rPr>
          <w:sz w:val="20"/>
          <w:szCs w:val="20"/>
          <w:color w:val="auto"/>
        </w:rPr>
      </w:pPr>
    </w:p>
    <w:p>
      <w:pPr>
        <w:ind w:left="1440" w:right="12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by compensating our NEOs through equity</w:t>
      </w:r>
    </w:p>
    <w:p>
      <w:pPr>
        <w:spacing w:after="0" w:line="94" w:lineRule="exact"/>
        <w:rPr>
          <w:rFonts w:ascii="Times New Roman" w:cs="Times New Roman" w:eastAsia="Times New Roman" w:hAnsi="Times New Roman"/>
          <w:sz w:val="18"/>
          <w:szCs w:val="18"/>
          <w:color w:val="auto"/>
        </w:rPr>
      </w:pPr>
    </w:p>
    <w:p>
      <w:pPr>
        <w:ind w:left="1440" w:right="16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by compensating our Other NEOs through annual AIP awards</w:t>
      </w:r>
    </w:p>
    <w:p>
      <w:pPr>
        <w:spacing w:after="0" w:line="94" w:lineRule="exact"/>
        <w:rPr>
          <w:rFonts w:ascii="Times New Roman" w:cs="Times New Roman" w:eastAsia="Times New Roman" w:hAnsi="Times New Roman"/>
          <w:sz w:val="18"/>
          <w:szCs w:val="18"/>
          <w:color w:val="auto"/>
        </w:rPr>
      </w:pPr>
    </w:p>
    <w:p>
      <w:pPr>
        <w:jc w:val="both"/>
        <w:ind w:left="1440" w:right="20" w:hanging="180"/>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majority of our equity compensation for Senior Vice Presidents and above is performance-based</w:t>
      </w:r>
    </w:p>
    <w:p>
      <w:pPr>
        <w:spacing w:after="0" w:line="94" w:lineRule="exact"/>
        <w:rPr>
          <w:rFonts w:ascii="Times New Roman" w:cs="Times New Roman" w:eastAsia="Times New Roman" w:hAnsi="Times New Roman"/>
          <w:sz w:val="18"/>
          <w:szCs w:val="18"/>
          <w:color w:val="auto"/>
        </w:rPr>
      </w:pPr>
    </w:p>
    <w:p>
      <w:pPr>
        <w:ind w:left="1440" w:right="44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our peer group median for total direct compensation for the Other NEOs</w:t>
      </w:r>
    </w:p>
    <w:p>
      <w:pPr>
        <w:spacing w:after="0" w:line="94" w:lineRule="exact"/>
        <w:rPr>
          <w:rFonts w:ascii="Times New Roman" w:cs="Times New Roman" w:eastAsia="Times New Roman" w:hAnsi="Times New Roman"/>
          <w:sz w:val="18"/>
          <w:szCs w:val="18"/>
          <w:color w:val="auto"/>
        </w:rPr>
      </w:pPr>
    </w:p>
    <w:p>
      <w:pPr>
        <w:jc w:val="both"/>
        <w:ind w:left="1440" w:right="240" w:hanging="180"/>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double trigger for the acceleration of equity vesting in connection with a change-in-control</w:t>
      </w:r>
    </w:p>
    <w:p>
      <w:pPr>
        <w:spacing w:after="0" w:line="108" w:lineRule="exact"/>
        <w:rPr>
          <w:rFonts w:ascii="Times New Roman" w:cs="Times New Roman" w:eastAsia="Times New Roman" w:hAnsi="Times New Roman"/>
          <w:sz w:val="18"/>
          <w:szCs w:val="18"/>
          <w:color w:val="auto"/>
        </w:rPr>
      </w:pPr>
    </w:p>
    <w:p>
      <w:pPr>
        <w:jc w:val="both"/>
        <w:ind w:left="1440" w:right="28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undue risk taking in our compensation practices and engage in robust risk monitoring</w:t>
      </w:r>
    </w:p>
    <w:p>
      <w:pPr>
        <w:spacing w:after="0" w:line="80" w:lineRule="exact"/>
        <w:rPr>
          <w:rFonts w:ascii="Times New Roman" w:cs="Times New Roman" w:eastAsia="Times New Roman" w:hAnsi="Times New Roman"/>
          <w:sz w:val="18"/>
          <w:szCs w:val="18"/>
          <w:color w:val="auto"/>
        </w:rPr>
      </w:pPr>
    </w:p>
    <w:p>
      <w:pPr>
        <w:ind w:left="1440" w:right="24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legally-required and Company-specific clawback policies in our compensation plans</w:t>
      </w:r>
    </w:p>
    <w:p>
      <w:pPr>
        <w:spacing w:after="0" w:line="94" w:lineRule="exact"/>
        <w:rPr>
          <w:rFonts w:ascii="Times New Roman" w:cs="Times New Roman" w:eastAsia="Times New Roman" w:hAnsi="Times New Roman"/>
          <w:sz w:val="18"/>
          <w:szCs w:val="18"/>
          <w:color w:val="auto"/>
        </w:rPr>
      </w:pPr>
    </w:p>
    <w:p>
      <w:pPr>
        <w:ind w:left="1440" w:right="24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robust stock ownership guidelines for our NEOs</w:t>
      </w:r>
    </w:p>
    <w:p>
      <w:pPr>
        <w:spacing w:after="0" w:line="94" w:lineRule="exact"/>
        <w:rPr>
          <w:rFonts w:ascii="Times New Roman" w:cs="Times New Roman" w:eastAsia="Times New Roman" w:hAnsi="Times New Roman"/>
          <w:sz w:val="18"/>
          <w:szCs w:val="18"/>
          <w:color w:val="auto"/>
        </w:rPr>
      </w:pPr>
    </w:p>
    <w:p>
      <w:pPr>
        <w:ind w:left="1440" w:right="420" w:hanging="180"/>
        <w:spacing w:after="0" w:line="282"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market-level retirement benefits and limited perquisites</w:t>
      </w:r>
    </w:p>
    <w:p>
      <w:pPr>
        <w:spacing w:after="0" w:line="80" w:lineRule="exact"/>
        <w:rPr>
          <w:rFonts w:ascii="Times New Roman" w:cs="Times New Roman" w:eastAsia="Times New Roman" w:hAnsi="Times New Roman"/>
          <w:sz w:val="18"/>
          <w:szCs w:val="18"/>
          <w:color w:val="auto"/>
        </w:rPr>
      </w:pPr>
    </w:p>
    <w:p>
      <w:pPr>
        <w:ind w:left="1440" w:hanging="180"/>
        <w:spacing w:after="0" w:line="266" w:lineRule="auto"/>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compensation consultant to provide advice to the Compensation Committee with respect to our compensation program</w:t>
      </w:r>
    </w:p>
    <w:p>
      <w:pPr>
        <w:spacing w:after="0" w:line="94"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say on pay vote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88" w:right="599" w:hanging="188"/>
        <w:spacing w:after="0" w:line="266" w:lineRule="auto"/>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gross-ups on change-in-control payments and no tax gross-ups on perquisites or benefits</w:t>
      </w:r>
    </w:p>
    <w:p>
      <w:pPr>
        <w:spacing w:after="0" w:line="108" w:lineRule="exact"/>
        <w:rPr>
          <w:rFonts w:ascii="Times New Roman" w:cs="Times New Roman" w:eastAsia="Times New Roman" w:hAnsi="Times New Roman"/>
          <w:sz w:val="18"/>
          <w:szCs w:val="18"/>
          <w:color w:val="auto"/>
        </w:rPr>
      </w:pPr>
    </w:p>
    <w:p>
      <w:pPr>
        <w:ind w:left="188" w:right="599" w:hanging="188"/>
        <w:spacing w:after="0" w:line="282" w:lineRule="auto"/>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pledging or hedging of the Company’s stock by NEOs or directors</w:t>
      </w:r>
    </w:p>
    <w:p>
      <w:pPr>
        <w:spacing w:after="0" w:line="94" w:lineRule="exact"/>
        <w:rPr>
          <w:rFonts w:ascii="Times New Roman" w:cs="Times New Roman" w:eastAsia="Times New Roman" w:hAnsi="Times New Roman"/>
          <w:sz w:val="18"/>
          <w:szCs w:val="18"/>
          <w:color w:val="auto"/>
        </w:rPr>
      </w:pPr>
    </w:p>
    <w:p>
      <w:pPr>
        <w:ind w:left="188" w:right="459" w:hanging="188"/>
        <w:spacing w:after="0" w:line="266" w:lineRule="auto"/>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employment agreements for executive officers with the exception of the employment agreement between our CEO and CEG</w:t>
      </w:r>
    </w:p>
    <w:p>
      <w:pPr>
        <w:spacing w:after="0" w:line="94" w:lineRule="exact"/>
        <w:rPr>
          <w:rFonts w:ascii="Times New Roman" w:cs="Times New Roman" w:eastAsia="Times New Roman" w:hAnsi="Times New Roman"/>
          <w:sz w:val="18"/>
          <w:szCs w:val="18"/>
          <w:color w:val="auto"/>
        </w:rPr>
      </w:pPr>
    </w:p>
    <w:p>
      <w:pPr>
        <w:ind w:left="188" w:right="479" w:hanging="188"/>
        <w:spacing w:after="0" w:line="282" w:lineRule="auto"/>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guaranteed bonus payments under our AIP for our NEOs</w:t>
      </w:r>
    </w:p>
    <w:p>
      <w:pPr>
        <w:spacing w:after="0" w:line="80" w:lineRule="exact"/>
        <w:rPr>
          <w:rFonts w:ascii="Times New Roman" w:cs="Times New Roman" w:eastAsia="Times New Roman" w:hAnsi="Times New Roman"/>
          <w:sz w:val="18"/>
          <w:szCs w:val="18"/>
          <w:color w:val="auto"/>
        </w:rPr>
      </w:pPr>
    </w:p>
    <w:p>
      <w:pPr>
        <w:ind w:left="188" w:hanging="188"/>
        <w:spacing w:after="0"/>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supplemental executive retirement plans</w:t>
      </w:r>
    </w:p>
    <w:p>
      <w:pPr>
        <w:spacing w:after="0" w:line="130" w:lineRule="exact"/>
        <w:rPr>
          <w:rFonts w:ascii="Times New Roman" w:cs="Times New Roman" w:eastAsia="Times New Roman" w:hAnsi="Times New Roman"/>
          <w:sz w:val="18"/>
          <w:szCs w:val="18"/>
          <w:color w:val="auto"/>
        </w:rPr>
      </w:pPr>
    </w:p>
    <w:p>
      <w:pPr>
        <w:ind w:left="188" w:right="499" w:hanging="188"/>
        <w:spacing w:after="0" w:line="266" w:lineRule="auto"/>
        <w:tabs>
          <w:tab w:leader="none" w:pos="1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of underwater stock options and no stock option grants with an exercise price below 100% of fair market value</w:t>
      </w:r>
    </w:p>
    <w:p>
      <w:pPr>
        <w:spacing w:after="0" w:line="3053" w:lineRule="exact"/>
        <w:rPr>
          <w:sz w:val="20"/>
          <w:szCs w:val="20"/>
          <w:color w:val="auto"/>
        </w:rPr>
      </w:pPr>
    </w:p>
    <w:p>
      <w:pPr>
        <w:sectPr>
          <w:pgSz w:w="11900" w:h="16838" w:orient="portrait"/>
          <w:cols w:equalWidth="0" w:num="2">
            <w:col w:w="5240" w:space="232"/>
            <w:col w:w="4407"/>
          </w:cols>
          <w:pgMar w:left="580" w:top="97" w:right="1440" w:bottom="1440" w:gutter="0" w:footer="0" w:header="0"/>
          <w:type w:val="continuous"/>
        </w:sectPr>
      </w:pPr>
    </w:p>
    <w:p>
      <w:pPr>
        <w:spacing w:after="0" w:line="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flexible generation; growing our business through acquisitions of contracted operating assets primarily in North America; and maintaining sound financial practices to grow our dividend. For additional information regarding the Company’s business results during 2025, please refer to the “Management’s Discussion and Analysis of Financial Condition and Results of Operations” in Part II, Item 7 of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NAMED EXECUTIVE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CD&amp;A describes the material components of our compensation program for our NEOs in 2025.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ended December 31, 2025, our NEOs included the following individuals: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51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2025 Title</w:t>
            </w:r>
          </w:p>
        </w:tc>
      </w:tr>
      <w:tr>
        <w:trPr>
          <w:trHeight w:val="37"/>
        </w:trPr>
        <w:tc>
          <w:tcPr>
            <w:tcW w:w="2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5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Cornelius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GOALS AND OBJECTIVES OF THE PROGRAM</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the development and implementation of the Company’s executive compensation program, subject to Board approval for equity awards under the LTIP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 compensation with performance. Our Compensation Committee has designed an executive compensation program that is intended to:</w:t>
      </w:r>
    </w:p>
    <w:p>
      <w:pPr>
        <w:spacing w:after="0" w:line="84" w:lineRule="exact"/>
        <w:rPr>
          <w:sz w:val="20"/>
          <w:szCs w:val="20"/>
          <w:color w:val="auto"/>
        </w:rPr>
      </w:pPr>
    </w:p>
    <w:p>
      <w:pPr>
        <w:ind w:left="1800" w:right="9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our executive compensation with stockholder value creation, avoiding plans that encourage executives to take excessive risk, while driving long-term value to stockholders;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long-term business strategy, while rewarding our executive team for their individual accomplishments with tailored individual executive compensation metrics and incentives; and</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opportunity while aligning with market standards for compensation.</w:t>
      </w:r>
    </w:p>
    <w:p>
      <w:pPr>
        <w:spacing w:after="0" w:line="94"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Committee’s objectives are designed to be achieved through the use of short-term incentives for the Other NEOs and long-term incentives for all the NEOs. With respect to our CEO, the Compensation Committee maintains a dialogue with the CEG compensation committee and considers our CEO’s overall compensation in connection with its decisions involving our CEO’s long-term incentive compensation. The Company currently targets total direct compensation with respect to the Other NEOs at the median of our Compensation Peer Group (defined below), as described below under “Elements of Compensation.”</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COMPENSATION PROCESS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2025.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w:t>
      </w:r>
    </w:p>
    <w:p>
      <w:pPr>
        <w:spacing w:after="0" w:line="12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Except with respect to services Pay Governance provided in connection with advising the CEG compensation committee, neither Pay Governance, nor any of its affiliates, provided any other services for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us or any of our affiliates in 2025. The aggregate fees paid to Pay Governance for the 2025 services it provided to the CEG compensation committee were $44,920. In accordance with SEC rules and requirements, the Compensation Committee has affirmatively determined that the services performed by Pay Governance did not raise any conflict of interest and no conflicts of interest exist between the Company and Pay Governance (or any individuals working on the Company’s account on behalf of Pay Governance).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PEER GROUP ANALYSIS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with support from its independent compensation consultant, identifies the most appropriate comparator group for the Company within relevant industries for purposes of benchmarking compensation (the “Compensation Peer Group”). With respect to 2025, the support from Pay Governance included its assistance in identifying an appropriate Compensation Peer Group that accounted for the reorganization effected by the Company and CEG, pursuant to which substantially all of the employees and operations of the Company transferred to CEG as of January 1, 2025. The Compensation Committee aims to compare our compensation program to a consistent Compensation Peer Group year-to-year, but given the dynamic nature of our industry and the companies that constitute it, the Compensation Committee annually examines the Compensation Peer Group for appropriateness in terms of size, complexity, and industry.</w:t>
      </w:r>
    </w:p>
    <w:p>
      <w:pPr>
        <w:spacing w:after="0" w:line="337"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this annual review, the Compensation Committee reviewed the Compensation Peer Group identified for 2024 and adjusted it for 2025 to (i) add the following companies: First Solar, Inc., Hannon Armstrong Sustainable Infrastructure, L.P., New Fortress Energy Inc. and Sunrun Inc. and</w:t>
      </w:r>
    </w:p>
    <w:p>
      <w:pPr>
        <w:spacing w:after="0" w:line="1" w:lineRule="exact"/>
        <w:rPr>
          <w:sz w:val="20"/>
          <w:szCs w:val="20"/>
          <w:color w:val="auto"/>
        </w:rPr>
      </w:pPr>
    </w:p>
    <w:p>
      <w:pPr>
        <w:ind w:left="1260" w:right="439"/>
        <w:spacing w:after="0" w:line="251" w:lineRule="auto"/>
        <w:tabs>
          <w:tab w:leader="none" w:pos="15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following companies: Algonquin Power &amp; Utilities Corp., Atmos Energy Corporation, Capital Power Corporation, Genesis Energy, L.P. and Equitrans Midstream Corporation. These adjustments for 2025 generally reflect (x) an increased emphasis on including independent power producers and key talent competitors in the Compensation Peer Group, (y) a reduced emphasis on including master limited partnerships, Canadian companies, midstream companies and pipeline companies in the Compensation Peer Group, and (z) an openness to include residential solar companies in the Compensation Peer Group. As a result, the Compensation Committee, with support from Pay Governance, determined that the Compensation Peer Group for 2025 would be focused on four key industry groupings with overlapping organization characteristics and/or business models with the Company: (1) utilities with renewable energy generation assets, (2) renewable electricity, (3) midstream and gas utilities with distribution / transportation capabilities, and (4) energy storage industries. For these purposes, the Compensation Peer Group for 2025 is identified below:</w:t>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9"/>
                <w:szCs w:val="19"/>
                <w:color w:val="auto"/>
              </w:rPr>
            </w:pPr>
          </w:p>
        </w:tc>
        <w:tc>
          <w:tcPr>
            <w:tcW w:w="1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100" w:type="dxa"/>
            <w:vAlign w:val="bottom"/>
          </w:tcPr>
          <w:p>
            <w:pPr>
              <w:spacing w:after="0"/>
              <w:rPr>
                <w:sz w:val="19"/>
                <w:szCs w:val="19"/>
                <w:color w:val="auto"/>
              </w:rPr>
            </w:pPr>
          </w:p>
        </w:tc>
        <w:tc>
          <w:tcPr>
            <w:tcW w:w="26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9"/>
                <w:szCs w:val="19"/>
                <w:color w:val="auto"/>
              </w:rPr>
            </w:pP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Alliant Energy Corporation</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NASDAQ: LNT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Northland Power Inc.</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TSX: NPI</w:t>
            </w:r>
          </w:p>
        </w:tc>
        <w:tc>
          <w:tcPr>
            <w:tcW w:w="40" w:type="dxa"/>
            <w:vAlign w:val="bottom"/>
          </w:tcPr>
          <w:p>
            <w:pPr>
              <w:spacing w:after="0"/>
              <w:rPr>
                <w:sz w:val="20"/>
                <w:szCs w:val="20"/>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Avista Corporation</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NYSE: AVA</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NorthWestern Energy Group, Inc.</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NYSE: NWE</w:t>
            </w:r>
          </w:p>
        </w:tc>
        <w:tc>
          <w:tcPr>
            <w:tcW w:w="40" w:type="dxa"/>
            <w:vAlign w:val="bottom"/>
          </w:tcPr>
          <w:p>
            <w:pPr>
              <w:spacing w:after="0"/>
              <w:rPr>
                <w:sz w:val="21"/>
                <w:szCs w:val="2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Black Hills Corporation</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NYSE: BKH</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Ormat Technologies, Inc.</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NYSE: ORA</w:t>
            </w:r>
          </w:p>
        </w:tc>
        <w:tc>
          <w:tcPr>
            <w:tcW w:w="40" w:type="dxa"/>
            <w:vAlign w:val="bottom"/>
          </w:tcPr>
          <w:p>
            <w:pPr>
              <w:spacing w:after="0"/>
              <w:rPr>
                <w:sz w:val="21"/>
                <w:szCs w:val="2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Boralex Inc.</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OTCMKTS: BRLXF</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Portland General Electric Company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NYSE: POR</w:t>
            </w:r>
          </w:p>
        </w:tc>
        <w:tc>
          <w:tcPr>
            <w:tcW w:w="40" w:type="dxa"/>
            <w:vAlign w:val="bottom"/>
          </w:tcPr>
          <w:p>
            <w:pPr>
              <w:spacing w:after="0"/>
              <w:rPr>
                <w:sz w:val="21"/>
                <w:szCs w:val="21"/>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Solar, Inc.</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NASDAQ: FSLR</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Sunrun Inc.</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NASDAQ: RUN</w:t>
            </w:r>
          </w:p>
        </w:tc>
        <w:tc>
          <w:tcPr>
            <w:tcW w:w="40" w:type="dxa"/>
            <w:vAlign w:val="bottom"/>
          </w:tcPr>
          <w:p>
            <w:pPr>
              <w:spacing w:after="0"/>
              <w:rPr>
                <w:sz w:val="21"/>
                <w:szCs w:val="21"/>
                <w:color w:val="auto"/>
              </w:rPr>
            </w:pPr>
          </w:p>
        </w:tc>
      </w:tr>
      <w:tr>
        <w:trPr>
          <w:trHeight w:val="193"/>
        </w:trPr>
        <w:tc>
          <w:tcPr>
            <w:tcW w:w="262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Hannon Armstrong Sustainable</w:t>
            </w:r>
          </w:p>
        </w:tc>
        <w:tc>
          <w:tcPr>
            <w:tcW w:w="15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NYSE: HASI</w:t>
            </w:r>
          </w:p>
        </w:tc>
        <w:tc>
          <w:tcPr>
            <w:tcW w:w="272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7"/>
                <w:szCs w:val="17"/>
                <w:color w:val="auto"/>
              </w:rPr>
              <w:t>TransAlta Corporation</w:t>
            </w:r>
          </w:p>
        </w:tc>
        <w:tc>
          <w:tcPr>
            <w:tcW w:w="136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7"/>
                <w:szCs w:val="17"/>
                <w:color w:val="auto"/>
              </w:rPr>
              <w:t>NYSE: TAC</w:t>
            </w:r>
          </w:p>
        </w:tc>
        <w:tc>
          <w:tcPr>
            <w:tcW w:w="40" w:type="dxa"/>
            <w:vAlign w:val="bottom"/>
          </w:tcPr>
          <w:p>
            <w:pPr>
              <w:spacing w:after="0"/>
              <w:rPr>
                <w:sz w:val="16"/>
                <w:szCs w:val="16"/>
                <w:color w:val="auto"/>
              </w:rPr>
            </w:pPr>
          </w:p>
        </w:tc>
      </w:tr>
      <w:tr>
        <w:trPr>
          <w:trHeight w:val="226"/>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Infrastructure, L.P.</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7"/>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Innergex Renewable Energy Inc.</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TSX: INE</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6"/>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MGE Energy, Inc.</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NASDAQ: MGEE</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Fortress Energy Inc.</w:t>
            </w:r>
          </w:p>
        </w:tc>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NASDAQ: NFE</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2" w:lineRule="exact"/>
        <w:rPr>
          <w:sz w:val="20"/>
          <w:szCs w:val="20"/>
          <w:color w:val="auto"/>
        </w:rPr>
      </w:pPr>
    </w:p>
    <w:p>
      <w:pPr>
        <w:ind w:left="1620" w:right="49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Innergex Renewable Energy Inc. was acquired by La Caisse in July 2025 and was delisted, but was included by Pay Governance as part of its 2025 compensation benchmarking analysis, and for that reason, Innergex Renewable Energy Inc. is included in the Compensation Peer Group for 2025 but will not be part of the Compensation Peer Group for 2026 or going forward.</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purposes of determining appropriate NEO compensation levels for 2025, the Compensation Committee reviewed NEO compensation from peers, where available and when appropriate (e.g., based on an NEO’s position and duties). To supplement this analysis, the Compensation Committee reviewed relevant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0" w:lineRule="auto"/>
        <w:rPr>
          <w:sz w:val="20"/>
          <w:szCs w:val="20"/>
          <w:color w:val="auto"/>
        </w:rPr>
      </w:pPr>
      <w:r>
        <w:rPr>
          <w:rFonts w:ascii="Times New Roman" w:cs="Times New Roman" w:eastAsia="Times New Roman" w:hAnsi="Times New Roman"/>
          <w:sz w:val="18"/>
          <w:szCs w:val="18"/>
          <w:color w:val="auto"/>
        </w:rPr>
        <w:t>third-party survey data and considered the recommendations of the CEO, on Other NEO and employee compensation matters not involving the CEO. The Compensation Committee may accept or adjust CEO recommendations at its discretion. The NEOs did not participate in Compensation Committee discussions regarding their own compensation.</w:t>
      </w:r>
    </w:p>
    <w:p>
      <w:pPr>
        <w:spacing w:after="0" w:line="18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executive compensation program consists of fixed compensation (base salary), performance-based compensation (annual bonuses and PSUs) and time-based compensation (RSUs), noting that the only compensation directly provided by the Company to our NEOs consists of awards of PSUs and RSUs that are issued pursuant to our LTIP (noting that CWEN is responsible for reimbursing CEG for the cash compensation and employee benefit amounts provided by CEG to the Other NEOs). We generally use the median percentile of our Compensation Peer Group as a guidepost in establishing the targeted levels of compensation (cash and/or equity, as applicable) for our Other NEOs. We expect that, over time, the relevant components of the foregoing targeted compensation for our NEOs will continue to approximate the median of our Compensation Peer Group. Realized pay in a given year depends on the achievement of defined performance-based compensation metrics. While a portion of the above-described compensation is fixed, a significant percentage is at-risk and payable and/or realizable only if certain performance objectives are met.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As noted above, the Company does not pay cash compensation to our CEO, who is an employee of CEG. Instead, our CEO’s base salary is paid solely by CEG in accordance with his employment agreement and such base salary is not subject to the Payroll Component. However, the Compensation Committee is permitted under the terms of our CEO’s employment agreement to make non-binding recommendations to the CEG compensation committee regarding any adjustments to Mr. Cornelius’ base salary, with the CEG compensation committee having final decisional authority with respect to such adjustments.</w:t>
      </w:r>
    </w:p>
    <w:p>
      <w:pPr>
        <w:spacing w:after="0" w:line="1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With respect to our Other NEOs, their base salaries are also paid by CEG (i.e., as employees of CEG) and such base salary payments (or some portion thereof) potentially are reflected in the Payroll Component. Nonetheless, given that the services of the Other NEOs primarily relate to the Company, the Compensation Committee remains involved in base salary determinations for the Other NEOs. Base salary is a critical component that is used to compensate each of the Other NEOs for his or her level of experience, position, responsibilities and for the continued expectation of superior performance. Recommendations on increases to base salary take into account, among other factors, the applicable Other NEO’s individual performance, the general contributions of the Other NEO to overall corporate performance, the level of responsibility of such Other NEO with respect to his or her specific position, and the Other NEO’s current base salary level compared to the market median. Each of Ms. Rubenstein and Mr. Malcarney received a base salary increase in 2025 based on such executive’s performance and peer group benchmarking.</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base salary for each of the NEOs for fiscal year 2025 as of December 31, 2025 is set forth below:</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2025 Annualized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Increase</w:t>
            </w:r>
          </w:p>
        </w:tc>
        <w:tc>
          <w:tcPr>
            <w:tcW w:w="40" w:type="dxa"/>
            <w:vAlign w:val="bottom"/>
          </w:tcPr>
          <w:p>
            <w:pPr>
              <w:spacing w:after="0"/>
              <w:rPr>
                <w:sz w:val="14"/>
                <w:szCs w:val="14"/>
                <w:color w:val="auto"/>
              </w:rPr>
            </w:pPr>
          </w:p>
        </w:tc>
      </w:tr>
      <w:tr>
        <w:trPr>
          <w:trHeight w:val="214"/>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Base Salary ($)</w:t>
            </w:r>
            <w:r>
              <w:rPr>
                <w:rFonts w:ascii="Times New Roman" w:cs="Times New Roman" w:eastAsia="Times New Roman" w:hAnsi="Times New Roman"/>
                <w:sz w:val="17"/>
                <w:szCs w:val="17"/>
                <w:b w:val="1"/>
                <w:bCs w:val="1"/>
                <w:color w:val="auto"/>
                <w:w w:val="94"/>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Over 2024 (%)</w:t>
            </w:r>
            <w:r>
              <w:rPr>
                <w:rFonts w:ascii="Times New Roman" w:cs="Times New Roman" w:eastAsia="Times New Roman" w:hAnsi="Times New Roman"/>
                <w:sz w:val="17"/>
                <w:szCs w:val="17"/>
                <w:b w:val="1"/>
                <w:bCs w:val="1"/>
                <w:color w:val="auto"/>
                <w:w w:val="94"/>
                <w:vertAlign w:val="superscript"/>
              </w:rPr>
              <w:t>(2)</w:t>
            </w:r>
          </w:p>
        </w:tc>
        <w:tc>
          <w:tcPr>
            <w:tcW w:w="40" w:type="dxa"/>
            <w:vAlign w:val="bottom"/>
          </w:tcPr>
          <w:p>
            <w:pPr>
              <w:spacing w:after="0"/>
              <w:rPr>
                <w:sz w:val="18"/>
                <w:szCs w:val="18"/>
                <w:color w:val="auto"/>
              </w:rPr>
            </w:pPr>
          </w:p>
        </w:tc>
      </w:tr>
      <w:tr>
        <w:trPr>
          <w:trHeight w:val="27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​$435,625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​$434,907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-513715</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-513715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5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2025 base salary earnings are presented in the Summary Compensation Table for the Other NEOs.</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the December 31, 2024 annualized base salary.</w:t>
      </w:r>
    </w:p>
    <w:p>
      <w:pPr>
        <w:spacing w:after="0" w:line="76" w:lineRule="exact"/>
        <w:rPr>
          <w:rFonts w:ascii="Times New Roman" w:cs="Times New Roman" w:eastAsia="Times New Roman" w:hAnsi="Times New Roman"/>
          <w:sz w:val="18"/>
          <w:szCs w:val="18"/>
          <w:color w:val="auto"/>
        </w:rPr>
      </w:pPr>
    </w:p>
    <w:p>
      <w:pPr>
        <w:ind w:left="1620" w:right="439" w:hanging="360"/>
        <w:spacing w:after="0" w:line="263"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Cornelius’ base salary is payable solely by CEG in accordance with his employment agreement and such base salary is not subject to the Payroll Component. As a result, Mr. Cornelius’ base salary is included in the above table for the sake of completeness, but is not included in the Summary Compensation Table.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As noted above, the Company does not pay cash compensation to our CEO, who is an employee of CEG. As a result, our CEO’s annual bonus compensation is paid solely by CEG (pursuant to CEG’s annual bonus program) in accordance with his employment agreement and such annual bonus is not subject to the Payroll Component. Pursuant to his employment agreement, our CEO is eligible to receive an annual incentive bonus at a target amount equal to 175% of his then-current base salary, with the actual annual bonus with respect to a fiscal year being based on the level of achievement of annual performance objectives established for such fiscal year with respect to CEG; provided that such actual annual bonus may not exceed 300% of the CEO’s base salary as in effect at the end of such fiscal year. However, during fiscal years in which Mr. Cornelius serves as our CEO, the performance objectives with respect to his annual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Our CEO’s performance objectives were primarily based on the 2025 AIP bonus performance criteria and weighting described below (noting that our CEO’s annual bonus benefit is provided pursuant to his employment agreement with CEG).</w:t>
      </w:r>
    </w:p>
    <w:p>
      <w:pPr>
        <w:spacing w:after="0" w:line="12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 respect to our Other NEOs, our annual incentive compensation awards (AIP bonuses) are paid by the Company to the Other NEOs, and such AIP payments are potentially reflected in the Payroll Component. Nonetheless, given that the services of the Other NEOs primarily relate to the Company, the Compensation Committee remains involved in AIP bonus determinations for the Other NEOs. AIP bonuses are awarded to our Other NEOs under our annual incentive program or “AIP.” AIP bonuses represent short-term compensation designed to compensate our Other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2025 relate to (i) CAFD and (ii) key performance milestones.</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overall bonus payouts are subject to (i) potential positive or negative adjustments of up to 20% depending on the NEO’s individual performance and (ii) a potential 5% across-the-board negative adjustments depending on our performance with respect to certain pre-established safety metrics, known as “DART” ​(days away from work, restricted duty and job transfer). This 5% reduction will apply in the event our relevant DART rates for construction exceed 0.35 and/or our relevant DART rates for operations exceed 0.45 for the year (“DART Overage”). DART rates are generally calculated via the following fraction: (x) the numerator being the number of DART-related incidents multiplied by the annual hours performed by the relevant personnel base for the year, and (y) the denominator being the total hours performed by such personnel base for the year. In addition,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24"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AIP bonus opportunities are expressed in terms of threshold, target and maximum bonus opportunities. Different percentages of each NEO’s annual base salary relate to these threshold, target and maximum AIP bonus opportunities. In the event threshold performance for 2025 is not achieved with respect to one of the AIP performance metrics, no AIP bonus amounts will be payable with respect to that component for 2025.</w:t>
      </w:r>
    </w:p>
    <w:p>
      <w:pPr>
        <w:spacing w:after="0" w:line="3" w:lineRule="exact"/>
        <w:rPr>
          <w:sz w:val="20"/>
          <w:szCs w:val="20"/>
          <w:color w:val="auto"/>
        </w:rPr>
      </w:pPr>
    </w:p>
    <w:p>
      <w:pPr>
        <w:ind w:left="1260" w:right="759"/>
        <w:spacing w:after="0" w:line="260" w:lineRule="auto"/>
        <w:rPr>
          <w:sz w:val="20"/>
          <w:szCs w:val="20"/>
          <w:color w:val="auto"/>
        </w:rPr>
      </w:pPr>
      <w:r>
        <w:rPr>
          <w:rFonts w:ascii="Times New Roman" w:cs="Times New Roman" w:eastAsia="Times New Roman" w:hAnsi="Times New Roman"/>
          <w:sz w:val="18"/>
          <w:szCs w:val="18"/>
          <w:color w:val="auto"/>
        </w:rPr>
        <w:t>For 2025, the threshold AIP bonus payout was increased from 50% to 75% of the target amount, and the maximum AIP bonus payout was reduced from 200% to 150% of the target amount.</w:t>
      </w:r>
    </w:p>
    <w:p>
      <w:pPr>
        <w:spacing w:after="0" w:line="11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AIP provides our Other NEOs eligibility for a pro-rated target bonus payment for the year of a qualifying severance termination, based on the portion of the performance period that the NEO was employed. As further discussed below, our CEO’s employment agreement governs his severance entitlements in connection with his annual bonus compensation. For a more detailed discussion, including the quantification of potential payments, please see the section entitled “Severance and Change-in-Control” following the executive compensation tables below.</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AIP Bonus Performance Criteria</w:t>
      </w:r>
    </w:p>
    <w:p>
      <w:pPr>
        <w:spacing w:after="0" w:line="16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2025 AIP bonus performance criteria applicable to our NEOs are based upon the Company’s CAFD performance and the attainment of the key performance milestones, and bonus payouts are subject to adjustment based on individual performance and, if applicable, due to DART Overage, as discussed above. The table below sets forth the 2025 AIP performance criteria and weightings applicable to our NEOs, assuming the achievement of each goal at target.</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Goal</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1"/>
              </w:rPr>
              <w:t>Weight</w:t>
            </w:r>
          </w:p>
        </w:tc>
        <w:tc>
          <w:tcPr>
            <w:tcW w:w="0" w:type="dxa"/>
            <w:vAlign w:val="bottom"/>
          </w:tcPr>
          <w:p>
            <w:pPr>
              <w:spacing w:after="0"/>
              <w:rPr>
                <w:sz w:val="1"/>
                <w:szCs w:val="1"/>
                <w:color w:val="auto"/>
              </w:rPr>
            </w:pPr>
          </w:p>
        </w:tc>
      </w:tr>
      <w:tr>
        <w:trPr>
          <w:trHeight w:val="37"/>
        </w:trPr>
        <w:tc>
          <w:tcPr>
            <w:tcW w:w="75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CAFD</w:t>
            </w:r>
            <w:r>
              <w:rPr>
                <w:rFonts w:ascii="Times New Roman" w:cs="Times New Roman" w:eastAsia="Times New Roman" w:hAnsi="Times New Roman"/>
                <w:sz w:val="23"/>
                <w:szCs w:val="23"/>
                <w:color w:val="auto"/>
                <w:vertAlign w:val="superscript"/>
              </w:rPr>
              <w:t>(1)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4"/>
        </w:trPr>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6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77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Key Performance Milestones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54"/>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Funding</w:t>
            </w:r>
          </w:p>
        </w:tc>
        <w:tc>
          <w:tcPr>
            <w:tcW w:w="100" w:type="dxa"/>
            <w:vAlign w:val="bottom"/>
            <w:vMerge w:val="continue"/>
          </w:tcPr>
          <w:p>
            <w:pPr>
              <w:spacing w:after="0"/>
              <w:rPr>
                <w:sz w:val="4"/>
                <w:szCs w:val="4"/>
                <w:color w:val="auto"/>
              </w:rPr>
            </w:pPr>
          </w:p>
        </w:tc>
        <w:tc>
          <w:tcPr>
            <w:tcW w:w="46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7780" w:type="dxa"/>
            <w:vAlign w:val="bottom"/>
            <w:gridSpan w:val="2"/>
            <w:vMerge w:val="continue"/>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54"/>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Adjustment (DART Overage)</w:t>
            </w:r>
          </w:p>
        </w:tc>
        <w:tc>
          <w:tcPr>
            <w:tcW w:w="100" w:type="dxa"/>
            <w:vAlign w:val="bottom"/>
            <w:vMerge w:val="continue"/>
          </w:tcPr>
          <w:p>
            <w:pPr>
              <w:spacing w:after="0"/>
              <w:rPr>
                <w:sz w:val="4"/>
                <w:szCs w:val="4"/>
                <w:color w:val="auto"/>
              </w:rPr>
            </w:pPr>
          </w:p>
        </w:tc>
        <w:tc>
          <w:tcPr>
            <w:tcW w:w="46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7780" w:type="dxa"/>
            <w:vAlign w:val="bottom"/>
            <w:gridSpan w:val="2"/>
            <w:vMerge w:val="continue"/>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4"/>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Performance Adjustment</w:t>
            </w:r>
          </w:p>
        </w:tc>
        <w:tc>
          <w:tcPr>
            <w:tcW w:w="100" w:type="dxa"/>
            <w:vAlign w:val="bottom"/>
            <w:vMerge w:val="continue"/>
          </w:tcPr>
          <w:p>
            <w:pPr>
              <w:spacing w:after="0"/>
              <w:rPr>
                <w:sz w:val="4"/>
                <w:szCs w:val="4"/>
                <w:color w:val="auto"/>
              </w:rPr>
            </w:pPr>
          </w:p>
        </w:tc>
        <w:tc>
          <w:tcPr>
            <w:tcW w:w="46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7780" w:type="dxa"/>
            <w:vAlign w:val="bottom"/>
            <w:gridSpan w:val="2"/>
            <w:vMerge w:val="continue"/>
          </w:tcPr>
          <w:p>
            <w:pPr>
              <w:spacing w:after="0"/>
              <w:rPr>
                <w:sz w:val="17"/>
                <w:szCs w:val="17"/>
                <w:color w:val="auto"/>
              </w:rPr>
            </w:pPr>
          </w:p>
        </w:tc>
        <w:tc>
          <w:tcPr>
            <w:tcW w:w="5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54"/>
        </w:trPr>
        <w:tc>
          <w:tcPr>
            <w:tcW w:w="7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gridSpan w:val="2"/>
          </w:tcPr>
          <w:p>
            <w:pPr>
              <w:jc w:val="right"/>
              <w:ind w:right="1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-487680</wp:posOffset>
            </wp:positionV>
            <wp:extent cx="52120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419" w:hanging="360"/>
        <w:spacing w:after="0" w:line="255"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294" w:lineRule="exact"/>
        <w:rPr>
          <w:rFonts w:ascii="Times New Roman" w:cs="Times New Roman" w:eastAsia="Times New Roman" w:hAnsi="Times New Roman"/>
          <w:sz w:val="18"/>
          <w:szCs w:val="18"/>
          <w:color w:val="auto"/>
        </w:rPr>
      </w:pPr>
    </w:p>
    <w:p>
      <w:pPr>
        <w:ind w:left="1800" w:right="899" w:hanging="180"/>
        <w:spacing w:after="0" w:line="267" w:lineRule="auto"/>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CAFD</w:t>
      </w:r>
      <w:r>
        <w:rPr>
          <w:rFonts w:ascii="Times New Roman" w:cs="Times New Roman" w:eastAsia="Times New Roman" w:hAnsi="Times New Roman"/>
          <w:sz w:val="18"/>
          <w:szCs w:val="18"/>
          <w:color w:val="auto"/>
        </w:rPr>
        <w:t>. The Compensation Committee set the 2025 threshold, target and maximum CAFD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metric at $370 million, $420 million and $470 million, respectively. For 2025, the CAFD goals and the achieved level are set forth in the chart below.</w:t>
      </w:r>
    </w:p>
    <w:p>
      <w:pPr>
        <w:spacing w:after="0" w:line="12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CAFD</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CAFD</w:t>
            </w: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CAFD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CAFD</w:t>
            </w:r>
          </w:p>
        </w:tc>
      </w:tr>
      <w:tr>
        <w:trPr>
          <w:trHeight w:val="190"/>
        </w:trPr>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3"/>
        </w:trPr>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1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$370 million</w:t>
            </w:r>
          </w:p>
        </w:tc>
        <w:tc>
          <w:tcPr>
            <w:tcW w:w="1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$420 million</w:t>
            </w:r>
          </w:p>
        </w:tc>
        <w:tc>
          <w:tcPr>
            <w:tcW w:w="1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$470 million</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-170815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-170815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-170815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 w:lineRule="exact"/>
        <w:rPr>
          <w:sz w:val="20"/>
          <w:szCs w:val="20"/>
          <w:color w:val="auto"/>
        </w:rPr>
      </w:pPr>
    </w:p>
    <w:p>
      <w:pPr>
        <w:ind w:left="1800" w:right="479" w:hanging="180"/>
        <w:spacing w:after="0" w:line="253"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Key Performance Milestones</w:t>
      </w:r>
      <w:r>
        <w:rPr>
          <w:rFonts w:ascii="Times New Roman" w:cs="Times New Roman" w:eastAsia="Times New Roman" w:hAnsi="Times New Roman"/>
          <w:sz w:val="18"/>
          <w:szCs w:val="18"/>
          <w:color w:val="auto"/>
        </w:rPr>
        <w:t>. “Key performance milestone” performance metrics are established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defined annual incentive category. The Compensation Committee establishes threshold, target and maximum levels of performance for this category based on the number of milestones achieved. For 2025, a total of eight milestones were established relating to: wind fleet plant availability (based on the percentage of time our wind facilities are capable of generating electricity at their rated capacity(ies), solar fleet plant availability (based on the percentage of time our solar facilities are capable of generating electricity at their rated capacity(ies)), fleet capacity in service (based on the aggregate gigawatt level of total available fleet units that are operational and deployed), late-stage pipeline developments (based on projects that are advancing toward completion or commercial operation), implementation of cost efficiency and savings program, implementation of energy resource planning project, implementation and readiness of Enterprise Resource Planning (ERP), employee engagement survey participation levels (relating to levels of engagement in annual employee engagement survey), and adherence to budget.</w:t>
      </w:r>
    </w:p>
    <w:p>
      <w:pPr>
        <w:spacing w:after="0" w:line="340" w:lineRule="exact"/>
        <w:rPr>
          <w:rFonts w:ascii="Times New Roman" w:cs="Times New Roman" w:eastAsia="Times New Roman" w:hAnsi="Times New Roman"/>
          <w:sz w:val="18"/>
          <w:szCs w:val="18"/>
          <w:color w:val="auto"/>
        </w:rPr>
      </w:pPr>
    </w:p>
    <w:p>
      <w:pPr>
        <w:ind w:left="180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threshold performance required the achievement of three out of the eight milestones, target performance required the achievement of five out of the eight milestones, and maximum performance required the achievement of all eight milestones. Ultimately, performance between target and maximum was attained with the achievement of seven milestones in 2025.</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Performance</w:t>
      </w:r>
      <w:r>
        <w:rPr>
          <w:rFonts w:ascii="Times New Roman" w:cs="Times New Roman" w:eastAsia="Times New Roman" w:hAnsi="Times New Roman"/>
          <w:sz w:val="18"/>
          <w:szCs w:val="18"/>
          <w:color w:val="auto"/>
        </w:rPr>
        <w:t>. As indicated above, each NEO’s individual performance may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positively) affect his or her AIP bonus by up to 20% of his or her target award, although no AIP bonus payments can exceed 150% of the target award. Such individual performance is determined on a subjective basis based on the Compensation Committee’s assessment of the Other NEO’s contributions in supporting adherence to budget, support towards the achievement of key performance milestones, and other contributions towards the successful execution of the Company’s business strategy.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AIP Bonus Opportunity</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threshold, target and maximum AIP bonus opportunities for each NEO for 2025, expressed as a percentage of base salary, were: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62"/>
        </w:trPr>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4"/>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7"/>
                <w:szCs w:val="17"/>
                <w:b w:val="1"/>
                <w:bCs w:val="1"/>
                <w:color w:val="auto"/>
                <w:w w:val="92"/>
                <w:vertAlign w:val="superscript"/>
              </w:rPr>
              <w:t>(1)</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7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r>
              <w:rPr>
                <w:rFonts w:ascii="Times New Roman" w:cs="Times New Roman" w:eastAsia="Times New Roman" w:hAnsi="Times New Roman"/>
                <w:sz w:val="23"/>
                <w:szCs w:val="23"/>
                <w:color w:val="auto"/>
                <w:vertAlign w:val="superscript"/>
              </w:rPr>
              <w:t>(2)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​131.25 ​</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​1,312,500</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32.50 ​</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283,156</w:t>
            </w:r>
          </w:p>
        </w:tc>
      </w:tr>
      <w:tr>
        <w:trPr>
          <w:trHeight w:val="25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32.50 ​</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-513715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-513715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-513715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-513715</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719" w:hanging="360"/>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assumes that the CAFD performance metric and all other quantitative and qualitative goals, including the key performance milestones, are achieved at threshold, target and maximum levels, as applicable.</w:t>
      </w:r>
    </w:p>
    <w:p>
      <w:pPr>
        <w:spacing w:after="0" w:line="40" w:lineRule="exact"/>
        <w:rPr>
          <w:rFonts w:ascii="Times New Roman" w:cs="Times New Roman" w:eastAsia="Times New Roman" w:hAnsi="Times New Roman"/>
          <w:sz w:val="18"/>
          <w:szCs w:val="18"/>
          <w:color w:val="auto"/>
        </w:rPr>
      </w:pPr>
    </w:p>
    <w:p>
      <w:pPr>
        <w:ind w:left="1620" w:right="419" w:hanging="360"/>
        <w:spacing w:after="0" w:line="258"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Cornelius’ AIP bonus is payable solely by CEG in accordance with his employment agreement and such bonus is not subject to the Payroll Component. The above-described “Threshold” and “Maximum” figures for Mr. Cornelius represent amounts that are equal to 75% and 150%, respectively, of the above-described “Target” figure. As a result, Mr. Cornelius’ annual bonus is included in the above table for the sake of completeness, but is not included in the Summary Compensation Table.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Annual AIP Bonuses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noted above, with respect to AIP bonuses for 2025, the CAFD target was $420 million and the key performance milestone target was achievement of seven out of eight key performance milestones.</w:t>
      </w:r>
    </w:p>
    <w:p>
      <w:pPr>
        <w:spacing w:after="0" w:line="9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 2025, CAFD achievement was above target and below maximum at approximately $430.2 million, seven out of eight key performance milestones were achieved, and no adjustments were made or required with respect to DART Overages. Due to the achievement specified above, 2025 AIP bonuses were paid, and at levels between target and maximum for each of Ms. Rubenstein and Mr. Malcarney. The Compensation Committee elected to not apply an individual performance modifier with respect to any of our NEOs’ 2025 annual bonuses. If performance falls between threshold and target or target and maximum, the bonus opportunity will be determined on an interpolated basis.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annual incentive bonuses paid to the NEOs for 2025 were:</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Individual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Annual</w:t>
            </w: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Target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Salary Achieved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Modifier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Achieved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8"/>
              </w:rPr>
              <w:t>Payment</w:t>
            </w:r>
          </w:p>
        </w:tc>
      </w:tr>
      <w:tr>
        <w:trPr>
          <w:trHeight w:val="190"/>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r>
      <w:tr>
        <w:trPr>
          <w:trHeight w:val="277"/>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​1,614,375</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9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 80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348,281</w:t>
            </w:r>
          </w:p>
        </w:tc>
      </w:tr>
      <w:tr>
        <w:trPr>
          <w:trHeight w:val="25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98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80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347,708</w:t>
            </w: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-513715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-513715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-513715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-513715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79" w:hanging="360"/>
        <w:spacing w:after="0" w:line="26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Cornelius’ annual bonus is payable solely by CEG in accordance with his employment agreement and is included in the above table for the sake of completeness, but is not included in the Summary Compensation Table.</w:t>
      </w:r>
    </w:p>
    <w:p>
      <w:pPr>
        <w:spacing w:after="0" w:line="40" w:lineRule="exact"/>
        <w:rPr>
          <w:rFonts w:ascii="Times New Roman" w:cs="Times New Roman" w:eastAsia="Times New Roman" w:hAnsi="Times New Roman"/>
          <w:sz w:val="18"/>
          <w:szCs w:val="18"/>
          <w:color w:val="auto"/>
        </w:rPr>
      </w:pPr>
    </w:p>
    <w:p>
      <w:pPr>
        <w:jc w:val="both"/>
        <w:ind w:left="1620" w:right="59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Cornelius may elect to receive a portion of his annual bonus in shares of Company stock granted pursuant to CEG’s equity compensation program that would vest 100% immediately upon their grant.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48"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We believe that equity awards directly align our NEOs’ interests with those of our stockholders. In 2025, the Compensation Committee granted our NEOs a combination of (i) performance-based equity awards that are intended to be linked to long-term stockholder value creation, and (ii) time-based equity awards that represent a critical component of our long-term incentive compensation due to the retention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7" w:lineRule="auto"/>
        <w:rPr>
          <w:sz w:val="20"/>
          <w:szCs w:val="20"/>
          <w:color w:val="auto"/>
        </w:rPr>
      </w:pPr>
      <w:r>
        <w:rPr>
          <w:rFonts w:ascii="Times New Roman" w:cs="Times New Roman" w:eastAsia="Times New Roman" w:hAnsi="Times New Roman"/>
          <w:sz w:val="18"/>
          <w:szCs w:val="18"/>
          <w:color w:val="auto"/>
        </w:rPr>
        <w:t>aspects of the awards. To enhance our compensation program’s focus on Company performance, the majority of these long-term incentive awards (approximately 67%) were performance-based (i.e., granted as PSUs). The remainder of our long-term incentive awards (approximately 33%) were time-based</w:t>
      </w:r>
    </w:p>
    <w:p>
      <w:pPr>
        <w:spacing w:after="0" w:line="1"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(i.e., granted as RSUs which vest over three years). We believe that our AIP appropriately focuses our NEOs on shorter-term (one-year) financial metrics, while our LTIP emphasizes to our NEOs the importance of long-term stockholder value creation (i.e., three-year average per share CAFD performance (“Average CAFD Per Share”) with respect to PSUs granted in 2025 (“CPSUs”) and three-year relative TSR outperformance (“TPSUs”)).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and senior management monitor the Company’s equity grant practices to evaluate whether such policies comply with governing regulations and are consistent with good corporate practices. Such grants are typically made in mid-April each year. In addition, the Compensation Committee may make grants at any time during the year it deems appropriate, including with respect to new hires or transitions. Therefore, the proximity of any awards to other significant corporate events is coincidental. We do not grant, and in 2025 did not grant, stock options in anticipation of the release of material non-public information (“MNPI”). We attempt to make equity awards during periods when we do not have MNPI that could impact our stock price and we do not time, and in 2025 did not time, the release of MNPI based on equity grant dates or for the purpose of affecting the value of executive compensation.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 2025, Mr. Cornelius target LTIP awards were equal to 367% of his base salary and</w:t>
      </w:r>
    </w:p>
    <w:p>
      <w:pPr>
        <w:spacing w:after="0" w:line="27"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Ms. Rubenstein’s and Mr. Malcarney’s target LTIP awards were equal to 125% of their respective base salaries. Mr. Cornelius’ target LTIP award in 2025 increased from the 350% level specified in his employment agreement to 367% to recognize his performance. Our target LTIP awards for the Other NEOs remained unchanged from 2024 (i.e., as a percentage of their respective base salaries). In addition,</w:t>
      </w:r>
    </w:p>
    <w:p>
      <w:pPr>
        <w:spacing w:after="0" w:line="2"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Ms. Rubenstein received an additional one-time grant of 6,244 RSUs in recognition of achieving several key company initiatives. As noted above, in 2024, Mr. Cornelius received a one-time award of 375,000 restricted shares of Class C common stock of the Company under CEG’s equity compensation program (i.e., outside of our LTIP) which vests in three equal installments, with one-third having vested on October 1, 2024 and one-third having vested on October 1, 2025 and the remaining one-third vesting on October 1, 2026.</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u w:val="single" w:color="auto"/>
          <w:color w:val="auto"/>
        </w:rPr>
        <w:t>CPSU Awards</w:t>
      </w:r>
      <w:r>
        <w:rPr>
          <w:rFonts w:ascii="Times New Roman" w:cs="Times New Roman" w:eastAsia="Times New Roman" w:hAnsi="Times New Roman"/>
          <w:sz w:val="18"/>
          <w:szCs w:val="18"/>
          <w:color w:val="auto"/>
        </w:rPr>
        <w:t>. Each CPSU represents the potential to receive one share of Class C common stock, as adjusted, based on the Company’s Average CAFD Per Share. Average CAFD Per Share is calculated by dividing (i) the sum of our per share CAFD for each fiscal year during the relevant three-year performance period that applies to the underlying CPSU award by (ii) three. Per share CAFD is measured for each fiscal year by dividing (x) the “cash available for distribution” within the meaning of, and as reported in, the current report on Form 8-K filed by the Company that reports the Company’s fourth quarter and year-to-date financial results for the quarter and fiscal year ended December 31 of the relevant fiscal year, by (y) the weighted average number of common shares of the Company that are outstanding as of the last day of such fiscal year.</w:t>
      </w:r>
    </w:p>
    <w:p>
      <w:pPr>
        <w:spacing w:after="0" w:line="34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the event Average CAFD Per Share is (i) below 2.18, or “Below Threshold” performance, the award is forfeited, (ii) equal to 2.18, or “Threshold” performance, 50% of the award will be paid, (iii) equal to 2.33, or “Target” performance, 100% of the award will be paid, or (iv) at or above 2.46, or “Maximum” performance, a maximum payout of 200% of the award will be paid. In the event Average CAFD Per Share is between 2.18 and 2.33, or between 2.33 and 2.46, payouts will be based on an interpolated calculation.</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illustrates the design of our CPSUs in 2025.</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Average CAFD Per Share</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40" w:type="dxa"/>
            <w:vAlign w:val="bottom"/>
          </w:tcPr>
          <w:p>
            <w:pPr>
              <w:spacing w:after="0"/>
              <w:rPr>
                <w:sz w:val="14"/>
                <w:szCs w:val="14"/>
                <w:color w:val="auto"/>
              </w:rPr>
            </w:pPr>
          </w:p>
        </w:tc>
      </w:tr>
      <w:tr>
        <w:trPr>
          <w:trHeight w:val="190"/>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Performance Requirement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Opportunity</w:t>
            </w:r>
          </w:p>
        </w:tc>
      </w:tr>
      <w:tr>
        <w:trPr>
          <w:trHeight w:val="24"/>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Maximum</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Greater than or equal to 2.46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Target</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Equal to 2.33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Threshold</w:t>
            </w:r>
          </w:p>
        </w:tc>
        <w:tc>
          <w:tcPr>
            <w:tcW w:w="2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Equal to 2.18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Below Threshold</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Less than 2.18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-668020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-668020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u w:val="single" w:color="auto"/>
          <w:color w:val="auto"/>
        </w:rPr>
        <w:t>TPSU Awards</w:t>
      </w:r>
      <w:r>
        <w:rPr>
          <w:rFonts w:ascii="Times New Roman" w:cs="Times New Roman" w:eastAsia="Times New Roman" w:hAnsi="Times New Roman"/>
          <w:sz w:val="18"/>
          <w:szCs w:val="18"/>
          <w:color w:val="auto"/>
        </w:rPr>
        <w:t>. Each TPSU represents the potential to receive one share of Class C common stock, as adjusted, based on the Company’s TSR performance ranked against the TSR performance of a comparator group of similar companies (the “Performance Peer Group”) after the completion of a specified performance period. The performance period for such TPSUs generally is three years, but in the case of the initial PSU award granted to our Current CEO pursuant to his employment agreement, such PSU award covers the period from April 30, 2024 through December 31, 2026.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payout of shares of Class C common stock at the end of the performance period with respect to such TPSUs is based on the Company’s TSR performance percentile rank compared with the TSR performance of the Performance Peer Group. To ensure a rigorous program design, the target 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33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the event relative performance is (i) below the 25th percentile, or “Below Threshold” performance, the award will be forfeited, (ii) equal to the 25th percentile, or “Threshold” performance, 50% of the award will be paid (iii) equal to the 50th percentile, or “Standard Target” performance (or the 60th percentile if our absolute TSR performance is negative over the performance period, or “Modified Target” performance), 100% of the award will be paid, or (iv) at or above the 75th percentile, or “Maximum” performance, a maximum payout of 150% of the target (or 100% of the target if our absolute TSR performance is negative over the performance period) will be paid. If relative performance is between (x) the 25th percentile and the 50th percentile (or the 60th percentile as described above), or (y) the 50th percentile and the 75th percentile (in the event our absolute TSR is greater than or equal to zero over the performance period), then payouts will be based on an interpolated calculation. Based on the Company’s TSR performance ranked against the TSR performance of the Performance Peer Group over the three-year performance period ending on December 31, 2025, the TPSUs granted in 2023 will vest on April 15, 2026 at 107% of target.</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illustrates the design of our outstanding TPSUs in 2025.</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40" w:type="dxa"/>
            <w:vAlign w:val="bottom"/>
          </w:tcPr>
          <w:p>
            <w:pPr>
              <w:spacing w:after="0"/>
              <w:rPr>
                <w:sz w:val="14"/>
                <w:szCs w:val="14"/>
                <w:color w:val="auto"/>
              </w:rPr>
            </w:pPr>
          </w:p>
        </w:tc>
      </w:tr>
      <w:tr>
        <w:trPr>
          <w:trHeight w:val="190"/>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36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Performance Requirement</w:t>
            </w: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Opportunity</w:t>
            </w:r>
          </w:p>
        </w:tc>
        <w:tc>
          <w:tcPr>
            <w:tcW w:w="40" w:type="dxa"/>
            <w:vAlign w:val="bottom"/>
          </w:tcPr>
          <w:p>
            <w:pPr>
              <w:spacing w:after="0"/>
              <w:rPr>
                <w:sz w:val="16"/>
                <w:szCs w:val="16"/>
                <w:color w:val="auto"/>
              </w:rPr>
            </w:pPr>
          </w:p>
        </w:tc>
      </w:tr>
      <w:tr>
        <w:trPr>
          <w:trHeight w:val="23"/>
        </w:trPr>
        <w:tc>
          <w:tcPr>
            <w:tcW w:w="3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Maximum</w:t>
            </w:r>
          </w:p>
        </w:tc>
        <w:tc>
          <w:tcPr>
            <w:tcW w:w="36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75th percentile or above</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Target</w:t>
            </w:r>
          </w:p>
        </w:tc>
        <w:tc>
          <w:tcPr>
            <w:tcW w:w="140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5"/>
              </w:rPr>
              <w:t>Standard Target:</w:t>
            </w: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Modified Target:</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60th percentile (less than</w:t>
            </w: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3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50th percentile</w:t>
            </w:r>
          </w:p>
        </w:tc>
        <w:tc>
          <w:tcPr>
            <w:tcW w:w="2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0% absolute TSR)</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Threshold</w:t>
            </w:r>
          </w:p>
        </w:tc>
        <w:tc>
          <w:tcPr>
            <w:tcW w:w="36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25th percentile</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50%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Below Threshold</w:t>
            </w:r>
          </w:p>
        </w:tc>
        <w:tc>
          <w:tcPr>
            <w:tcW w:w="36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Below 25th percentile</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-967740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-967740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Each RSU represents the right to receive one share of our Class C common stock after the completion of the vesting period. The RSUs granted to the NEOs in 2025 vest ratably, meaning that one-third of the award vests each year on the anniversary of the grant date, over a three-year period.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Equivalent Rights (DERs)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In connection with awards of both PSUs and RSUs, each NEO also receives DERs, which accrue with respect to the award to which they relate. Accrued DERs are credited as additional shares that will be subject to the vesting and payment terms of the corresponding award of PSUs or RSUs, as applicable. Accordingly,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1" w:lineRule="auto"/>
        <w:rPr>
          <w:sz w:val="20"/>
          <w:szCs w:val="20"/>
          <w:color w:val="auto"/>
        </w:rPr>
      </w:pPr>
      <w:r>
        <w:rPr>
          <w:rFonts w:ascii="Times New Roman" w:cs="Times New Roman" w:eastAsia="Times New Roman" w:hAnsi="Times New Roman"/>
          <w:sz w:val="18"/>
          <w:szCs w:val="18"/>
          <w:color w:val="auto"/>
        </w:rPr>
        <w:t>accrued DERs are paid at the same time the shares of Class C common stock underlying each award are delivered to the NEO, and accrued DERs are forfeited if, or to the extent that, the underlying award is forfeited.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In 2023, the Compensation Committee adopted a “clawback” policy that is intended to comply with the requirements under the federal securities laws, including the Dodd-Frank Wall Street Reform and Consumer Protection Act of 2010 (the “Dodd-Frank Act”). A copy of the clawback policy has been filed as Exhibit 97 to the 2025 Form 10-K.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Sarbanes-Oxley Act, the CEO and the CFO would also be subject to a “clawback,” as required by the Sarbanes-Oxley Act.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All of our NEOs, as employees of CEG, are eligible to participate in the same CEG retirement, life insurance, health and welfare plans offered to other CEG employees pursuant to the terms of such CEG benefit plans (and for Mr. Cornelius, as further specified pursuant to his employment agreement). To generally support more complicated financial planning and estate planning matters, NEOs are eligible for reimbursement of annual tax return preparation, tax advice, financial planning and estate planning expenses, and CEG is responsible for making these reimbursement payments for the NEOs (and for Mr. Cornelius, as further specified pursuant to his employment agreement). During 2025, Mr. Cornelius was eligible for a maximum reimbursement of $12,000 per year and the remaining Other NEOs were each eligible for a maximum reimbursement of $3,000 per year.</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SEVERANCE AND CHANGE-IN-CONTROL BENEFITS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Each NEO’s PSU and RSU award agreements under the LTIP provide for certain treatment in the event of such NEO’s termination of employment under certain circumstances, including in connection with a change-in-control. Additionally, Mr. Cornelius, pursuant to his employment agreement (as described below), and the remaining Other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 The CIC Plan remains in effect for the Other NEOs, notwithstanding the transfer of their employment to CEG in 2025.</w:t>
      </w:r>
    </w:p>
    <w:p>
      <w:pPr>
        <w:spacing w:after="0" w:line="129"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believe change-in-control arrangements are considered a market practice among many publicly held companies. Most often, these arrangements are utilized to encourage executives to remain in the service of the relevant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often include restrictive covenants, such as non-compete, non-solicitation and confidentiality provisions that further protect the interests of the company.</w:t>
      </w:r>
    </w:p>
    <w:p>
      <w:pPr>
        <w:spacing w:after="0" w:line="129"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a more detailed discussion, including the quantification of potential payments, please see the section entitled “Severance and Change-in-Control” following the executive compensation tables below.</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2, 2026 is shown below. Each NEO exceeded his or her stock ownership guidelines as of March 2, 2026.</w:t>
      </w:r>
    </w:p>
    <w:p>
      <w:pPr>
        <w:spacing w:after="0" w:line="36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 w:type="dxa"/>
            <w:vAlign w:val="bottom"/>
          </w:tcPr>
          <w:p>
            <w:pPr>
              <w:spacing w:after="0"/>
              <w:rPr>
                <w:sz w:val="14"/>
                <w:szCs w:val="14"/>
                <w:color w:val="auto"/>
              </w:rPr>
            </w:pP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40" w:type="dxa"/>
            <w:vAlign w:val="bottom"/>
          </w:tcPr>
          <w:p>
            <w:pPr>
              <w:spacing w:after="0"/>
              <w:rPr>
                <w:sz w:val="14"/>
                <w:szCs w:val="14"/>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Multiple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Multiple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​5.0x</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5.6x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12.0x</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-496570</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-496570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Section 162(m) of the Code precludes us,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162(m).</w:t>
      </w:r>
    </w:p>
    <w:p>
      <w:pPr>
        <w:spacing w:after="0" w:line="13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 w:lineRule="exact"/>
        <w:rPr>
          <w:sz w:val="20"/>
          <w:szCs w:val="20"/>
          <w:color w:val="auto"/>
        </w:rPr>
      </w:pPr>
    </w:p>
    <w:p>
      <w:pPr>
        <w:jc w:val="right"/>
        <w:ind w:right="3520"/>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40640</wp:posOffset>
            </wp:positionV>
            <wp:extent cx="1783080" cy="4718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162"/>
        </w:trPr>
        <w:tc>
          <w:tcPr>
            <w:tcW w:w="11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r>
      <w:tr>
        <w:trPr>
          <w:trHeight w:val="214"/>
        </w:trPr>
        <w:tc>
          <w:tcPr>
            <w:tcW w:w="116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p>
        </w:tc>
        <w:tc>
          <w:tcPr>
            <w:tcW w:w="740" w:type="dxa"/>
            <w:vAlign w:val="bottom"/>
          </w:tcPr>
          <w:p>
            <w:pPr>
              <w:ind w:lef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5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Change in</w:t>
      </w:r>
    </w:p>
    <w:p>
      <w:pPr>
        <w:spacing w:after="0" w:line="19" w:lineRule="exact"/>
        <w:rPr>
          <w:sz w:val="20"/>
          <w:szCs w:val="20"/>
          <w:color w:val="auto"/>
        </w:rPr>
      </w:pPr>
    </w:p>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Pension</w:t>
      </w:r>
    </w:p>
    <w:p>
      <w:pPr>
        <w:spacing w:after="0" w:line="1" w:lineRule="exact"/>
        <w:rPr>
          <w:sz w:val="20"/>
          <w:szCs w:val="20"/>
          <w:color w:val="auto"/>
        </w:rPr>
      </w:pPr>
    </w:p>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Value and</w:t>
      </w:r>
    </w:p>
    <w:p>
      <w:pPr>
        <w:spacing w:after="0" w:line="1" w:lineRule="exact"/>
        <w:rPr>
          <w:sz w:val="20"/>
          <w:szCs w:val="20"/>
          <w:color w:val="auto"/>
        </w:rPr>
      </w:pPr>
    </w:p>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Nonqualified</w:t>
      </w:r>
    </w:p>
    <w:tbl>
      <w:tblPr>
        <w:tblLayout w:type="fixed"/>
        <w:tblInd w:w="0" w:type="dxa"/>
        <w:tblCellMar>
          <w:top w:w="0" w:type="dxa"/>
          <w:left w:w="0" w:type="dxa"/>
          <w:bottom w:w="0" w:type="dxa"/>
          <w:right w:w="0" w:type="dxa"/>
        </w:tblCellMar>
      </w:tblPr>
      <w:tr>
        <w:trPr>
          <w:trHeight w:val="145"/>
        </w:trPr>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Non-Equity</w:t>
            </w:r>
          </w:p>
        </w:tc>
        <w:tc>
          <w:tcPr>
            <w:tcW w:w="180" w:type="dxa"/>
            <w:vAlign w:val="bottom"/>
          </w:tcPr>
          <w:p>
            <w:pPr>
              <w:spacing w:after="0"/>
              <w:rPr>
                <w:sz w:val="12"/>
                <w:szCs w:val="12"/>
                <w:color w:val="auto"/>
              </w:rPr>
            </w:pPr>
          </w:p>
        </w:tc>
        <w:tc>
          <w:tcPr>
            <w:tcW w:w="7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Deferred</w:t>
            </w:r>
          </w:p>
        </w:tc>
      </w:tr>
      <w:tr>
        <w:trPr>
          <w:trHeight w:val="162"/>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Earnings</w:t>
            </w:r>
          </w:p>
        </w:tc>
      </w:tr>
      <w:tr>
        <w:trPr>
          <w:trHeight w:val="214"/>
        </w:trPr>
        <w:tc>
          <w:tcPr>
            <w:tcW w:w="58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0</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4">
            <w:col w:w="2460" w:space="720"/>
            <w:col w:w="2420" w:space="180"/>
            <w:col w:w="2540" w:space="60"/>
            <w:col w:w="190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26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4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Craig Cornelius</w:t>
            </w:r>
            <w:r>
              <w:rPr>
                <w:rFonts w:ascii="Times New Roman" w:cs="Times New Roman" w:eastAsia="Times New Roman" w:hAnsi="Times New Roman"/>
                <w:sz w:val="23"/>
                <w:szCs w:val="23"/>
                <w:b w:val="1"/>
                <w:bCs w:val="1"/>
                <w:color w:val="auto"/>
                <w:vertAlign w:val="superscript"/>
              </w:rPr>
              <w:t>(5)</w:t>
            </w:r>
          </w:p>
        </w:tc>
        <w:tc>
          <w:tcPr>
            <w:tcW w:w="2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820" w:type="dxa"/>
            <w:vAlign w:val="bottom"/>
            <w:gridSpan w:val="4"/>
            <w:shd w:val="clear" w:color="auto" w:fill="CCEEFF"/>
          </w:tcPr>
          <w:p>
            <w:pPr>
              <w:ind w:left="4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​2025</w:t>
            </w: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continue"/>
            <w:shd w:val="clear" w:color="auto" w:fill="CCEEFF"/>
          </w:tcPr>
          <w:p>
            <w:pPr>
              <w:spacing w:after="0"/>
              <w:rPr>
                <w:sz w:val="21"/>
                <w:szCs w:val="21"/>
                <w:color w:val="auto"/>
              </w:rPr>
            </w:pPr>
          </w:p>
        </w:tc>
        <w:tc>
          <w:tcPr>
            <w:tcW w:w="400" w:type="dxa"/>
            <w:vAlign w:val="bottom"/>
            <w:tcBorders>
              <w:left w:val="single" w:sz="8" w:color="CCEEFF"/>
              <w:right w:val="single" w:sz="8" w:color="CCEEFF"/>
            </w:tcBorders>
            <w:shd w:val="clear" w:color="auto" w:fill="CCEEFF"/>
          </w:tcPr>
          <w:p>
            <w:pPr>
              <w:jc w:val="right"/>
              <w:ind w:right="19"/>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​2,899,181</w:t>
            </w:r>
          </w:p>
        </w:tc>
        <w:tc>
          <w:tcPr>
            <w:tcW w:w="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ind w:left="6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5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​2,899,181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Chief  Executive</w:t>
            </w:r>
          </w:p>
        </w:tc>
        <w:tc>
          <w:tcPr>
            <w:tcW w:w="60" w:type="dxa"/>
            <w:vAlign w:val="bottom"/>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right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​​​​2,851,921​​​</w:t>
            </w:r>
          </w:p>
        </w:tc>
        <w:tc>
          <w:tcPr>
            <w:tcW w:w="4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​​​​2,851,921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1340" w:type="dxa"/>
            <w:vAlign w:val="bottom"/>
            <w:gridSpan w:val="7"/>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​433,990</w:t>
            </w:r>
            <w:r>
              <w:rPr>
                <w:rFonts w:ascii="Times New Roman" w:cs="Times New Roman" w:eastAsia="Times New Roman" w:hAnsi="Times New Roman"/>
                <w:sz w:val="27"/>
                <w:szCs w:val="27"/>
                <w:color w:val="auto"/>
                <w:vertAlign w:val="superscript"/>
              </w:rPr>
              <w:t>​​​</w:t>
            </w:r>
          </w:p>
        </w:tc>
        <w:tc>
          <w:tcPr>
            <w:tcW w:w="400" w:type="dxa"/>
            <w:vAlign w:val="bottom"/>
          </w:tcPr>
          <w:p>
            <w:pPr>
              <w:jc w:val="right"/>
              <w:ind w:right="19"/>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820" w:type="dxa"/>
            <w:vAlign w:val="bottom"/>
            <w:gridSpan w:val="3"/>
          </w:tcPr>
          <w:p>
            <w:pPr>
              <w:ind w:left="60"/>
              <w:spacing w:after="0" w:line="239" w:lineRule="exact"/>
              <w:rPr>
                <w:sz w:val="20"/>
                <w:szCs w:val="20"/>
                <w:color w:val="auto"/>
              </w:rPr>
            </w:pPr>
            <w:r>
              <w:rPr>
                <w:rFonts w:ascii="Times New Roman" w:cs="Times New Roman" w:eastAsia="Times New Roman" w:hAnsi="Times New Roman"/>
                <w:sz w:val="15"/>
                <w:szCs w:val="15"/>
                <w:color w:val="auto"/>
              </w:rPr>
              <w:t>773,485</w:t>
            </w:r>
            <w:r>
              <w:rPr>
                <w:rFonts w:ascii="Times New Roman" w:cs="Times New Roman" w:eastAsia="Times New Roman" w:hAnsi="Times New Roman"/>
                <w:sz w:val="27"/>
                <w:szCs w:val="27"/>
                <w:color w:val="auto"/>
                <w:vertAlign w:val="superscript"/>
              </w:rPr>
              <w:t>​​​</w:t>
            </w:r>
          </w:p>
        </w:tc>
        <w:tc>
          <w:tcPr>
            <w:tcW w:w="400" w:type="dxa"/>
            <w:vAlign w:val="bottom"/>
          </w:tcPr>
          <w:p>
            <w:pPr>
              <w:ind w:left="6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​348,281</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​22,043</w:t>
            </w:r>
          </w:p>
        </w:tc>
        <w:tc>
          <w:tcPr>
            <w:tcW w:w="9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​1,577,799</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Vice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President  and</w:t>
            </w:r>
          </w:p>
        </w:tc>
        <w:tc>
          <w:tcPr>
            <w:tcW w:w="60" w:type="dxa"/>
            <w:vAlign w:val="bottom"/>
          </w:tcPr>
          <w:p>
            <w:pPr>
              <w:spacing w:after="0"/>
              <w:rPr>
                <w:sz w:val="20"/>
                <w:szCs w:val="20"/>
                <w:color w:val="auto"/>
              </w:rPr>
            </w:pPr>
          </w:p>
        </w:tc>
        <w:tc>
          <w:tcPr>
            <w:tcW w:w="1680" w:type="dxa"/>
            <w:vAlign w:val="bottom"/>
            <w:gridSpan w:val="7"/>
          </w:tcPr>
          <w:p>
            <w:pPr>
              <w:jc w:val="right"/>
              <w:ind w:right="19"/>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​418,846</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w:t>
            </w:r>
          </w:p>
        </w:tc>
        <w:tc>
          <w:tcPr>
            <w:tcW w:w="220" w:type="dxa"/>
            <w:vAlign w:val="bottom"/>
            <w:gridSpan w:val="2"/>
          </w:tcPr>
          <w:p>
            <w:pPr>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820" w:type="dxa"/>
            <w:vAlign w:val="bottom"/>
            <w:gridSpan w:val="3"/>
          </w:tcPr>
          <w:p>
            <w:pPr>
              <w:ind w:left="60"/>
              <w:spacing w:after="0" w:line="235" w:lineRule="exact"/>
              <w:rPr>
                <w:sz w:val="20"/>
                <w:szCs w:val="20"/>
                <w:color w:val="auto"/>
              </w:rPr>
            </w:pPr>
            <w:r>
              <w:rPr>
                <w:rFonts w:ascii="Times New Roman" w:cs="Times New Roman" w:eastAsia="Times New Roman" w:hAnsi="Times New Roman"/>
                <w:sz w:val="15"/>
                <w:szCs w:val="15"/>
                <w:color w:val="auto"/>
              </w:rPr>
              <w:t>470,513</w:t>
            </w:r>
            <w:r>
              <w:rPr>
                <w:rFonts w:ascii="Times New Roman" w:cs="Times New Roman" w:eastAsia="Times New Roman" w:hAnsi="Times New Roman"/>
                <w:sz w:val="27"/>
                <w:szCs w:val="27"/>
                <w:color w:val="auto"/>
                <w:vertAlign w:val="superscript"/>
              </w:rPr>
              <w:t>​​​</w:t>
            </w:r>
          </w:p>
        </w:tc>
        <w:tc>
          <w:tcPr>
            <w:tcW w:w="400" w:type="dxa"/>
            <w:vAlign w:val="bottom"/>
          </w:tcPr>
          <w:p>
            <w:pPr>
              <w:ind w:left="6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​508,300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​13,800</w:t>
            </w:r>
          </w:p>
        </w:tc>
        <w:tc>
          <w:tcPr>
            <w:tcW w:w="104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​1,411,459</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306"/>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0" w:type="dxa"/>
            <w:vAlign w:val="bottom"/>
          </w:tcPr>
          <w:p>
            <w:pPr>
              <w:spacing w:after="0"/>
              <w:rPr>
                <w:sz w:val="24"/>
                <w:szCs w:val="24"/>
                <w:color w:val="auto"/>
              </w:rPr>
            </w:pPr>
          </w:p>
        </w:tc>
        <w:tc>
          <w:tcPr>
            <w:tcW w:w="1680" w:type="dxa"/>
            <w:vAlign w:val="bottom"/>
            <w:gridSpan w:val="7"/>
          </w:tcPr>
          <w:p>
            <w:pPr>
              <w:jc w:val="right"/>
              <w:ind w:right="19"/>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​369,365</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w:t>
            </w:r>
          </w:p>
        </w:tc>
        <w:tc>
          <w:tcPr>
            <w:tcW w:w="220" w:type="dxa"/>
            <w:vAlign w:val="bottom"/>
            <w:gridSpan w:val="2"/>
          </w:tcPr>
          <w:p>
            <w:pPr>
              <w:spacing w:after="0" w:line="30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820" w:type="dxa"/>
            <w:vAlign w:val="bottom"/>
            <w:gridSpan w:val="3"/>
          </w:tcPr>
          <w:p>
            <w:pPr>
              <w:ind w:left="60"/>
              <w:spacing w:after="0" w:line="306" w:lineRule="exact"/>
              <w:rPr>
                <w:sz w:val="20"/>
                <w:szCs w:val="20"/>
                <w:color w:val="auto"/>
              </w:rPr>
            </w:pPr>
            <w:r>
              <w:rPr>
                <w:rFonts w:ascii="Times New Roman" w:cs="Times New Roman" w:eastAsia="Times New Roman" w:hAnsi="Times New Roman"/>
                <w:sz w:val="18"/>
                <w:szCs w:val="18"/>
                <w:color w:val="auto"/>
              </w:rPr>
              <w:t>464,062</w:t>
            </w:r>
            <w:r>
              <w:rPr>
                <w:rFonts w:ascii="Times New Roman" w:cs="Times New Roman" w:eastAsia="Times New Roman" w:hAnsi="Times New Roman"/>
                <w:sz w:val="35"/>
                <w:szCs w:val="35"/>
                <w:color w:val="auto"/>
                <w:vertAlign w:val="superscript"/>
              </w:rPr>
              <w:t>​​​</w:t>
            </w:r>
          </w:p>
        </w:tc>
        <w:tc>
          <w:tcPr>
            <w:tcW w:w="400" w:type="dxa"/>
            <w:vAlign w:val="bottom"/>
          </w:tcPr>
          <w:p>
            <w:pPr>
              <w:ind w:left="6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​200,200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​13,200</w:t>
            </w:r>
          </w:p>
        </w:tc>
        <w:tc>
          <w:tcPr>
            <w:tcW w:w="1040" w:type="dxa"/>
            <w:vAlign w:val="bottom"/>
            <w:gridSpan w:val="4"/>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​1,046,827</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
        </w:trPr>
        <w:tc>
          <w:tcPr>
            <w:tcW w:w="26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0"/>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6"/>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​430,573</w:t>
            </w:r>
            <w:r>
              <w:rPr>
                <w:rFonts w:ascii="Times New Roman" w:cs="Times New Roman" w:eastAsia="Times New Roman" w:hAnsi="Times New Roman"/>
                <w:sz w:val="31"/>
                <w:szCs w:val="31"/>
                <w:color w:val="auto"/>
                <w:vertAlign w:val="superscript"/>
              </w:rPr>
              <w:t>​​​</w:t>
            </w:r>
          </w:p>
        </w:tc>
        <w:tc>
          <w:tcPr>
            <w:tcW w:w="400" w:type="dxa"/>
            <w:vAlign w:val="bottom"/>
            <w:tcBorders>
              <w:left w:val="single" w:sz="8" w:color="CCEEFF"/>
              <w:right w:val="single" w:sz="8" w:color="CCEEFF"/>
            </w:tcBorders>
            <w:shd w:val="clear" w:color="auto" w:fill="CCEEFF"/>
          </w:tcPr>
          <w:p>
            <w:pPr>
              <w:jc w:val="right"/>
              <w:ind w:right="19"/>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82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572,542</w:t>
            </w:r>
            <w:r>
              <w:rPr>
                <w:rFonts w:ascii="Times New Roman" w:cs="Times New Roman" w:eastAsia="Times New Roman" w:hAnsi="Times New Roman"/>
                <w:sz w:val="31"/>
                <w:szCs w:val="31"/>
                <w:color w:val="auto"/>
                <w:vertAlign w:val="superscript"/>
              </w:rPr>
              <w:t>​​​</w:t>
            </w:r>
          </w:p>
        </w:tc>
        <w:tc>
          <w:tcPr>
            <w:tcW w:w="400" w:type="dxa"/>
            <w:vAlign w:val="bottom"/>
            <w:tcBorders>
              <w:right w:val="single" w:sz="8" w:color="CCEEFF"/>
            </w:tcBorders>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5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​347,708</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​25,698</w:t>
            </w:r>
          </w:p>
        </w:tc>
        <w:tc>
          <w:tcPr>
            <w:tcW w:w="980" w:type="dxa"/>
            <w:vAlign w:val="bottom"/>
            <w:gridSpan w:val="3"/>
            <w:shd w:val="clear" w:color="auto" w:fill="CCEEFF"/>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​1,376,522</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Executive Vice President, General</w:t>
            </w:r>
          </w:p>
        </w:tc>
        <w:tc>
          <w:tcPr>
            <w:tcW w:w="60" w:type="dxa"/>
            <w:vAlign w:val="bottom"/>
          </w:tcPr>
          <w:p>
            <w:pPr>
              <w:spacing w:after="0"/>
              <w:rPr>
                <w:sz w:val="17"/>
                <w:szCs w:val="17"/>
                <w:color w:val="auto"/>
              </w:rPr>
            </w:pPr>
          </w:p>
        </w:tc>
        <w:tc>
          <w:tcPr>
            <w:tcW w:w="1680" w:type="dxa"/>
            <w:vAlign w:val="bottom"/>
            <w:gridSpan w:val="7"/>
          </w:tcPr>
          <w:p>
            <w:pPr>
              <w:jc w:val="right"/>
              <w:ind w:right="1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​2024</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​425,945</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4"/>
                <w:szCs w:val="14"/>
                <w:color w:val="auto"/>
              </w:rPr>
              <w:t>​—</w:t>
            </w:r>
          </w:p>
        </w:tc>
        <w:tc>
          <w:tcPr>
            <w:tcW w:w="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w:t>
            </w:r>
          </w:p>
        </w:tc>
        <w:tc>
          <w:tcPr>
            <w:tcW w:w="82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4"/>
                <w:szCs w:val="14"/>
                <w:color w:val="auto"/>
              </w:rPr>
              <w:t>474,339</w:t>
            </w:r>
            <w:r>
              <w:rPr>
                <w:rFonts w:ascii="Times New Roman" w:cs="Times New Roman" w:eastAsia="Times New Roman" w:hAnsi="Times New Roman"/>
                <w:sz w:val="23"/>
                <w:szCs w:val="23"/>
                <w:color w:val="auto"/>
                <w:vertAlign w:val="superscript"/>
              </w:rPr>
              <w:t>​​​</w:t>
            </w:r>
          </w:p>
        </w:tc>
        <w:tc>
          <w:tcPr>
            <w:tcW w:w="400" w:type="dxa"/>
            <w:vAlign w:val="bottom"/>
          </w:tcPr>
          <w:p>
            <w:pPr>
              <w:ind w:left="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w:t>
            </w:r>
          </w:p>
        </w:tc>
        <w:tc>
          <w:tcPr>
            <w:tcW w:w="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​512,462</w:t>
            </w:r>
          </w:p>
        </w:tc>
        <w:tc>
          <w:tcPr>
            <w:tcW w:w="3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w:t>
            </w:r>
          </w:p>
        </w:tc>
        <w:tc>
          <w:tcPr>
            <w:tcW w:w="40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​16,800</w:t>
            </w:r>
          </w:p>
        </w:tc>
        <w:tc>
          <w:tcPr>
            <w:tcW w:w="98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​1,429,546</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5"/>
        </w:trPr>
        <w:tc>
          <w:tcPr>
            <w:tcW w:w="2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Counsel and Corporate Secretary</w:t>
            </w:r>
          </w:p>
        </w:tc>
        <w:tc>
          <w:tcPr>
            <w:tcW w:w="60" w:type="dxa"/>
            <w:vAlign w:val="bottom"/>
          </w:tcPr>
          <w:p>
            <w:pPr>
              <w:spacing w:after="0"/>
              <w:rPr>
                <w:sz w:val="24"/>
                <w:szCs w:val="24"/>
                <w:color w:val="auto"/>
              </w:rPr>
            </w:pPr>
          </w:p>
        </w:tc>
        <w:tc>
          <w:tcPr>
            <w:tcW w:w="1280" w:type="dxa"/>
            <w:vAlign w:val="bottom"/>
            <w:gridSpan w:val="6"/>
          </w:tcPr>
          <w:p>
            <w:pPr>
              <w:ind w:left="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​410,154</w:t>
            </w:r>
            <w:r>
              <w:rPr>
                <w:rFonts w:ascii="Times New Roman" w:cs="Times New Roman" w:eastAsia="Times New Roman" w:hAnsi="Times New Roman"/>
                <w:sz w:val="35"/>
                <w:szCs w:val="35"/>
                <w:color w:val="auto"/>
                <w:vertAlign w:val="superscript"/>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496,605</w:t>
            </w:r>
            <w:r>
              <w:rPr>
                <w:rFonts w:ascii="Times New Roman" w:cs="Times New Roman" w:eastAsia="Times New Roman" w:hAnsi="Times New Roman"/>
                <w:sz w:val="35"/>
                <w:szCs w:val="35"/>
                <w:color w:val="auto"/>
                <w:vertAlign w:val="superscript"/>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​214,240</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1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​16,200</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​1,137,199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-556895</wp:posOffset>
            </wp:positionV>
            <wp:extent cx="6180455" cy="557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80455" cy="55753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base salary earnings.</w:t>
      </w:r>
    </w:p>
    <w:p>
      <w:pPr>
        <w:spacing w:after="0" w:line="103" w:lineRule="exact"/>
        <w:rPr>
          <w:rFonts w:ascii="Times New Roman" w:cs="Times New Roman" w:eastAsia="Times New Roman" w:hAnsi="Times New Roman"/>
          <w:sz w:val="18"/>
          <w:szCs w:val="18"/>
          <w:color w:val="auto"/>
        </w:rPr>
      </w:pPr>
    </w:p>
    <w:p>
      <w:pPr>
        <w:ind w:left="1620" w:right="820" w:hanging="360"/>
        <w:spacing w:after="0" w:line="25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and CPSUs (and in the case of the CPSUs, based on the probable outcome at the date of grant, which was assumed to be target). The fair value of the TPSUs, estimated on the date of grant using a Monte Carlo simulation model, has been revised from the amount reported in the preliminary proxy statement filed by the Company on March 9, 2026 to reflect the use of this model. The number of PSUs granted is based on the 10-day average closing price of the Company’s Class C common stock ending on the date of grant, which is intended to more closely reflect the compensation practices of the Compensation Peer Group companies. For PSUs granted in 2025, if the maximum level of performance is achieved, the fair value will be approximately $3,441,265 for Mr. Cornelius, $678,712 for</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and $677,635 for Mr. Malcarney.</w:t>
      </w:r>
    </w:p>
    <w:p>
      <w:pPr>
        <w:spacing w:after="0" w:line="85" w:lineRule="exact"/>
        <w:rPr>
          <w:rFonts w:ascii="Times New Roman" w:cs="Times New Roman" w:eastAsia="Times New Roman" w:hAnsi="Times New Roman"/>
          <w:sz w:val="18"/>
          <w:szCs w:val="18"/>
          <w:color w:val="auto"/>
        </w:rPr>
      </w:pPr>
    </w:p>
    <w:p>
      <w:pPr>
        <w:ind w:left="1620" w:right="1060"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annual incentive bonuses paid to the NEOs. Further information regarding the annual incentive bonuses is included in the “2025 Annual Incentive Bonuses” section of this CD&amp;A.</w:t>
      </w:r>
    </w:p>
    <w:p>
      <w:pPr>
        <w:spacing w:after="0" w:line="54" w:lineRule="exact"/>
        <w:rPr>
          <w:rFonts w:ascii="Times New Roman" w:cs="Times New Roman" w:eastAsia="Times New Roman" w:hAnsi="Times New Roman"/>
          <w:sz w:val="18"/>
          <w:szCs w:val="18"/>
          <w:color w:val="auto"/>
        </w:rPr>
      </w:pPr>
    </w:p>
    <w:p>
      <w:pPr>
        <w:ind w:left="1620" w:right="880"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provided in the All Other Compensation column represent the additional benefits payable to the Other NEOs and include financial advisor fees and the employer match under the 401(k) plan. The following table identifies the additional compensation for each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Financial</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401(k) Employer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Advisor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Matching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2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Fees ($)</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3"/>
        </w:trPr>
        <w:tc>
          <w:tcPr>
            <w:tcW w:w="4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5040" w:type="dxa"/>
            <w:vAlign w:val="bottom"/>
            <w:gridSpan w:val="2"/>
            <w:shd w:val="clear" w:color="auto" w:fill="CCEEFF"/>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Craig Cornelius</w:t>
            </w:r>
            <w:r>
              <w:rPr>
                <w:rFonts w:ascii="Times New Roman" w:cs="Times New Roman" w:eastAsia="Times New Roman" w:hAnsi="Times New Roman"/>
                <w:sz w:val="23"/>
                <w:szCs w:val="23"/>
                <w:b w:val="1"/>
                <w:bCs w:val="1"/>
                <w:color w:val="auto"/>
                <w:vertAlign w:val="superscript"/>
              </w:rPr>
              <w:t>(5)</w:t>
            </w:r>
          </w:p>
        </w:tc>
        <w:tc>
          <w:tcPr>
            <w:tcW w:w="38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80" w:type="dxa"/>
            <w:vAlign w:val="bottom"/>
            <w:gridSpan w:val="2"/>
            <w:shd w:val="clear" w:color="auto" w:fill="CCEEFF"/>
          </w:tcPr>
          <w:p>
            <w:pPr>
              <w:jc w:val="center"/>
              <w:ind w:right="2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2024</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48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2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2023</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3"/>
            <w:shd w:val="clear" w:color="auto" w:fill="CCEEFF"/>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580" w:type="dxa"/>
            <w:vAlign w:val="bottom"/>
            <w:gridSpan w:val="2"/>
          </w:tcPr>
          <w:p>
            <w:pPr>
              <w:jc w:val="center"/>
              <w:ind w:righ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90"/>
              <w:spacing w:after="0" w:line="252"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1000" w:type="dxa"/>
            <w:vAlign w:val="bottom"/>
            <w:gridSpan w:val="2"/>
          </w:tcPr>
          <w:p>
            <w:pPr>
              <w:jc w:val="right"/>
              <w:ind w:right="15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22,043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22,043</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80" w:type="dxa"/>
            <w:vAlign w:val="bottom"/>
            <w:gridSpan w:val="2"/>
          </w:tcPr>
          <w:p>
            <w:pPr>
              <w:jc w:val="center"/>
              <w:ind w:righ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2024</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9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1000" w:type="dxa"/>
            <w:vAlign w:val="bottom"/>
            <w:gridSpan w:val="2"/>
          </w:tcPr>
          <w:p>
            <w:pPr>
              <w:jc w:val="right"/>
              <w:ind w:right="15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13,800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13,800</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gridSpan w:val="2"/>
          </w:tcPr>
          <w:p>
            <w:pPr>
              <w:jc w:val="center"/>
              <w:ind w:right="2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2023</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00" w:type="dxa"/>
            <w:vAlign w:val="bottom"/>
            <w:gridSpan w:val="2"/>
          </w:tcPr>
          <w:p>
            <w:pPr>
              <w:jc w:val="right"/>
              <w:ind w:right="15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13,200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13,200</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2"/>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580" w:type="dxa"/>
            <w:vAlign w:val="bottom"/>
            <w:gridSpan w:val="2"/>
            <w:shd w:val="clear" w:color="auto" w:fill="CCEEFF"/>
          </w:tcPr>
          <w:p>
            <w:pPr>
              <w:jc w:val="center"/>
              <w:ind w:righ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2025</w:t>
            </w:r>
          </w:p>
        </w:tc>
        <w:tc>
          <w:tcPr>
            <w:tcW w:w="560" w:type="dxa"/>
            <w:vAlign w:val="bottom"/>
            <w:gridSpan w:val="2"/>
            <w:shd w:val="clear" w:color="auto" w:fill="CCEEFF"/>
          </w:tcPr>
          <w:p>
            <w:pPr>
              <w:ind w:left="8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3,000</w:t>
            </w: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5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22,698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25,698</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tc>
        <w:tc>
          <w:tcPr>
            <w:tcW w:w="580" w:type="dxa"/>
            <w:vAlign w:val="bottom"/>
            <w:gridSpan w:val="2"/>
            <w:shd w:val="clear" w:color="auto" w:fill="CCEEFF"/>
          </w:tcPr>
          <w:p>
            <w:pPr>
              <w:jc w:val="center"/>
              <w:ind w:right="20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p>
        </w:tc>
        <w:tc>
          <w:tcPr>
            <w:tcW w:w="560" w:type="dxa"/>
            <w:vAlign w:val="bottom"/>
            <w:gridSpan w:val="2"/>
            <w:shd w:val="clear" w:color="auto" w:fill="CCEEFF"/>
          </w:tcPr>
          <w:p>
            <w:pPr>
              <w:ind w:left="8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3,000</w:t>
            </w: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5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13,800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16,800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Secretary</w:t>
            </w:r>
          </w:p>
        </w:tc>
        <w:tc>
          <w:tcPr>
            <w:tcW w:w="5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p>
        </w:tc>
        <w:tc>
          <w:tcPr>
            <w:tcW w:w="5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3,000</w:t>
            </w:r>
          </w:p>
        </w:tc>
        <w:tc>
          <w:tcPr>
            <w:tcW w:w="2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13,200</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16,200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-1645285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-1645285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-1645285</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-1645285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 w:lineRule="exact"/>
        <w:rPr>
          <w:sz w:val="20"/>
          <w:szCs w:val="20"/>
          <w:color w:val="auto"/>
        </w:rPr>
      </w:pPr>
    </w:p>
    <w:p>
      <w:pPr>
        <w:ind w:left="1620" w:right="880" w:hanging="360"/>
        <w:spacing w:after="0" w:line="257"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40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2100"/>
        <w:spacing w:after="0"/>
        <w:tabs>
          <w:tab w:leader="none" w:pos="2820" w:val="left"/>
        </w:tabs>
        <w:rPr>
          <w:sz w:val="20"/>
          <w:szCs w:val="20"/>
          <w:color w:val="auto"/>
        </w:rPr>
      </w:pPr>
      <w:r>
        <w:rPr>
          <w:rFonts w:ascii="Times New Roman" w:cs="Times New Roman" w:eastAsia="Times New Roman" w:hAnsi="Times New Roman"/>
          <w:sz w:val="14"/>
          <w:szCs w:val="14"/>
          <w:b w:val="1"/>
          <w:bCs w:val="1"/>
          <w:color w:val="auto"/>
        </w:rPr>
        <w:t>Award</w:t>
      </w:r>
      <w:r>
        <w:rPr>
          <w:sz w:val="20"/>
          <w:szCs w:val="20"/>
          <w:color w:val="auto"/>
        </w:rPr>
        <w:tab/>
      </w:r>
      <w:r>
        <w:rPr>
          <w:rFonts w:ascii="Times New Roman" w:cs="Times New Roman" w:eastAsia="Times New Roman" w:hAnsi="Times New Roman"/>
          <w:sz w:val="14"/>
          <w:szCs w:val="14"/>
          <w:b w:val="1"/>
          <w:bCs w:val="1"/>
          <w:color w:val="auto"/>
        </w:rPr>
        <w:t>Grant</w:t>
      </w:r>
    </w:p>
    <w:p>
      <w:pPr>
        <w:ind w:left="500"/>
        <w:spacing w:after="0"/>
        <w:tabs>
          <w:tab w:leader="none" w:pos="1980" w:val="left"/>
          <w:tab w:leader="none" w:pos="2580" w:val="left"/>
          <w:tab w:leader="none" w:pos="2880" w:val="left"/>
        </w:tabs>
        <w:rPr>
          <w:sz w:val="20"/>
          <w:szCs w:val="20"/>
          <w:color w:val="auto"/>
        </w:rPr>
      </w:pPr>
      <w:r>
        <w:rPr>
          <w:rFonts w:ascii="Times New Roman" w:cs="Times New Roman" w:eastAsia="Times New Roman" w:hAnsi="Times New Roman"/>
          <w:sz w:val="13"/>
          <w:szCs w:val="13"/>
          <w:b w:val="1"/>
          <w:bCs w:val="1"/>
          <w:color w:val="auto"/>
        </w:rPr>
        <w:t>Name</w:t>
      </w:r>
      <w:r>
        <w:rPr>
          <w:sz w:val="20"/>
          <w:szCs w:val="20"/>
          <w:color w:val="auto"/>
        </w:rPr>
        <w:tab/>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Type</w:t>
      </w:r>
      <w:r>
        <w:rPr>
          <w:sz w:val="20"/>
          <w:szCs w:val="20"/>
          <w:color w:val="auto"/>
        </w:rPr>
        <w:tab/>
      </w:r>
      <w:r>
        <w:rPr>
          <w:rFonts w:ascii="Times New Roman" w:cs="Times New Roman" w:eastAsia="Times New Roman" w:hAnsi="Times New Roman"/>
          <w:sz w:val="24"/>
          <w:szCs w:val="24"/>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wp:posOffset>
            </wp:positionV>
            <wp:extent cx="1379855" cy="523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9855" cy="523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214"/>
        </w:trPr>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Future Payouts Under</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2360" w:type="dxa"/>
            <w:vAlign w:val="bottom"/>
            <w:gridSpan w:val="7"/>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1"/>
                <w:szCs w:val="11"/>
                <w:b w:val="1"/>
                <w:bCs w:val="1"/>
                <w:color w:val="auto"/>
              </w:rPr>
              <w:t xml:space="preserve"> Non-Equity Incentive Plan Awards</w:t>
            </w:r>
            <w:r>
              <w:rPr>
                <w:rFonts w:ascii="Times New Roman" w:cs="Times New Roman" w:eastAsia="Times New Roman" w:hAnsi="Times New Roman"/>
                <w:sz w:val="12"/>
                <w:szCs w:val="12"/>
                <w:b w:val="1"/>
                <w:bCs w:val="1"/>
                <w:color w:val="auto"/>
                <w:vertAlign w:val="superscript"/>
              </w:rPr>
              <w:t>(1)</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Equity Incentive Plan Awards</w:t>
            </w:r>
            <w:r>
              <w:rPr>
                <w:rFonts w:ascii="Times New Roman" w:cs="Times New Roman" w:eastAsia="Times New Roman" w:hAnsi="Times New Roman"/>
                <w:sz w:val="17"/>
                <w:szCs w:val="17"/>
                <w:b w:val="1"/>
                <w:bCs w:val="1"/>
                <w:color w:val="auto"/>
                <w:w w:val="95"/>
                <w:vertAlign w:val="superscript"/>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stock or</w:t>
            </w:r>
          </w:p>
        </w:tc>
        <w:tc>
          <w:tcPr>
            <w:tcW w:w="0" w:type="dxa"/>
            <w:vAlign w:val="bottom"/>
          </w:tcPr>
          <w:p>
            <w:pPr>
              <w:spacing w:after="0"/>
              <w:rPr>
                <w:sz w:val="1"/>
                <w:szCs w:val="1"/>
                <w:color w:val="auto"/>
              </w:rPr>
            </w:pPr>
          </w:p>
        </w:tc>
      </w:tr>
      <w:tr>
        <w:trPr>
          <w:trHeight w:val="23"/>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60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3"/>
              </w:rPr>
              <w:t>units</w:t>
            </w:r>
            <w:r>
              <w:rPr>
                <w:rFonts w:ascii="Times New Roman" w:cs="Times New Roman" w:eastAsia="Times New Roman" w:hAnsi="Times New Roman"/>
                <w:sz w:val="17"/>
                <w:szCs w:val="17"/>
                <w:b w:val="1"/>
                <w:bCs w:val="1"/>
                <w:color w:val="auto"/>
                <w:w w:val="93"/>
                <w:vertAlign w:val="superscript"/>
              </w:rPr>
              <w:t>(3)</w:t>
            </w:r>
          </w:p>
        </w:tc>
        <w:tc>
          <w:tcPr>
            <w:tcW w:w="0" w:type="dxa"/>
            <w:vAlign w:val="bottom"/>
          </w:tcPr>
          <w:p>
            <w:pPr>
              <w:spacing w:after="0"/>
              <w:rPr>
                <w:sz w:val="1"/>
                <w:szCs w:val="1"/>
                <w:color w:val="auto"/>
              </w:rPr>
            </w:pPr>
          </w:p>
        </w:tc>
      </w:tr>
      <w:tr>
        <w:trPr>
          <w:trHeight w:val="214"/>
        </w:trPr>
        <w:tc>
          <w:tcPr>
            <w:tcW w:w="74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Date</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p>
      <w:pPr>
        <w:jc w:val="center"/>
        <w:spacing w:after="0" w:line="234" w:lineRule="auto"/>
        <w:rPr>
          <w:sz w:val="20"/>
          <w:szCs w:val="20"/>
          <w:color w:val="auto"/>
        </w:rPr>
      </w:pPr>
      <w:r>
        <w:rPr>
          <w:rFonts w:ascii="Times New Roman" w:cs="Times New Roman" w:eastAsia="Times New Roman" w:hAnsi="Times New Roman"/>
          <w:sz w:val="14"/>
          <w:szCs w:val="14"/>
          <w:b w:val="1"/>
          <w:bCs w:val="1"/>
          <w:color w:val="auto"/>
        </w:rPr>
        <w:t>of stock</w:t>
      </w:r>
    </w:p>
    <w:p>
      <w:pPr>
        <w:jc w:val="center"/>
        <w:spacing w:after="0" w:line="206" w:lineRule="auto"/>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7"/>
          <w:szCs w:val="17"/>
          <w:b w:val="1"/>
          <w:bCs w:val="1"/>
          <w:color w:val="auto"/>
          <w:vertAlign w:val="superscript"/>
        </w:rPr>
        <w:t>(4)</w:t>
      </w:r>
    </w:p>
    <w:p>
      <w:pPr>
        <w:jc w:val="center"/>
        <w:ind w:right="20"/>
        <w:spacing w:after="0" w:line="185" w:lineRule="auto"/>
        <w:tabs>
          <w:tab w:leader="none" w:pos="260" w:val="left"/>
          <w:tab w:leader="none" w:pos="260" w:val="left"/>
        </w:tabs>
        <w:rPr>
          <w:sz w:val="20"/>
          <w:szCs w:val="20"/>
          <w:color w:val="auto"/>
        </w:rPr>
      </w:pPr>
      <w:r>
        <w:rPr>
          <w:rFonts w:ascii="Times New Roman" w:cs="Times New Roman" w:eastAsia="Times New Roman" w:hAnsi="Times New Roman"/>
          <w:sz w:val="20"/>
          <w:szCs w:val="20"/>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3">
            <w:col w:w="3200" w:space="220"/>
            <w:col w:w="5940" w:space="60"/>
            <w:col w:w="86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7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Craig Cornelius</w:t>
            </w:r>
            <w:r>
              <w:rPr>
                <w:rFonts w:ascii="Times New Roman" w:cs="Times New Roman" w:eastAsia="Times New Roman" w:hAnsi="Times New Roman"/>
                <w:sz w:val="21"/>
                <w:szCs w:val="21"/>
                <w:b w:val="1"/>
                <w:bCs w:val="1"/>
                <w:color w:val="auto"/>
                <w:vertAlign w:val="superscript"/>
              </w:rPr>
              <w:t>(6)</w:t>
            </w:r>
          </w:p>
        </w:tc>
        <w:tc>
          <w:tcPr>
            <w:tcW w:w="80" w:type="dxa"/>
            <w:vAlign w:val="bottom"/>
            <w:tcBorders>
              <w:right w:val="single" w:sz="8" w:color="CCEEFF"/>
            </w:tcBorders>
          </w:tcPr>
          <w:p>
            <w:pPr>
              <w:spacing w:after="0"/>
              <w:rPr>
                <w:sz w:val="21"/>
                <w:szCs w:val="21"/>
                <w:color w:val="auto"/>
              </w:rPr>
            </w:pPr>
          </w:p>
        </w:tc>
        <w:tc>
          <w:tcPr>
            <w:tcW w:w="5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TPSU</w:t>
            </w:r>
          </w:p>
        </w:tc>
        <w:tc>
          <w:tcPr>
            <w:tcW w:w="1980" w:type="dxa"/>
            <w:vAlign w:val="bottom"/>
            <w:gridSpan w:val="8"/>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​4/15/2025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​2/15/2025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4"/>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​16,392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​49,176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64"/>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​1,084,167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CPSU</w:t>
            </w:r>
          </w:p>
        </w:tc>
        <w:tc>
          <w:tcPr>
            <w:tcW w:w="1980" w:type="dxa"/>
            <w:vAlign w:val="bottom"/>
            <w:gridSpan w:val="8"/>
          </w:tcPr>
          <w:p>
            <w:pPr>
              <w:jc w:val="right"/>
              <w:ind w:right="18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​15,609</w:t>
            </w:r>
          </w:p>
        </w:tc>
        <w:tc>
          <w:tcPr>
            <w:tcW w:w="700" w:type="dxa"/>
            <w:vAlign w:val="bottom"/>
            <w:gridSpan w:val="4"/>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​31,218</w:t>
            </w:r>
          </w:p>
        </w:tc>
        <w:tc>
          <w:tcPr>
            <w:tcW w:w="68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​62,436</w:t>
            </w:r>
          </w:p>
        </w:tc>
        <w:tc>
          <w:tcPr>
            <w:tcW w:w="44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300" w:type="dxa"/>
            <w:vAlign w:val="bottom"/>
            <w:gridSpan w:val="3"/>
          </w:tcPr>
          <w:p>
            <w:pPr>
              <w:jc w:val="right"/>
              <w:ind w:right="40"/>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RSU</w:t>
            </w: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1980" w:type="dxa"/>
            <w:vAlign w:val="bottom"/>
            <w:tcBorders>
              <w:bottom w:val="single" w:sz="8" w:color="CCEEFF"/>
            </w:tcBorders>
            <w:gridSpan w:val="8"/>
            <w:shd w:val="clear" w:color="auto" w:fill="CCEEFF"/>
          </w:tcPr>
          <w:p>
            <w:pPr>
              <w:jc w:val="right"/>
              <w:ind w:right="18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8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10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40"/>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3"/>
            <w:shd w:val="clear" w:color="auto" w:fill="CCEEFF"/>
          </w:tcPr>
          <w:p>
            <w:pPr>
              <w:jc w:val="right"/>
              <w:ind w:right="32"/>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jc w:val="right"/>
              <w:ind w:right="6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4"/>
            <w:shd w:val="clear" w:color="auto" w:fill="CCEEFF"/>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​31,218</w:t>
            </w:r>
          </w:p>
        </w:tc>
        <w:tc>
          <w:tcPr>
            <w:tcW w:w="300" w:type="dxa"/>
            <w:vAlign w:val="bottom"/>
            <w:tcBorders>
              <w:bottom w:val="single" w:sz="8" w:color="CCEEFF"/>
            </w:tcBorders>
            <w:gridSpan w:val="3"/>
            <w:shd w:val="clear" w:color="auto" w:fill="CCEEFF"/>
          </w:tcPr>
          <w:p>
            <w:pPr>
              <w:jc w:val="right"/>
              <w:ind w:right="4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907,507</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60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AIP</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74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​141,578</w:t>
            </w:r>
          </w:p>
        </w:tc>
        <w:tc>
          <w:tcPr>
            <w:tcW w:w="78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​283,156</w:t>
            </w:r>
          </w:p>
        </w:tc>
        <w:tc>
          <w:tcPr>
            <w:tcW w:w="80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​566,313</w:t>
            </w:r>
          </w:p>
        </w:tc>
        <w:tc>
          <w:tcPr>
            <w:tcW w:w="320" w:type="dxa"/>
            <w:vAlign w:val="bottom"/>
            <w:gridSpan w:val="2"/>
          </w:tcPr>
          <w:p>
            <w:pPr>
              <w:jc w:val="right"/>
              <w:ind w:right="140"/>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32"/>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6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8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TPSU</w:t>
            </w:r>
          </w:p>
        </w:tc>
        <w:tc>
          <w:tcPr>
            <w:tcW w:w="1980" w:type="dxa"/>
            <w:vAlign w:val="bottom"/>
            <w:gridSpan w:val="8"/>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​4/15/2025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31"/>
                <w:szCs w:val="31"/>
                <w:b w:val="1"/>
                <w:bCs w:val="1"/>
                <w:color w:val="auto"/>
                <w:vertAlign w:val="superscript"/>
              </w:rPr>
              <w:t>​</w:t>
            </w:r>
          </w:p>
        </w:tc>
        <w:tc>
          <w:tcPr>
            <w:tcW w:w="38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6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3,182</w:t>
            </w:r>
          </w:p>
        </w:tc>
        <w:tc>
          <w:tcPr>
            <w:tcW w:w="7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6,364</w:t>
            </w:r>
          </w:p>
        </w:tc>
        <w:tc>
          <w:tcPr>
            <w:tcW w:w="6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9,546</w:t>
            </w:r>
          </w:p>
        </w:tc>
        <w:tc>
          <w:tcPr>
            <w:tcW w:w="44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210,457</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CPSU</w:t>
            </w:r>
          </w:p>
        </w:tc>
        <w:tc>
          <w:tcPr>
            <w:tcW w:w="1980" w:type="dxa"/>
            <w:vAlign w:val="bottom"/>
            <w:gridSpan w:val="8"/>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​4/15/2025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31"/>
                <w:szCs w:val="31"/>
                <w:b w:val="1"/>
                <w:bCs w:val="1"/>
                <w:color w:val="auto"/>
                <w:vertAlign w:val="superscript"/>
              </w:rPr>
              <w:t>​</w:t>
            </w:r>
          </w:p>
        </w:tc>
        <w:tc>
          <w:tcPr>
            <w:tcW w:w="38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6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 3,122</w:t>
            </w:r>
          </w:p>
        </w:tc>
        <w:tc>
          <w:tcPr>
            <w:tcW w:w="7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6,244</w:t>
            </w:r>
          </w:p>
        </w:tc>
        <w:tc>
          <w:tcPr>
            <w:tcW w:w="6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​12,488</w:t>
            </w:r>
          </w:p>
        </w:tc>
        <w:tc>
          <w:tcPr>
            <w:tcW w:w="44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181,513</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line="269" w:lineRule="exact"/>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31"/>
                <w:szCs w:val="31"/>
                <w:color w:val="auto"/>
                <w:w w:val="96"/>
                <w:vertAlign w:val="subscript"/>
              </w:rPr>
              <w:t>RSU</w:t>
            </w:r>
            <w:r>
              <w:rPr>
                <w:rFonts w:ascii="Times New Roman" w:cs="Times New Roman" w:eastAsia="Times New Roman" w:hAnsi="Times New Roman"/>
                <w:sz w:val="10"/>
                <w:szCs w:val="10"/>
                <w:color w:val="auto"/>
                <w:w w:val="96"/>
              </w:rPr>
              <w:t>(5)</w:t>
            </w:r>
          </w:p>
        </w:tc>
        <w:tc>
          <w:tcPr>
            <w:tcW w:w="1980" w:type="dxa"/>
            <w:vAlign w:val="bottom"/>
            <w:gridSpan w:val="8"/>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​4/15/2025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31"/>
                <w:szCs w:val="31"/>
                <w:b w:val="1"/>
                <w:bCs w:val="1"/>
                <w:color w:val="auto"/>
                <w:vertAlign w:val="superscript"/>
              </w:rPr>
              <w:t>​</w:t>
            </w:r>
          </w:p>
        </w:tc>
        <w:tc>
          <w:tcPr>
            <w:tcW w:w="38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7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6"/>
                <w:szCs w:val="16"/>
                <w:color w:val="auto"/>
              </w:rPr>
              <w:t>​ 6,244</w:t>
            </w:r>
          </w:p>
        </w:tc>
        <w:tc>
          <w:tcPr>
            <w:tcW w:w="3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181,513</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RSU</w:t>
            </w:r>
          </w:p>
        </w:tc>
        <w:tc>
          <w:tcPr>
            <w:tcW w:w="1980" w:type="dxa"/>
            <w:vAlign w:val="bottom"/>
            <w:gridSpan w:val="8"/>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​4/15/2025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​2/15/2025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31"/>
                <w:szCs w:val="31"/>
                <w:b w:val="1"/>
                <w:bCs w:val="1"/>
                <w:color w:val="auto"/>
                <w:vertAlign w:val="superscript"/>
              </w:rPr>
              <w:t>​</w:t>
            </w:r>
          </w:p>
        </w:tc>
        <w:tc>
          <w:tcPr>
            <w:tcW w:w="38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38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3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3"/>
                <w:szCs w:val="23"/>
                <w:color w:val="auto"/>
              </w:rPr>
            </w:pPr>
          </w:p>
        </w:tc>
        <w:tc>
          <w:tcPr>
            <w:tcW w:w="7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 ​</w:t>
            </w:r>
            <w:r>
              <w:rPr>
                <w:rFonts w:ascii="Times New Roman" w:cs="Times New Roman" w:eastAsia="Times New Roman" w:hAnsi="Times New Roman"/>
                <w:sz w:val="16"/>
                <w:szCs w:val="16"/>
                <w:color w:val="auto"/>
              </w:rPr>
              <w:t>​ 6,880</w:t>
            </w:r>
          </w:p>
        </w:tc>
        <w:tc>
          <w:tcPr>
            <w:tcW w:w="30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200,002</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0"/>
        </w:trPr>
        <w:tc>
          <w:tcPr>
            <w:tcW w:w="1560" w:type="dxa"/>
            <w:vAlign w:val="bottom"/>
            <w:tcBorders>
              <w:right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Kevin P. Malcarney</w:t>
            </w:r>
          </w:p>
        </w:tc>
        <w:tc>
          <w:tcPr>
            <w:tcW w:w="52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AIP</w:t>
            </w:r>
          </w:p>
        </w:tc>
        <w:tc>
          <w:tcPr>
            <w:tcW w:w="62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580" w:type="dxa"/>
            <w:vAlign w:val="bottom"/>
            <w:gridSpan w:val="3"/>
            <w:shd w:val="clear" w:color="auto" w:fill="CCEEFF"/>
          </w:tcPr>
          <w:p>
            <w:pPr>
              <w:jc w:val="right"/>
              <w:ind w:righ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1160" w:type="dxa"/>
            <w:vAlign w:val="bottom"/>
            <w:tcBorders>
              <w:right w:val="single" w:sz="8" w:color="CCEEFF"/>
            </w:tcBorders>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​141,345</w:t>
            </w:r>
          </w:p>
        </w:tc>
        <w:tc>
          <w:tcPr>
            <w:tcW w:w="780" w:type="dxa"/>
            <w:vAlign w:val="bottom"/>
            <w:tcBorders>
              <w:righ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​282,690</w:t>
            </w:r>
          </w:p>
        </w:tc>
        <w:tc>
          <w:tcPr>
            <w:tcW w:w="800" w:type="dxa"/>
            <w:vAlign w:val="bottom"/>
            <w:tcBorders>
              <w:righ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6"/>
                <w:szCs w:val="16"/>
                <w:color w:val="auto"/>
              </w:rPr>
              <w:t>​565,379</w:t>
            </w:r>
          </w:p>
        </w:tc>
        <w:tc>
          <w:tcPr>
            <w:tcW w:w="320" w:type="dxa"/>
            <w:vAlign w:val="bottom"/>
            <w:gridSpan w:val="2"/>
            <w:shd w:val="clear" w:color="auto" w:fill="CCEEFF"/>
          </w:tcPr>
          <w:p>
            <w:pPr>
              <w:jc w:val="right"/>
              <w:ind w:right="140"/>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32"/>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4"/>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64"/>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TPSU</w:t>
            </w:r>
          </w:p>
        </w:tc>
        <w:tc>
          <w:tcPr>
            <w:tcW w:w="1980" w:type="dxa"/>
            <w:vAlign w:val="bottom"/>
            <w:gridSpan w:val="8"/>
          </w:tcPr>
          <w:p>
            <w:pPr>
              <w:jc w:val="right"/>
              <w:ind w:right="18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3,177</w:t>
            </w:r>
          </w:p>
        </w:tc>
        <w:tc>
          <w:tcPr>
            <w:tcW w:w="700" w:type="dxa"/>
            <w:vAlign w:val="bottom"/>
            <w:gridSpan w:val="4"/>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6,354</w:t>
            </w:r>
          </w:p>
        </w:tc>
        <w:tc>
          <w:tcPr>
            <w:tcW w:w="680" w:type="dxa"/>
            <w:vAlign w:val="bottom"/>
            <w:gridSpan w:val="3"/>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9,531</w:t>
            </w:r>
          </w:p>
        </w:tc>
        <w:tc>
          <w:tcPr>
            <w:tcW w:w="440" w:type="dxa"/>
            <w:vAlign w:val="bottom"/>
            <w:gridSpan w:val="3"/>
          </w:tcPr>
          <w:p>
            <w:pPr>
              <w:jc w:val="right"/>
              <w:ind w:right="6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CPSU</w:t>
            </w: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41"/>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980" w:type="dxa"/>
            <w:vAlign w:val="bottom"/>
            <w:gridSpan w:val="8"/>
            <w:shd w:val="clear" w:color="auto" w:fill="CCEEFF"/>
          </w:tcPr>
          <w:p>
            <w:pPr>
              <w:jc w:val="right"/>
              <w:ind w:right="18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​2/15/2025</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3,117</w:t>
            </w:r>
          </w:p>
        </w:tc>
        <w:tc>
          <w:tcPr>
            <w:tcW w:w="700" w:type="dxa"/>
            <w:vAlign w:val="bottom"/>
            <w:gridSpan w:val="4"/>
            <w:shd w:val="clear" w:color="auto" w:fill="CCEEFF"/>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6,234</w:t>
            </w:r>
          </w:p>
        </w:tc>
        <w:tc>
          <w:tcPr>
            <w:tcW w:w="680" w:type="dxa"/>
            <w:vAlign w:val="bottom"/>
            <w:gridSpan w:val="3"/>
            <w:shd w:val="clear" w:color="auto" w:fill="CCEEFF"/>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​12,468</w:t>
            </w:r>
          </w:p>
        </w:tc>
        <w:tc>
          <w:tcPr>
            <w:tcW w:w="440" w:type="dxa"/>
            <w:vAlign w:val="bottom"/>
            <w:gridSpan w:val="3"/>
            <w:shd w:val="clear" w:color="auto" w:fill="CCEEFF"/>
          </w:tcPr>
          <w:p>
            <w:pPr>
              <w:jc w:val="right"/>
              <w:ind w:right="64"/>
              <w:spacing w:after="0" w:line="241"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40"/>
              <w:spacing w:after="0" w:line="24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181,222</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line="36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RSU</w:t>
            </w:r>
          </w:p>
        </w:tc>
        <w:tc>
          <w:tcPr>
            <w:tcW w:w="1980" w:type="dxa"/>
            <w:vAlign w:val="bottom"/>
            <w:gridSpan w:val="8"/>
            <w:shd w:val="clear" w:color="auto" w:fill="CCEEFF"/>
          </w:tcPr>
          <w:p>
            <w:pPr>
              <w:jc w:val="right"/>
              <w:ind w:right="180"/>
              <w:spacing w:after="0" w:line="36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​4/15/2025</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​2/15/2025</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line="36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4"/>
              <w:spacing w:after="0" w:line="36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40"/>
              <w:spacing w:after="0" w:line="36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32"/>
              <w:spacing w:after="0" w:line="36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64"/>
              <w:spacing w:after="0" w:line="36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spacing w:after="0" w:line="36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6,233</w:t>
            </w:r>
          </w:p>
        </w:tc>
        <w:tc>
          <w:tcPr>
            <w:tcW w:w="300" w:type="dxa"/>
            <w:vAlign w:val="bottom"/>
            <w:gridSpan w:val="3"/>
            <w:shd w:val="clear" w:color="auto" w:fill="CCEEFF"/>
          </w:tcPr>
          <w:p>
            <w:pPr>
              <w:jc w:val="right"/>
              <w:ind w:right="40"/>
              <w:spacing w:after="0" w:line="36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-2073910</wp:posOffset>
            </wp:positionV>
            <wp:extent cx="5186045" cy="3429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3429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-873760</wp:posOffset>
            </wp:positionV>
            <wp:extent cx="6180455" cy="7289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80455" cy="728980"/>
                    </a:xfrm>
                    <a:prstGeom prst="rect">
                      <a:avLst/>
                    </a:prstGeom>
                    <a:noFill/>
                  </pic:spPr>
                </pic:pic>
              </a:graphicData>
            </a:graphic>
          </wp:anchor>
        </w:drawing>
      </w:r>
    </w:p>
    <w:p>
      <w:pPr>
        <w:spacing w:after="0" w:line="137" w:lineRule="exact"/>
        <w:rPr>
          <w:sz w:val="20"/>
          <w:szCs w:val="20"/>
          <w:color w:val="auto"/>
        </w:rPr>
      </w:pPr>
    </w:p>
    <w:p>
      <w:pPr>
        <w:ind w:left="1620" w:right="1300"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non-equity incentive plan awards include annual incentive plan threshold payments, as presented in the CD&amp;A.</w:t>
      </w:r>
    </w:p>
    <w:p>
      <w:pPr>
        <w:spacing w:after="0" w:line="26" w:lineRule="exact"/>
        <w:rPr>
          <w:rFonts w:ascii="Times New Roman" w:cs="Times New Roman" w:eastAsia="Times New Roman" w:hAnsi="Times New Roman"/>
          <w:sz w:val="18"/>
          <w:szCs w:val="18"/>
          <w:color w:val="auto"/>
        </w:rPr>
      </w:pPr>
    </w:p>
    <w:p>
      <w:pPr>
        <w:ind w:left="1620" w:right="900"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non-equity incentive plan awards include annual incentive plan target payments, as presented in the CD&amp;A.</w:t>
      </w:r>
    </w:p>
    <w:p>
      <w:pPr>
        <w:spacing w:after="0" w:line="40" w:lineRule="exact"/>
        <w:rPr>
          <w:rFonts w:ascii="Times New Roman" w:cs="Times New Roman" w:eastAsia="Times New Roman" w:hAnsi="Times New Roman"/>
          <w:sz w:val="18"/>
          <w:szCs w:val="18"/>
          <w:color w:val="auto"/>
        </w:rPr>
      </w:pPr>
    </w:p>
    <w:p>
      <w:pPr>
        <w:ind w:left="1620" w:right="1240" w:hanging="360"/>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non-equity incentive plan awards include annual incentive plan maximum payments, as presented in the CD&amp;A.</w:t>
      </w:r>
    </w:p>
    <w:p>
      <w:pPr>
        <w:sectPr>
          <w:pgSz w:w="11900" w:h="16838" w:orient="portrait"/>
          <w:cols w:equalWidth="0" w:num="1">
            <w:col w:w="10280"/>
          </w:cols>
          <w:pgMar w:left="580" w:top="97" w:right="1039" w:bottom="1440" w:gutter="0" w:footer="0" w:header="0"/>
          <w:type w:val="continuous"/>
        </w:sectPr>
      </w:pP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20" w:hanging="360"/>
        <w:spacing w:after="0" w:line="254"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and CPSUs (and in the case of the CPSUs, based on the probable outcome at the date of grant, which was assumed to be target). The fair value of the TPSUs, estimated on the date of grant using a Monte Carlo simulation model, has been revised from the amount reported in the preliminary proxy statement filed by the Company on March 9, 2026 to reflect the use of this model. The number of PSUs granted is based on the 10-day average closing price of the Company’s Class C common stock ending on the date of grant.</w:t>
      </w:r>
    </w:p>
    <w:p>
      <w:pPr>
        <w:spacing w:after="0" w:line="272" w:lineRule="exact"/>
        <w:rPr>
          <w:rFonts w:ascii="Times New Roman" w:cs="Times New Roman" w:eastAsia="Times New Roman" w:hAnsi="Times New Roman"/>
          <w:sz w:val="18"/>
          <w:szCs w:val="18"/>
          <w:color w:val="auto"/>
        </w:rPr>
      </w:pPr>
    </w:p>
    <w:p>
      <w:pPr>
        <w:ind w:left="1620" w:right="1260" w:hanging="360"/>
        <w:spacing w:after="0" w:line="266"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one-time grant of an additional RSU award (i.e., in addition to the annual RSU award traditionally issued pursuant to our long-term equity compensation program) to Ms. Rubenstein in recognition of achieving several key company initiatives.</w:t>
      </w:r>
    </w:p>
    <w:p>
      <w:pPr>
        <w:spacing w:after="0" w:line="27" w:lineRule="exact"/>
        <w:rPr>
          <w:rFonts w:ascii="Times New Roman" w:cs="Times New Roman" w:eastAsia="Times New Roman" w:hAnsi="Times New Roman"/>
          <w:sz w:val="18"/>
          <w:szCs w:val="18"/>
          <w:color w:val="auto"/>
        </w:rPr>
      </w:pPr>
    </w:p>
    <w:p>
      <w:pPr>
        <w:ind w:left="1620" w:right="880" w:hanging="360"/>
        <w:spacing w:after="0" w:line="257"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with respect to Mr. Cornelius is limited to compensatory amounts that are payable by the Company, which are limited to his RSU and 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w:t>
      </w:r>
    </w:p>
    <w:p>
      <w:pPr>
        <w:spacing w:after="0" w:line="40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that</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that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Exercisable</w:t>
            </w:r>
          </w:p>
        </w:tc>
        <w:tc>
          <w:tcPr>
            <w:tcW w:w="10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Unexercisable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Craig Cornelius</w:t>
            </w:r>
          </w:p>
        </w:tc>
        <w:tc>
          <w:tcPr>
            <w:tcW w:w="20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7"/>
              <w:spacing w:after="0" w:line="115" w:lineRule="exact"/>
              <w:rPr>
                <w:sz w:val="20"/>
                <w:szCs w:val="20"/>
                <w:color w:val="auto"/>
              </w:rPr>
            </w:pPr>
            <w:r>
              <w:rPr>
                <w:rFonts w:ascii="Times New Roman" w:cs="Times New Roman" w:eastAsia="Times New Roman" w:hAnsi="Times New Roman"/>
                <w:sz w:val="12"/>
                <w:szCs w:val="12"/>
                <w:color w:val="auto"/>
              </w:rPr>
              <w:t>(4)</w:t>
            </w:r>
          </w:p>
        </w:tc>
        <w:tc>
          <w:tcPr>
            <w:tcW w:w="74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540" w:type="dxa"/>
            <w:vAlign w:val="bottom"/>
            <w:tcBorders>
              <w:right w:val="single" w:sz="8" w:color="CCEEFF"/>
            </w:tcBorders>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80" w:type="dxa"/>
            <w:vAlign w:val="bottom"/>
            <w:tcBorders>
              <w:right w:val="single" w:sz="8" w:color="CCEEFF"/>
            </w:tcBorders>
            <w:vMerge w:val="continue"/>
            <w:shd w:val="clear" w:color="auto" w:fill="CCEEFF"/>
          </w:tcPr>
          <w:p>
            <w:pPr>
              <w:spacing w:after="0"/>
              <w:rPr>
                <w:sz w:val="11"/>
                <w:szCs w:val="11"/>
                <w:color w:val="auto"/>
              </w:rPr>
            </w:pPr>
          </w:p>
        </w:tc>
        <w:tc>
          <w:tcPr>
            <w:tcW w:w="88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62,513</w:t>
            </w: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 ​</w:t>
            </w:r>
          </w:p>
        </w:tc>
        <w:tc>
          <w:tcPr>
            <w:tcW w:w="1760" w:type="dxa"/>
            <w:vAlign w:val="bottom"/>
            <w:gridSpan w:val="5"/>
            <w:shd w:val="clear" w:color="auto" w:fill="CCEEFF"/>
          </w:tcPr>
          <w:p>
            <w:pPr>
              <w:ind w:left="40"/>
              <w:spacing w:after="0" w:line="13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2,079,182​​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239,895</w:t>
            </w:r>
          </w:p>
        </w:tc>
        <w:tc>
          <w:tcPr>
            <w:tcW w:w="9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7,978,907​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60" w:type="dxa"/>
            <w:vAlign w:val="bottom"/>
            <w:gridSpan w:val="5"/>
          </w:tcPr>
          <w:p>
            <w:pPr>
              <w:spacing w:after="0" w:line="25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21,439</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600" w:type="dxa"/>
            <w:vAlign w:val="bottom"/>
            <w:gridSpan w:val="6"/>
          </w:tcPr>
          <w:p>
            <w:pPr>
              <w:jc w:val="right"/>
              <w:spacing w:after="0" w:line="256" w:lineRule="exact"/>
              <w:rPr>
                <w:sz w:val="20"/>
                <w:szCs w:val="20"/>
                <w:color w:val="auto"/>
              </w:rPr>
            </w:pPr>
            <w:r>
              <w:rPr>
                <w:rFonts w:ascii="Times New Roman" w:cs="Times New Roman" w:eastAsia="Times New Roman" w:hAnsi="Times New Roman"/>
                <w:sz w:val="18"/>
                <w:szCs w:val="18"/>
                <w:color w:val="auto"/>
              </w:rPr>
              <w:t>713,050​​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66,364</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2,207,266​</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2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14,437</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540" w:type="dxa"/>
            <w:vAlign w:val="bottom"/>
            <w:gridSpan w:val="5"/>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480,187​​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67,801</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2,255,061​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-496570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-496570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-496570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-496570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-496570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-496570</wp:posOffset>
            </wp:positionV>
            <wp:extent cx="1714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-496570</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-496570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960" w:hanging="360"/>
        <w:spacing w:after="0" w:line="266"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achievement at (i) maximum award level for 2023 TPSU awards, (ii) maximum award level TPSU 2024 awards, (iii) maximum award level for 2025 TPSU awards and (iv) maximum award level for 2025 CPSU awards, as discussed in the CD&amp;A.</w:t>
      </w:r>
    </w:p>
    <w:p>
      <w:pPr>
        <w:spacing w:after="0" w:line="27" w:lineRule="exact"/>
        <w:rPr>
          <w:rFonts w:ascii="Times New Roman" w:cs="Times New Roman" w:eastAsia="Times New Roman" w:hAnsi="Times New Roman"/>
          <w:sz w:val="18"/>
          <w:szCs w:val="18"/>
          <w:color w:val="auto"/>
        </w:rPr>
      </w:pPr>
    </w:p>
    <w:p>
      <w:pPr>
        <w:jc w:val="both"/>
        <w:ind w:left="1620" w:right="880" w:hanging="360"/>
        <w:spacing w:after="0" w:line="275"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10,406 RSUs and 452 DERs that will vest on April 15, 2026, 10,406 RSUs and 452 DERs that will vest on April 15, 2027, and 10,406 RSUs and 453 DERs that will vest on April 15, 2028.</w:t>
      </w:r>
    </w:p>
    <w:p>
      <w:pPr>
        <w:spacing w:after="0" w:line="227" w:lineRule="exact"/>
        <w:rPr>
          <w:rFonts w:ascii="Times New Roman" w:cs="Times New Roman" w:eastAsia="Times New Roman" w:hAnsi="Times New Roman"/>
          <w:sz w:val="18"/>
          <w:szCs w:val="18"/>
          <w:color w:val="auto"/>
        </w:rPr>
      </w:pPr>
    </w:p>
    <w:p>
      <w:pPr>
        <w:ind w:left="1620" w:right="960"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12,636 RSUs and 1,155 DERs that will vest on July 1, 2026 and 12,674 RSUs and 1,159 DERs that will vest on July 1, 2027.</w:t>
      </w:r>
    </w:p>
    <w:p>
      <w:pPr>
        <w:spacing w:after="0" w:line="13" w:lineRule="exact"/>
        <w:rPr>
          <w:rFonts w:ascii="Times New Roman" w:cs="Times New Roman" w:eastAsia="Times New Roman" w:hAnsi="Times New Roman"/>
          <w:sz w:val="18"/>
          <w:szCs w:val="18"/>
          <w:color w:val="auto"/>
        </w:rPr>
      </w:pPr>
    </w:p>
    <w:p>
      <w:pPr>
        <w:ind w:left="1620" w:right="1080" w:hanging="360"/>
        <w:spacing w:after="0" w:line="28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113,834 PSUs and 9,597 DERs that will vest on April 15, 2027, and 111,612 PSUs and 4,852 DERs that will vest on April 15, 2028.</w:t>
      </w:r>
    </w:p>
    <w:p>
      <w:pPr>
        <w:spacing w:after="0" w:line="1" w:lineRule="exact"/>
        <w:rPr>
          <w:rFonts w:ascii="Times New Roman" w:cs="Times New Roman" w:eastAsia="Times New Roman" w:hAnsi="Times New Roman"/>
          <w:sz w:val="18"/>
          <w:szCs w:val="18"/>
          <w:color w:val="auto"/>
        </w:rPr>
      </w:pPr>
    </w:p>
    <w:p>
      <w:pPr>
        <w:jc w:val="both"/>
        <w:ind w:left="1620" w:right="1020" w:hanging="360"/>
        <w:spacing w:after="0" w:line="275"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8,649 RSUs and 771 DERs that will vest on April 15, 2026, 6,974 RSUs and 470 DERs that will vest on April 15, 2027, and 4,384 RSUs and 191 DERs that will vest on April 15, 2028.</w:t>
      </w:r>
    </w:p>
    <w:p>
      <w:pPr>
        <w:spacing w:after="0" w:line="241" w:lineRule="exact"/>
        <w:rPr>
          <w:rFonts w:ascii="Times New Roman" w:cs="Times New Roman" w:eastAsia="Times New Roman" w:hAnsi="Times New Roman"/>
          <w:sz w:val="18"/>
          <w:szCs w:val="18"/>
          <w:color w:val="auto"/>
        </w:rPr>
      </w:pPr>
    </w:p>
    <w:p>
      <w:pPr>
        <w:ind w:left="1620" w:right="1100" w:hanging="360"/>
        <w:spacing w:after="0" w:line="266"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15,375 PSUs and 2,754 DERs that will vest on April 15, 2026, 22,788 PSUs and 2,453 DERs that will vest on April 15, 2027, and 22,034 PSUs and 960 DERs that will vest on April 15, 2028.</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6,493 RSUs and 698 DERs that will vest on April 15, 2026, 4,701 RSUs and</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373 DERs that will vest on April 15, 2027, and 2,082 RSUs and 90 DERs that will vest on April 15,</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2028. Amounts do not include shares withheld for payment of taxes due to retirement eligibility.</w:t>
      </w:r>
    </w:p>
    <w:p>
      <w:pPr>
        <w:spacing w:after="0" w:line="72" w:lineRule="exact"/>
        <w:rPr>
          <w:sz w:val="20"/>
          <w:szCs w:val="20"/>
          <w:color w:val="auto"/>
        </w:rPr>
      </w:pPr>
    </w:p>
    <w:p>
      <w:pPr>
        <w:ind w:left="1620" w:right="699" w:hanging="360"/>
        <w:spacing w:after="0" w:line="266"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16,452 PSUs and 2,946 DERs that will vest on April 15, 2026, 22,974 PSUs and 2,474 DERs that will vest on April 15, 2027, and 21,999 PSUs and 956 DERs that will vest on April 15, 2028.</w:t>
      </w:r>
    </w:p>
    <w:p>
      <w:pPr>
        <w:spacing w:after="0" w:line="17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2025</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Value 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Realized on</w:t>
            </w: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Vesting</w:t>
            </w:r>
          </w:p>
        </w:tc>
      </w:tr>
      <w:tr>
        <w:trPr>
          <w:trHeight w:val="21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7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Craig Cornelius</w:t>
            </w:r>
            <w:r>
              <w:rPr>
                <w:rFonts w:ascii="Times New Roman" w:cs="Times New Roman" w:eastAsia="Times New Roman" w:hAnsi="Times New Roman"/>
                <w:sz w:val="23"/>
                <w:szCs w:val="23"/>
                <w:b w:val="1"/>
                <w:bCs w:val="1"/>
                <w:color w:val="auto"/>
                <w:vertAlign w:val="superscript"/>
              </w:rPr>
              <w:t>(2)</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4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13,406</w:t>
            </w:r>
            <w:r>
              <w:rPr>
                <w:rFonts w:ascii="Times New Roman" w:cs="Times New Roman" w:eastAsia="Times New Roman" w:hAnsi="Times New Roman"/>
                <w:sz w:val="21"/>
                <w:szCs w:val="21"/>
                <w:color w:val="auto"/>
                <w:vertAlign w:val="superscript"/>
              </w:rPr>
              <w:t>(3)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423,108</w:t>
            </w:r>
            <w:r>
              <w:rPr>
                <w:rFonts w:ascii="Times New Roman" w:cs="Times New Roman" w:eastAsia="Times New Roman" w:hAnsi="Times New Roman"/>
                <w:sz w:val="21"/>
                <w:szCs w:val="21"/>
                <w:color w:val="auto"/>
                <w:vertAlign w:val="superscript"/>
              </w:rPr>
              <w:t>(4)</w:t>
            </w: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9,019</w:t>
            </w:r>
            <w:r>
              <w:rPr>
                <w:rFonts w:ascii="Times New Roman" w:cs="Times New Roman" w:eastAsia="Times New Roman" w:hAnsi="Times New Roman"/>
                <w:sz w:val="21"/>
                <w:szCs w:val="21"/>
                <w:color w:val="auto"/>
                <w:vertAlign w:val="superscript"/>
              </w:rPr>
              <w:t>(5)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262,230</w:t>
            </w:r>
            <w:r>
              <w:rPr>
                <w:rFonts w:ascii="Times New Roman" w:cs="Times New Roman" w:eastAsia="Times New Roman" w:hAnsi="Times New Roman"/>
                <w:sz w:val="21"/>
                <w:szCs w:val="21"/>
                <w:color w:val="auto"/>
                <w:vertAlign w:val="superscript"/>
              </w:rPr>
              <w:t>(6)</w:t>
            </w: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10,246</w:t>
            </w:r>
            <w:r>
              <w:rPr>
                <w:rFonts w:ascii="Times New Roman" w:cs="Times New Roman" w:eastAsia="Times New Roman" w:hAnsi="Times New Roman"/>
                <w:sz w:val="21"/>
                <w:szCs w:val="21"/>
                <w:color w:val="auto"/>
                <w:vertAlign w:val="superscript"/>
              </w:rPr>
              <w:t>(7)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297,958</w:t>
            </w:r>
            <w:r>
              <w:rPr>
                <w:rFonts w:ascii="Times New Roman" w:cs="Times New Roman" w:eastAsia="Times New Roman" w:hAnsi="Times New Roman"/>
                <w:sz w:val="21"/>
                <w:szCs w:val="21"/>
                <w:color w:val="auto"/>
                <w:vertAlign w:val="superscript"/>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5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and DERs that vested pursuant to underlying awards and converted to Class C common stock in 2025.</w:t>
      </w:r>
    </w:p>
    <w:p>
      <w:pPr>
        <w:spacing w:after="0" w:line="13"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with respect to Mr. Cornelius is limited to compensatory amounts that are payable by the Company, which are limited to his RSU and PSU grants under the LTIP. For a more detailed discussion of the equity-based compensation provided to Mr. Cornelius by CEG, please see the section entitled “Long-Term Incentive Compensation” in the “Elements of Compensation” section above.</w:t>
      </w:r>
    </w:p>
    <w:p>
      <w:pPr>
        <w:spacing w:after="0" w:line="31"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12,635 RSUs and 771 DERs that vested on July 1, 2025 pursuant to the stock compensation awards granted on July 1, 2024.</w:t>
      </w:r>
    </w:p>
    <w:p>
      <w:pPr>
        <w:spacing w:after="0" w:line="26" w:lineRule="exact"/>
        <w:rPr>
          <w:rFonts w:ascii="Times New Roman" w:cs="Times New Roman" w:eastAsia="Times New Roman" w:hAnsi="Times New Roman"/>
          <w:sz w:val="18"/>
          <w:szCs w:val="18"/>
          <w:color w:val="auto"/>
        </w:rPr>
      </w:pPr>
    </w:p>
    <w:p>
      <w:pPr>
        <w:ind w:left="1620" w:right="439" w:hanging="360"/>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are based on the July 1, 2025 Class C common stock closing share price of $34.56 for awards and DERs that vested on July 1,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31" w:lineRule="exact"/>
        <w:rPr>
          <w:rFonts w:ascii="Times New Roman" w:cs="Times New Roman" w:eastAsia="Times New Roman" w:hAnsi="Times New Roman"/>
          <w:sz w:val="18"/>
          <w:szCs w:val="18"/>
          <w:color w:val="auto"/>
        </w:rPr>
      </w:pPr>
    </w:p>
    <w:p>
      <w:pPr>
        <w:ind w:left="1620" w:right="779" w:hanging="360"/>
        <w:spacing w:after="0" w:line="258"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1,308 RSUs, 2,399 PSUs and 662 DERs that vested on April 15, 2025 pursuant to the respective stock compensation awards granted on April 15, 2022. Represents 1,677 RSUs and 218 DERs that vested on April 15, 2025 pursuant to the stock compensation award granted on April 15, 2023. Represents 2,596 RSUs and 159 DERs that vested on April 15, 2025 pursuant to the stock compensation award granted on April 15, 2024.</w:t>
      </w:r>
    </w:p>
    <w:p>
      <w:pPr>
        <w:spacing w:after="0" w:line="34"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are based on the April 15, 2025 Class C common stock closing share price of $29.07 for awards and DERs that vested on April 15, 2025.</w:t>
      </w:r>
    </w:p>
    <w:p>
      <w:pPr>
        <w:spacing w:after="0" w:line="26"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2,617 RSUs, 2,952 PSUs and 687 DERs that vested on April 15, 2025 pursuant to the respective stock compensation awards granted on April 15, 2022. Represents 1,635 RSUs and 212 DERs that vested on April 15, 2025 pursuant to the stock compensation award granted on April 15, 2023. Represents 1,610 RSUs and 287 DERs that vested on April 15, 2025 pursuant to the stock compensation award granted on April 15, 2024. Represents 232 shares and 14 DERs that were withheld to cover certain tax obligations in 2025 due to awards becoming eligible for continued vesting in the event of the NEO’s retirement.</w:t>
      </w:r>
    </w:p>
    <w:p>
      <w:pPr>
        <w:spacing w:after="0" w:line="254"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are based on the April 15, 2025 Class C common stock closing share price of $29.07 for awards and DERs that vested on April 15, 2025. The values for retirement eligible NEOs are based on the Class C common stock closing share price on the dates the awards became eligible for continued vesting and shares and DERs were withheld to cover certain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During 2025, the Company was not a party to employment agreements with any executive officers other than Mr. Cornelius, the terms of which are described below.</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April 30, 2024, our Board elected Mr. Cornelius as a member of the Board and appointed</w:t>
      </w:r>
    </w:p>
    <w:p>
      <w:pPr>
        <w:spacing w:after="0" w:line="27"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Mr. Cornelius as President and CEO of the Company, in each case effective as of July 1, 2024. As part of Mr. Cornelius’ appointment as our President and CEO, the then -existing employment agreement between CEG and Mr. Cornelius was amended and restated on April 30, 2024 (the “Cornelius Employment Agreement”). Pursuant to the Cornelius Employment Agreement, the Company was added as a party to that agreement.</w:t>
      </w:r>
    </w:p>
    <w:p>
      <w:pPr>
        <w:spacing w:after="0" w:line="32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Cornelius Employment Agreement entitles Mr. Cornelius to an annual base salary, payable solely by CEG, the amount of which was set at $750,000 as of July 1, 2024. As noted above, the Compensation Committee is permitted under the terms of the Cornelius Employment Agreement to make non-binding recommendations to the CEG compensation committee regarding any adjustments to Mr. Cornelius’ base salary, and the CEG compensation committee will have final decisional authority with respect to such adjustments.</w:t>
      </w:r>
    </w:p>
    <w:p>
      <w:pPr>
        <w:spacing w:after="0" w:line="1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Cornelius Employment Agreement provides that, beginning with the 2024 fiscal year,</w:t>
      </w:r>
    </w:p>
    <w:p>
      <w:pPr>
        <w:spacing w:after="0" w:line="16"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Mr. Cornelius will be eligible to receive an annual incentive bonus (the “CEG Bonus”) at a target amount equal to 175% of his then-current base salary, with the actual CEG Bonus with respect to a fiscal year payable solely by CEG based on the level of achievement of annual performance objectives established for such fiscal year with respect to the Company; provided that such actual CEG Bonus may not exceed 300% of Mr. Cornelius’ base salary as in effect at the end of such fiscal year. As noted above, during fiscal years in which Mr. Cornelius serves as our CEO (including fiscal year 2024), the performance objectives with respect to the CEG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w:t>
      </w:r>
    </w:p>
    <w:p>
      <w:pPr>
        <w:spacing w:after="0" w:line="12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The Cornelius Employment Agreement provides that Mr. Cornelius is eligible to participate in the</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LTIP, on such terms as are set forth therein. Mr. Cornelius’ annual long term incentive grant under the LTIP (the “Target LTIP Award”) is set at a target amount of 350% of his then-current annual base salary pursuant to the Cornelius Employment Agreement (noting that the Target LTIP Award for 2025 was increased from the 350% level specified in the Cornelius Employment Agreement to 367% in recognition of his performance). One-third of the Target LTIP Award will be in the form of RSUs, and the remainder will be in the form of PSUs. In addition, Mr. Cornelius received from CEG (i.e., under CEG’s equity compensation program) a grant of 375,000 restricted shares of the Class C common stock of the Company on April 30, 2024, which vests in three equal amounts, with one-third having vested on each of October 1, 2024 and October 1, 2025 and one-third vesting on October 1, 2026.</w:t>
      </w:r>
    </w:p>
    <w:p>
      <w:pPr>
        <w:spacing w:after="0" w:line="121"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and benefits described above, the Cornelius Employment Agreement provides that Mr. Cornelius was eligible to receive the following in 2025:</w:t>
      </w:r>
    </w:p>
    <w:p>
      <w:pPr>
        <w:spacing w:after="0" w:line="54" w:lineRule="exact"/>
        <w:rPr>
          <w:sz w:val="20"/>
          <w:szCs w:val="20"/>
          <w:color w:val="auto"/>
        </w:rPr>
      </w:pPr>
    </w:p>
    <w:p>
      <w:pPr>
        <w:ind w:left="1800" w:right="53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by CEG for reasonable business expenses incurred by Mr. Cornelius in carrying out his duties and responsibilities as our President and CEO;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by CEG for personal financial advisory and tax preparation services, or related legal advisory services, up to a maximum of $12,000 per year.</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addition, under the Cornelius Employment Agreement, CEG and the Company have agreed to indemnify Mr. Cornelius against any claims arising as a result of his position with the Company to the fullest extent legally permitted by CEG’s and the Company’s certificates of incorporation, bylaws or board resolutions (in each case, as applicable to CEG and the Company) or, if greater, Delaware law.</w:t>
      </w:r>
    </w:p>
    <w:p>
      <w:pPr>
        <w:spacing w:after="0" w:line="110"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Cornelius Employment Agreement includes (i) non-competition and non-interference restrictions on Mr. Cornelius with respect to CEG and the Company during the term of his employment, and (ii) non-solicitation restrictions on Mr. Cornelius with respect to CEG and the Company during the term of his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employment and for one year after his termination of employment. The Cornelius Employment Agreement also includes confidentiality, non-disparagement obligations and intellectual property restrictions with respect to CEG and the Company.</w:t>
      </w:r>
    </w:p>
    <w:p>
      <w:pPr>
        <w:spacing w:after="0" w:line="10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Cornelius Employment Agreement further entitles Mr. Cornelius to certain severance payments and benefits in the event his employment is terminated under certain circumstances. These separation benefits are described and quantified under the section “Severance and Change-in-Control” below.</w:t>
      </w:r>
    </w:p>
    <w:p>
      <w:pPr>
        <w:spacing w:after="0" w:line="17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SEVERANCE AND CHANGE-IN-CONTROL</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Each NEO’s PSU and RSU award agreements under the LTIP provide for special treatment in the event of such NEO’s termination of employment under certain circumstances. Upon death or disability, an NEO’s RSUs and PSUs will vest in full and the performance metrics with respect to the PSUs will be deemed to be achieved at target levels. Upon retirement, an NEO’s RSUs and 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the Cornelius Employment Agreement with respect to Mr. Cornelius and in the LTIP with respect to the Other NEOs) during the “Change in Control Period” (as​ defined below),</w:t>
      </w:r>
    </w:p>
    <w:p>
      <w:pPr>
        <w:spacing w:after="0" w:line="6" w:lineRule="exact"/>
        <w:rPr>
          <w:sz w:val="20"/>
          <w:szCs w:val="20"/>
          <w:color w:val="auto"/>
        </w:rPr>
      </w:pPr>
    </w:p>
    <w:p>
      <w:pPr>
        <w:ind w:left="1260" w:right="419"/>
        <w:spacing w:after="0" w:line="251" w:lineRule="auto"/>
        <w:tabs>
          <w:tab w:leader="none" w:pos="14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NEO’s RSUs will vest in full immediately upon the later of such change in control or such termination of employment and (ii) the Compensation Committee will, pursuant to the terms and conditions of the LTIP and PSU award agreement(s), determine the final amount payable to the NEO, if any, pursuant to his or her PSUs; provided that, the payout percentage with respect to Mr. Cornelius’ TPSUs that were granted to him in 2024 will be deemed met at no less than 100% (or, if greater, the payout percentage determined based on actual performance). In general, no PSUs or RSUs that are granted to our NEOs provide for accelerated vesting upon any other involuntary termination. In addition, pursuant to the terms of the PSUs granted in 2025 and subject to the NEO remaining employed until immediately prior to the change in control, the Compensation Committee will determine whether the performance goals have been met in the event of a change in control, and the greater of actual performance or target performance will be deemed to be achieved, in which case (x) the PSUs will convert to time-based awards that vest at the earliest of the conclusion of the performance period to the extent the PSUs are assumed by the surviving or continuing company, or (y) the PSUs will vest immediately to the extent the PSUs are not assumed by the surviving or continuing company. RSUs granted to Ms. Rubenstein prior to her promotion to Senior Vice President and Chief Accounting Officer in 2022 provide pro-rated vesting for certain involuntary terminations of service that occur in connection with certain significant business events.</w:t>
      </w:r>
    </w:p>
    <w:p>
      <w:pPr>
        <w:spacing w:after="0" w:line="326"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“Change in Control Period” is the period commencing six months immediately prior to, and ending 24 months immediately following, a “change in control” of the Company (as “change in control” is defined in the LTIP).</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MR. CORNELIUS’ BENEFITS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Pursuant to the Cornelius Employment Agreement, if Mr. Cornelius’ employment is involuntarily terminated by CEG without cause, or if he terminates his employment for good reason, CEG agrees to provide Mr. Cornelius with the following severance benefits, subject to Mr. Cornelius executing a release of claims as a condition to receipt of certain of the following severance benefits:</w:t>
      </w:r>
    </w:p>
    <w:p>
      <w:pPr>
        <w:spacing w:after="0" w:line="72" w:lineRule="exact"/>
        <w:rPr>
          <w:sz w:val="20"/>
          <w:szCs w:val="20"/>
          <w:color w:val="auto"/>
        </w:rPr>
      </w:pPr>
    </w:p>
    <w:p>
      <w:pPr>
        <w:ind w:left="1800" w:right="61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base salary through the date of termination, any unpaid or unreimbursed expenses incurred in accordance with the Cornelius Employment Agreement and any benefits provided under CEG’s employee benefit plans upon a termination of employment (collectively, the “Accrued Obligations”);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his then-current base salary plus the target annual bonus for the year of termination, which amount will be paid during the 12-month period after the date of termination in accordance with CEG’s regular payroll practices;</w:t>
      </w:r>
    </w:p>
    <w:p>
      <w:pPr>
        <w:spacing w:after="0" w:line="6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annual bonus amount for the prior fiscal year to the extent not paid prior to the termination date;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61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COBRA premiums for 12 months after the date of termination, except that such coverage will be discontinued if Mr. Cornelius becomes eligible to receive any health benefits as a result of subsequent employment or service.</w:t>
      </w:r>
    </w:p>
    <w:p>
      <w:pPr>
        <w:spacing w:after="0" w:line="10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Mr. Cornelius’ employment is terminated as a result of his death or disability, Mr. Cornelius will be entitled to (i) the Accrued Obligations, (ii) any unpaid annual bonus for the prior fiscal year, and (iii) an amount equal to the target annual bonus for the year of termination, which amount will be prorated based on the number of days during the year that Mr. Cornelius was employed by CEG. The Cornelius Employment Agreement does not provide Mr. Cornelius with any additional enhanced benefits in connection with a change in control, such that his severance benefits, if any, will be dictated by the trigger event for his termination.</w:t>
      </w:r>
    </w:p>
    <w:p>
      <w:pPr>
        <w:spacing w:after="0" w:line="32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If an excise tax under Section 4999 of the Code would be triggered by any payments under the Cornelius Employment Agreement or otherwise, such payments will be reduced so that no amounts are subject to Section 4999 of the Code, provided that such payments will only be reduced to the extent that the after-tax value of amounts received by Mr. Cornelius after application of such reduction would exceed the after-tax value of the amounts received without application of such reduction.</w:t>
      </w:r>
    </w:p>
    <w:p>
      <w:pPr>
        <w:spacing w:after="0" w:line="1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NEO BENEFITS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our AIP program, Other NEOs may receive a discretionary payment of the pro-rated target bonus in the event of their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w:t>
      </w:r>
    </w:p>
    <w:p>
      <w:pPr>
        <w:spacing w:after="0" w:line="110"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under the CIC Plan, in the event of involuntary termination without cause, the Other NEOs are entitled to a general severance benefit equal to 1.5 times base salary payable in a lump sum amount and reimbursement for COBRA benefits continuation cost for a period of 18 months.</w:t>
      </w:r>
    </w:p>
    <w:p>
      <w:pPr>
        <w:spacing w:after="0" w:line="10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CIC Plan also provides such Other NEOs with a change-in-control benefit in the event that, within six months prior to, as well as 24 months following, a change-in-control, their employment is either involuntarily terminated by the Company without cause or voluntarily terminated by such Other NEO for good reason. The change-in -control benefit for Mr. Malcarney and Ms. Rubenstein consists of an amount equal to 2.99 times the sum of his or her base salary plus the AIP target bonus for the year of termination. Such Other NEOs are also eligible for (i) an amount equal to their target bonus for the year of termination, pro- rated for the number of days during the performance period that they were employed by the Company and (ii) reimbursement for all or a portion of their COBRA benefits continuation cost for a period of</w:t>
      </w:r>
    </w:p>
    <w:p>
      <w:pPr>
        <w:spacing w:after="0" w:line="2"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18 months at the same coverage level and cost, on an after-tax basis, as in effect immediately prior to his or her termination of employment.</w:t>
      </w:r>
    </w:p>
    <w:p>
      <w:pPr>
        <w:spacing w:after="0" w:line="113"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As a condition of receiving severance or change-in-control benefits, such Other NEOs must execute a release of claims and acknowledge the restrictive covenants in the CIC Plan. Such restrictive covenants include non- competition, non-solicitation and non-disparagement covenants applicable for one year after termination, confidentiality and intellectual property obligations. The provisions of the CIC Plan may only be waived by the written consent of the Compensation Committee and the applicable Other NEO.</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an excise tax under Section 4999 of the Code would be triggered for an Other NEO by any payments under the CIC Plan or otherwise upon a change-in-control, such payments will be reduced so that no amounts are subject to Section 4999 of the Code, if such reduction would cause the amount to be retained by such Other NEO to be greater than if such Other NEO were required to pay such excise tax.</w:t>
      </w:r>
    </w:p>
    <w:p>
      <w:pPr>
        <w:spacing w:after="0" w:line="18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DEFINITION OF CHANGE-IN-CONTROL, ETC.</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under the CIC Plan and the LTIP:</w:t>
      </w:r>
    </w:p>
    <w:p>
      <w:pPr>
        <w:spacing w:after="0" w:line="117" w:lineRule="exact"/>
        <w:rPr>
          <w:sz w:val="20"/>
          <w:szCs w:val="20"/>
          <w:color w:val="auto"/>
        </w:rPr>
      </w:pPr>
    </w:p>
    <w:p>
      <w:pPr>
        <w:ind w:left="1800" w:right="43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“change-in-control” occurs in the event: (a) any person or entity (with certain exceptions), becomes the direct or indirect beneficial owner of 50% or more of the Company’s then-outstanding voting or common stock or obtains the power to, directly or indirectly, vote or cause to be voted 50%</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3" w:lineRule="auto"/>
        <w:rPr>
          <w:sz w:val="20"/>
          <w:szCs w:val="20"/>
          <w:color w:val="auto"/>
        </w:rPr>
      </w:pPr>
      <w:r>
        <w:rPr>
          <w:rFonts w:ascii="Times New Roman" w:cs="Times New Roman" w:eastAsia="Times New Roman" w:hAnsi="Times New Roman"/>
          <w:sz w:val="18"/>
          <w:szCs w:val="18"/>
          <w:color w:val="auto"/>
        </w:rPr>
        <w:t>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84" w:lineRule="exact"/>
        <w:rPr>
          <w:sz w:val="20"/>
          <w:szCs w:val="20"/>
          <w:color w:val="auto"/>
        </w:rPr>
      </w:pPr>
    </w:p>
    <w:p>
      <w:pPr>
        <w:ind w:left="1800" w:right="459" w:hanging="180"/>
        <w:spacing w:after="0" w:line="255"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termination without “cause” means the Other NEO’s termination by the Company for any reason other than the Other NEO’s (a) conviction of, or agreement to a plea of nolo contendere to, a felony or other crime involving moral turpitude (including an indictment therefor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and the NEO, a violation of the Company’s Code of Conduct or other written policy.</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under the CIC Plan:</w:t>
      </w:r>
    </w:p>
    <w:p>
      <w:pPr>
        <w:spacing w:after="0" w:line="117"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voluntary termination for “good reason” means the resignation of the Other NEO in the event of</w:t>
      </w:r>
    </w:p>
    <w:p>
      <w:pPr>
        <w:spacing w:after="0" w:line="27" w:lineRule="exact"/>
        <w:rPr>
          <w:rFonts w:ascii="Times New Roman" w:cs="Times New Roman" w:eastAsia="Times New Roman" w:hAnsi="Times New Roman"/>
          <w:sz w:val="18"/>
          <w:szCs w:val="18"/>
          <w:color w:val="auto"/>
        </w:rPr>
      </w:pPr>
    </w:p>
    <w:p>
      <w:pPr>
        <w:ind w:left="1800" w:right="5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under the Cornelius Employment Agreement:</w:t>
      </w:r>
    </w:p>
    <w:p>
      <w:pPr>
        <w:spacing w:after="0" w:line="117" w:lineRule="exact"/>
        <w:rPr>
          <w:sz w:val="20"/>
          <w:szCs w:val="20"/>
          <w:color w:val="auto"/>
        </w:rPr>
      </w:pPr>
    </w:p>
    <w:p>
      <w:pPr>
        <w:ind w:left="1800" w:right="55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termination with “cause” means Mr. Cornelius’ (i) act or acts of gross negligence or willful misconduct in the course of his employment under the Cornelius Employment Agreement,</w:t>
      </w:r>
    </w:p>
    <w:p>
      <w:pPr>
        <w:ind w:left="1800" w:right="419"/>
        <w:spacing w:after="0" w:line="251" w:lineRule="auto"/>
        <w:tabs>
          <w:tab w:leader="none" w:pos="208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failure or refusal to perform in any material respect his duties or responsibilities (other than by reason of disability or illness), (iii) misappropriation (or attempted misappropriation) of any assets or business opportunities with respect to CEG or the Company, (iv) embezzlement or fraud committed (or attempted) by him or at his direction, (v) conviction of, indictment for, or pleading “guilty” or “no contest” to, (x) a felony or (y) any other criminal charge that has, or could be reasonably expected to have, an adverse impact on the performance of his duties with respect to CEG or the Company or otherwise result in material injury to the reputation or business of CEG or the Company, (vi) any material violation of CEG’s policies, including but not limited to those relating to sexual harassment or business conduct, and those otherwise set forth in the manuals or statements of policy of the CEG, or (vii) material breach of the Cornelius Employment Agreement.</w:t>
      </w:r>
    </w:p>
    <w:p>
      <w:pPr>
        <w:spacing w:after="0" w:line="8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voluntary termination for “good reason” means the resignation of Mr. Cornelius in the event of</w:t>
      </w:r>
    </w:p>
    <w:p>
      <w:pPr>
        <w:spacing w:after="0" w:line="27" w:lineRule="exact"/>
        <w:rPr>
          <w:rFonts w:ascii="Times New Roman" w:cs="Times New Roman" w:eastAsia="Times New Roman" w:hAnsi="Times New Roman"/>
          <w:sz w:val="18"/>
          <w:szCs w:val="18"/>
          <w:color w:val="auto"/>
        </w:rPr>
      </w:pPr>
    </w:p>
    <w:p>
      <w:pPr>
        <w:ind w:left="1800" w:right="439"/>
        <w:spacing w:after="0" w:line="252" w:lineRule="auto"/>
        <w:tabs>
          <w:tab w:leader="none" w:pos="202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demotion in his title, duties, or responsibilities under the Cornelius Employment Agreement, including a change in reporting relationship to the CEG board of directors, (ii) a material reduction in his base salary or target CEG Bonus opportunity (other than pursuant to an across-the-board reduction applicable to all similarly situated executives), (iii) the relocation of his principal place of employment of more than twenty (20) miles from its current location, or (iv) any other material breach of a provision of the Cornelius Employment Agreement by CEG.</w:t>
      </w: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amount of compensation payable by the Company to each NEO in each circumstance is shown in the table below, assuming that termination of employment occurred as of December 31, 2025, and including payments by the Company that would have been earned as of such date. The amounts shown below do not include benefits payable under the Company’s 401(k) plan.</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Not for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Cause 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Voluntary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Voluntary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Following a</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Death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 for Cause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Reason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Disability</w:t>
            </w:r>
          </w:p>
        </w:tc>
        <w:tc>
          <w:tcPr>
            <w:tcW w:w="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6"/>
              </w:rPr>
              <w:t>Qualified</w:t>
            </w:r>
          </w:p>
        </w:tc>
      </w:tr>
      <w:tr>
        <w:trPr>
          <w:trHeight w:val="214"/>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Retirement</w:t>
            </w:r>
          </w:p>
        </w:tc>
      </w:tr>
      <w:tr>
        <w:trPr>
          <w:trHeight w:val="27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Cornelius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​6,827,629</w:t>
            </w:r>
          </w:p>
        </w:tc>
        <w:tc>
          <w:tcPr>
            <w:tcW w:w="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​6,827,629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​971,759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​4,579,749</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​2,395,431</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r>
              <w:rPr>
                <w:rFonts w:ascii="Times New Roman" w:cs="Times New Roman" w:eastAsia="Times New Roman" w:hAnsi="Times New Roman"/>
                <w:sz w:val="23"/>
                <w:szCs w:val="23"/>
                <w:color w:val="auto"/>
                <w:vertAlign w:val="superscript"/>
              </w:rPr>
              <w:t>(3)</w:t>
            </w: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​970,507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​3,971,933</w:t>
            </w:r>
          </w:p>
        </w:tc>
        <w:tc>
          <w:tcPr>
            <w:tcW w:w="9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​2,193,184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​1,539,990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-530860</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-530860</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-530860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-530860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-530860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79" w:hanging="36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 for Mr. Malcarney represents the best-net after-tax scenario if this results in him being in a better net after-tax position.</w:t>
      </w:r>
    </w:p>
    <w:p>
      <w:pPr>
        <w:spacing w:after="0" w:line="13"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with respect to Mr. Cornelius is limited to separation benefits that are payable by the Company, which are limited to his RSU and PSU grants under the LTIP.</w:t>
      </w:r>
    </w:p>
    <w:p>
      <w:pPr>
        <w:spacing w:after="0" w:line="26"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Malcarney met the definition of Qualified Retirement in 2022 and is therefore entitled to certain payments and vesting of awards in the event he retires before they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a result of the rules under the Dodd-Frank Act, the SEC requires disclosure of the CEO to median employee pay ratio. The following is a reasonable estimate, prepared under applicable SEC rules, of the ratio of the annual total compensation of our CEO, Mr. Cornelius, to the annual total compensation of our median employee. The annual total compensation of Mr. Cornelius listed below equals his total compensation as reported in the Summary Compensation Table. As discussed further in the CD&amp;A, this amount with respect to Mr. Cornelius reflects only those amounts that are payable to him by the Company, which are limited to Mr. Cornelius’ annual RSU and PSU grants under the LTIP for 2025.</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For purposes of our 2025 CEO pay ratio analysis, in light of the Company’s transition to being externally managed by CEG, effective for all periods in fiscal year 2025, a new median employee was identified in 2025. The identification of this median employee was based on the evaluation of the Company’s remaining employee base whose employment did not transfer to CEG on or before the beginning of 2025. Our median employee’s annual total compensation for 2025 was determined using the same rules that apply to reporting the compensation for our NEOs (including our CEO) in the “Total” column of the “Summary Compensation Table — 2023 – 2025” above. The following total compensation amounts were determined based on that methodology:</w:t>
      </w:r>
    </w:p>
    <w:p>
      <w:pPr>
        <w:spacing w:after="0" w:line="297" w:lineRule="exact"/>
        <w:rPr>
          <w:sz w:val="20"/>
          <w:szCs w:val="20"/>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median employee for 2025 was $750,797.</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Cornelius for 2025 was $2,750,014.</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estimate that Mr. Cornelius’ 2025 annual total compensation was approximately 4 times that of our median employee.</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COMPENSATION COMMITTEE REPORT ON EXECUTIVE COMPENSATION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 Stanley O’Neal,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Jonathan Bram</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Brian R. Ford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Olivier Jouny</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Jennifer Lowry</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Daniel B. More</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beneficially own more than 10% of a registered class of our equity securities to file reports of ownership and changes in ownership of our equity securities with the SEC.</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Based solely on a review of the copies of such reports furnished to us and any written representations of our executive officers and directors that no Forms 5 were required, we believe that all such Section 16(a) filing requirements were timely met during the year ended December 31, 2025, except for one late report on a Form 3 that was filed by Paige Goodwin, a director of the Company, on July 23, 2025. The late filing was due to administrative delays in obtaining Ms. Goodwin’s filing codes through the SEC’s new EDGAR Next filing system, which were required to submit the filing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62" w:lineRule="exact"/>
        <w:rPr>
          <w:sz w:val="20"/>
          <w:szCs w:val="20"/>
          <w:color w:val="auto"/>
        </w:rPr>
      </w:pPr>
    </w:p>
    <w:p>
      <w:pPr>
        <w:ind w:left="1260" w:right="1060"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b w:val="1"/>
          <w:bCs w:val="1"/>
          <w:color w:val="auto"/>
        </w:rPr>
        <w:t>Year</w:t>
      </w:r>
      <w:r>
        <w:rPr>
          <w:rFonts w:ascii="Times New Roman" w:cs="Times New Roman" w:eastAsia="Times New Roman" w:hAnsi="Times New Roman"/>
          <w:sz w:val="14"/>
          <w:szCs w:val="14"/>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Summary</w:t>
            </w:r>
          </w:p>
        </w:tc>
      </w:tr>
      <w:tr>
        <w:trPr>
          <w:trHeight w:val="162"/>
        </w:trPr>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r>
      <w:tr>
        <w:trPr>
          <w:trHeight w:val="180"/>
        </w:trPr>
        <w:tc>
          <w:tcPr>
            <w:tcW w:w="940" w:type="dxa"/>
            <w:vAlign w:val="bottom"/>
            <w:gridSpan w:val="2"/>
          </w:tcPr>
          <w:p>
            <w:pPr>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2"/>
                <w:szCs w:val="12"/>
                <w:b w:val="1"/>
                <w:bCs w:val="1"/>
                <w:color w:val="auto"/>
              </w:rPr>
              <w:t xml:space="preserve"> Compensation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3"/>
              </w:rPr>
              <w:t>Table</w:t>
            </w:r>
          </w:p>
        </w:tc>
      </w:tr>
      <w:tr>
        <w:trPr>
          <w:trHeight w:val="144"/>
        </w:trPr>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4"/>
                <w:szCs w:val="14"/>
                <w:b w:val="1"/>
                <w:bCs w:val="1"/>
                <w:color w:val="auto"/>
                <w:w w:val="97"/>
              </w:rPr>
              <w:t>Total for</w:t>
            </w:r>
          </w:p>
        </w:tc>
      </w:tr>
      <w:tr>
        <w:trPr>
          <w:trHeight w:val="162"/>
        </w:trPr>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 for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Current</w:t>
            </w:r>
          </w:p>
        </w:tc>
      </w:tr>
      <w:tr>
        <w:trPr>
          <w:trHeight w:val="162"/>
        </w:trPr>
        <w:tc>
          <w:tcPr>
            <w:tcW w:w="10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4"/>
              </w:rPr>
              <w:t>First PEO</w:t>
            </w:r>
            <w:r>
              <w:rPr>
                <w:rFonts w:ascii="Times New Roman" w:cs="Times New Roman" w:eastAsia="Times New Roman" w:hAnsi="Times New Roman"/>
                <w:sz w:val="17"/>
                <w:szCs w:val="17"/>
                <w:b w:val="1"/>
                <w:bCs w:val="1"/>
                <w:color w:val="auto"/>
                <w:w w:val="94"/>
                <w:vertAlign w:val="superscript"/>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PEO</w:t>
            </w:r>
            <w:r>
              <w:rPr>
                <w:rFonts w:ascii="Times New Roman" w:cs="Times New Roman" w:eastAsia="Times New Roman" w:hAnsi="Times New Roman"/>
                <w:sz w:val="7"/>
                <w:szCs w:val="7"/>
                <w:b w:val="1"/>
                <w:bCs w:val="1"/>
                <w:color w:val="auto"/>
              </w:rPr>
              <w:t>(2)</w:t>
            </w:r>
          </w:p>
        </w:tc>
      </w:tr>
      <w:tr>
        <w:trPr>
          <w:trHeight w:val="21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-7620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-7620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 Initial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5"/>
                <w:szCs w:val="5"/>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40" w:type="dxa"/>
            <w:vAlign w:val="bottom"/>
            <w:gridSpan w:val="4"/>
          </w:tcPr>
          <w:p>
            <w:pPr>
              <w:ind w:left="100"/>
              <w:spacing w:after="0" w:line="113"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9"/>
                <w:szCs w:val="9"/>
                <w:b w:val="1"/>
                <w:bCs w:val="1"/>
                <w:color w:val="auto"/>
              </w:rPr>
              <w:t xml:space="preserve">   based on:</w:t>
            </w:r>
            <w:r>
              <w:rPr>
                <w:rFonts w:ascii="Times New Roman" w:cs="Times New Roman" w:eastAsia="Times New Roman" w:hAnsi="Times New Roman"/>
                <w:sz w:val="10"/>
                <w:szCs w:val="10"/>
                <w:b w:val="1"/>
                <w:bCs w:val="1"/>
                <w:color w:val="auto"/>
                <w:vertAlign w:val="superscript"/>
              </w:rPr>
              <w:t>(4)</w:t>
            </w:r>
          </w:p>
        </w:tc>
        <w:tc>
          <w:tcPr>
            <w:tcW w:w="92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20" w:type="dxa"/>
            <w:vAlign w:val="bottom"/>
            <w:vMerge w:val="restart"/>
          </w:tcPr>
          <w:p>
            <w:pPr>
              <w:jc w:val="center"/>
              <w:ind w:right="8"/>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8"/>
                <w:szCs w:val="8"/>
                <w:color w:val="auto"/>
              </w:rPr>
            </w:pPr>
          </w:p>
        </w:tc>
        <w:tc>
          <w:tcPr>
            <w:tcW w:w="92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right="28"/>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 for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right="28"/>
              <w:spacing w:after="0" w:line="144"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2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20" w:type="dxa"/>
            <w:vAlign w:val="bottom"/>
          </w:tcPr>
          <w:p>
            <w:pPr>
              <w:jc w:val="center"/>
              <w:ind w:right="8"/>
              <w:spacing w:after="0" w:line="162" w:lineRule="exact"/>
              <w:rPr>
                <w:sz w:val="20"/>
                <w:szCs w:val="20"/>
                <w:color w:val="auto"/>
              </w:rPr>
            </w:pPr>
            <w:r>
              <w:rPr>
                <w:rFonts w:ascii="Times New Roman" w:cs="Times New Roman" w:eastAsia="Times New Roman" w:hAnsi="Times New Roman"/>
                <w:sz w:val="14"/>
                <w:szCs w:val="14"/>
                <w:b w:val="1"/>
                <w:bCs w:val="1"/>
                <w:color w:val="auto"/>
                <w:w w:val="94"/>
              </w:rPr>
              <w:t>First PEO</w:t>
            </w:r>
            <w:r>
              <w:rPr>
                <w:rFonts w:ascii="Times New Roman" w:cs="Times New Roman" w:eastAsia="Times New Roman" w:hAnsi="Times New Roman"/>
                <w:sz w:val="17"/>
                <w:szCs w:val="17"/>
                <w:b w:val="1"/>
                <w:bCs w:val="1"/>
                <w:color w:val="auto"/>
                <w:w w:val="94"/>
                <w:vertAlign w:val="superscript"/>
              </w:rPr>
              <w:t>(3)</w:t>
            </w:r>
          </w:p>
        </w:tc>
        <w:tc>
          <w:tcPr>
            <w:tcW w:w="1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Current PEO</w:t>
            </w:r>
            <w:r>
              <w:rPr>
                <w:rFonts w:ascii="Times New Roman" w:cs="Times New Roman" w:eastAsia="Times New Roman" w:hAnsi="Times New Roman"/>
                <w:sz w:val="17"/>
                <w:szCs w:val="17"/>
                <w:b w:val="1"/>
                <w:bCs w:val="1"/>
                <w:color w:val="auto"/>
                <w:w w:val="95"/>
                <w:vertAlign w:val="superscript"/>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8"/>
              <w:spacing w:after="0" w:line="162"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8"/>
              <w:spacing w:after="0" w:line="162"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CAFD</w:t>
            </w:r>
          </w:p>
        </w:tc>
        <w:tc>
          <w:tcPr>
            <w:tcW w:w="0" w:type="dxa"/>
            <w:vAlign w:val="bottom"/>
          </w:tcPr>
          <w:p>
            <w:pPr>
              <w:spacing w:after="0"/>
              <w:rPr>
                <w:sz w:val="1"/>
                <w:szCs w:val="1"/>
                <w:color w:val="auto"/>
              </w:rPr>
            </w:pPr>
          </w:p>
        </w:tc>
      </w:tr>
      <w:tr>
        <w:trPr>
          <w:trHeight w:val="214"/>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40" w:type="dxa"/>
            <w:vAlign w:val="bottom"/>
            <w:gridSpan w:val="9"/>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TSR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TSR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Millions)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 Millions)</w:t>
            </w:r>
            <w:r>
              <w:rPr>
                <w:rFonts w:ascii="Times New Roman" w:cs="Times New Roman" w:eastAsia="Times New Roman" w:hAnsi="Times New Roman"/>
                <w:sz w:val="15"/>
                <w:szCs w:val="15"/>
                <w:b w:val="1"/>
                <w:bCs w:val="1"/>
                <w:color w:val="auto"/>
                <w:vertAlign w:val="superscript"/>
              </w:rPr>
              <w:t>(5)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880" w:space="420"/>
            <w:col w:w="1920" w:space="20"/>
            <w:col w:w="704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37"/>
        </w:trPr>
        <w:tc>
          <w:tcPr>
            <w:tcW w:w="7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2025</w:t>
            </w:r>
          </w:p>
        </w:tc>
        <w:tc>
          <w:tcPr>
            <w:tcW w:w="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2,899,181</w:t>
            </w:r>
          </w:p>
        </w:tc>
        <w:tc>
          <w:tcPr>
            <w:tcW w:w="5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5,682,218</w:t>
            </w:r>
          </w:p>
        </w:tc>
        <w:tc>
          <w:tcPr>
            <w:tcW w:w="348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1,477,161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2,339,829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135.07​​​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153.04​​​</w:t>
            </w:r>
          </w:p>
        </w:tc>
        <w:tc>
          <w:tcPr>
            <w:tcW w:w="5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(239)</w:t>
            </w:r>
          </w:p>
        </w:tc>
        <w:tc>
          <w:tcPr>
            <w:tcW w:w="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3,196,766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2,851,921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(2,118,247)​​​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3,136,532</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1,420,503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1,301,872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99.70​​​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130.68​​​</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3,458,999</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2,399,165 ​​​</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1,092,013</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98.85​​​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108.10​​​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3,348,224</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2,612,184 ​​​</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1,016,878</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108.54​​​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119.01​​​</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1,060</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3,092,509</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5,238,269 ​​​</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1,066,691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1,603,696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117.83​​​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118.24​​​</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960" w:hanging="360"/>
        <w:spacing w:after="0" w:line="266"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Sotos served as PEO from 2021 to June 2024 (“First PEO”). Craig R. Cornelius served as PEO since July 2024 (“Current PEO”). The individuals comprising the Non-PEO NEOs for each year presented are listed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2600" w:type="dxa"/>
            <w:vAlign w:val="bottom"/>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5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2023 – 2025</w:t>
            </w:r>
          </w:p>
        </w:tc>
      </w:tr>
      <w:tr>
        <w:trPr>
          <w:trHeight w:val="37"/>
        </w:trPr>
        <w:tc>
          <w:tcPr>
            <w:tcW w:w="2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5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5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Plotkin</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Sarah Rubenstein</w:t>
            </w:r>
          </w:p>
        </w:tc>
      </w:tr>
      <w:tr>
        <w:trPr>
          <w:trHeight w:val="256"/>
        </w:trPr>
        <w:tc>
          <w:tcPr>
            <w:tcW w:w="2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Plotkin</w:t>
            </w:r>
          </w:p>
        </w:tc>
        <w:tc>
          <w:tcPr>
            <w:tcW w:w="2580" w:type="dxa"/>
            <w:vAlign w:val="bottom"/>
          </w:tcPr>
          <w:p>
            <w:pPr>
              <w:spacing w:after="0"/>
              <w:rPr>
                <w:sz w:val="22"/>
                <w:szCs w:val="22"/>
                <w:color w:val="auto"/>
              </w:rPr>
            </w:pPr>
          </w:p>
        </w:tc>
      </w:tr>
    </w:tbl>
    <w:p>
      <w:pPr>
        <w:spacing w:after="0" w:line="22" w:lineRule="exact"/>
        <w:rPr>
          <w:sz w:val="20"/>
          <w:szCs w:val="20"/>
          <w:color w:val="auto"/>
        </w:rPr>
      </w:pPr>
    </w:p>
    <w:p>
      <w:pPr>
        <w:ind w:left="1620" w:right="820" w:hanging="360"/>
        <w:spacing w:after="0" w:line="261"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(i) the total compensation reported in the Summary Compensation Table in the case of (i) Mr. Sotos, (ii) Mr. Cornelius and (iii) the average of the total compensation reported in the Summary Compensation Table for the Company’s Non-PEO NEOs for the applicable year.</w:t>
      </w:r>
    </w:p>
    <w:p>
      <w:pPr>
        <w:spacing w:after="0" w:line="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w:t>
      </w:r>
    </w:p>
    <w:p>
      <w:pPr>
        <w:spacing w:after="0" w:line="27" w:lineRule="exact"/>
        <w:rPr>
          <w:rFonts w:ascii="Times New Roman" w:cs="Times New Roman" w:eastAsia="Times New Roman" w:hAnsi="Times New Roman"/>
          <w:sz w:val="18"/>
          <w:szCs w:val="18"/>
          <w:color w:val="auto"/>
        </w:rPr>
      </w:pPr>
    </w:p>
    <w:p>
      <w:pPr>
        <w:ind w:left="1620" w:right="8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402(v) of Regulation S-K for the applicable year and do not reflect compensation actually earned, realized, or received by the Company’s NEOs. These amounts reflect the Summary Compensation Table Total with certain adjustments made as described under the “Reconciliation of CAP Adjustments” section below. Equity values are calculated in accordance with FASB ASC Topic 718. Amounts in the Exclusion of Stock Awards column are the totals from the Stock Awards column set forth in the Summary Compensation Table.</w:t>
      </w:r>
    </w:p>
    <w:p>
      <w:pPr>
        <w:spacing w:after="0" w:line="14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Values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for Current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Current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Current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Current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7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280" w:type="dxa"/>
            <w:vAlign w:val="bottom"/>
            <w:gridSpan w:val="20"/>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2,899,181 ​​ ​ ​(2,899,181)​​ ​​5,682,218​​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5,682,218 </w:t>
            </w:r>
            <w:r>
              <w:rPr>
                <w:rFonts w:ascii="Times New Roman" w:cs="Times New Roman" w:eastAsia="Times New Roman" w:hAnsi="Times New Roman"/>
                <w:sz w:val="18"/>
                <w:szCs w:val="18"/>
                <w:b w:val="1"/>
                <w:bCs w:val="1"/>
                <w:color w:val="auto"/>
              </w:rPr>
              <w:t>​</w:t>
            </w:r>
          </w:p>
        </w:tc>
      </w:tr>
      <w:tr>
        <w:trPr>
          <w:trHeight w:val="367"/>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 Non-PEO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14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1,477,161 ​​ ​</w:t>
            </w:r>
          </w:p>
        </w:tc>
        <w:tc>
          <w:tcPr>
            <w:tcW w:w="80" w:type="dxa"/>
            <w:vAlign w:val="bottom"/>
          </w:tcPr>
          <w:p>
            <w:pPr>
              <w:spacing w:after="0"/>
              <w:rPr>
                <w:sz w:val="21"/>
                <w:szCs w:val="21"/>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(673,014)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1,535,682</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2,339,829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-1224915</wp:posOffset>
            </wp:positionV>
            <wp:extent cx="474916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p>
      <w:pPr>
        <w:spacing w:after="0" w:line="3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82"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2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Prior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That</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Last Day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Year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that Vested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for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120" w:type="dxa"/>
            <w:vAlign w:val="bottom"/>
            <w:tcBorders>
              <w:right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​​3,927,291​​ ​​1,670,069​​ ​</w:t>
            </w:r>
          </w:p>
        </w:tc>
        <w:tc>
          <w:tcPr>
            <w:tcW w:w="620" w:type="dxa"/>
            <w:vAlign w:val="bottom"/>
            <w:tcBorders>
              <w:right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​84,858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​​5,682,218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67"/>
        </w:trPr>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2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Prior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of</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3"/>
              </w:rPr>
              <w:t>Year That</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5"/>
              </w:rPr>
              <w:t>to Last Day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of Year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2"/>
              </w:rPr>
              <w:t>Unvested as</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that Vested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Forfeited</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5"/>
              </w:rPr>
              <w:t>of Last Day</w:t>
            </w:r>
          </w:p>
        </w:tc>
        <w:tc>
          <w:tcPr>
            <w:tcW w:w="2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3"/>
              </w:rPr>
              <w:t>of Year for</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Values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Non-PEO</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​933,393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568,999 ​​ ​</w:t>
            </w:r>
          </w:p>
        </w:tc>
        <w:tc>
          <w:tcPr>
            <w:tcW w:w="6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​33,290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​​1,535,682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-2253615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-2253615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-2253615</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-2253615</wp:posOffset>
            </wp:positionV>
            <wp:extent cx="137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-2253615</wp:posOffset>
            </wp:positionV>
            <wp:extent cx="137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-2253615</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-170815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-170815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-170815</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-170815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-170815</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-170815</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 w:lineRule="exact"/>
        <w:rPr>
          <w:sz w:val="20"/>
          <w:szCs w:val="20"/>
          <w:color w:val="auto"/>
        </w:rPr>
      </w:pPr>
    </w:p>
    <w:p>
      <w:pPr>
        <w:ind w:left="1620" w:right="479" w:hanging="360"/>
        <w:spacing w:after="0" w:line="25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Philadelphia Utility Sector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Philadelphia Utility Sector Index, respectively. Historical stock performance is not necessarily indicative of future stock performance.</w:t>
      </w:r>
    </w:p>
    <w:p>
      <w:pPr>
        <w:spacing w:after="0" w:line="38" w:lineRule="exact"/>
        <w:rPr>
          <w:rFonts w:ascii="Times New Roman" w:cs="Times New Roman" w:eastAsia="Times New Roman" w:hAnsi="Times New Roman"/>
          <w:sz w:val="18"/>
          <w:szCs w:val="18"/>
          <w:color w:val="auto"/>
        </w:rPr>
      </w:pPr>
    </w:p>
    <w:p>
      <w:pPr>
        <w:ind w:left="1620" w:right="559" w:hanging="360"/>
        <w:spacing w:after="0" w:line="254"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in the CD&amp;A, the Compensation Committee selected CAFD as one of the key metrics for evaluating and rewarding management’s performance in the 2025 annual incentive compensation program. CAFD is a non-GAAP measure that is defined in the CD&amp;A under the heading “2025 AIP Bonus Performance Criteria.” Given the importance of CAFD, as discussed further above (i.e., CAFD has a 40% weighting in the AIP scorecard), the Company has determined, in the Company’s assessment, that CAFD represents the most important financial performance measure (that is not otherwise required to be disclosed in the above table) used by the Company to link Compensation Actually Paid to the NEOs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five-year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the LTIP. Given the leverage of our compensation program towards equity awards, the Compensation Actually Paid is most directly impacted by our stock price performance.</w:t>
      </w:r>
    </w:p>
    <w:p>
      <w:pPr>
        <w:spacing w:after="0" w:line="188" w:lineRule="exact"/>
        <w:rPr>
          <w:sz w:val="20"/>
          <w:szCs w:val="20"/>
          <w:color w:val="auto"/>
        </w:rPr>
      </w:pPr>
    </w:p>
    <w:p>
      <w:pPr>
        <w:ind w:left="1260" w:right="539"/>
        <w:spacing w:after="0" w:line="300" w:lineRule="auto"/>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79"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cumulative TSR over the five most recently completed fiscal years for the Company and the Philadelphia Utility Sector Index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118745</wp:posOffset>
            </wp:positionV>
            <wp:extent cx="5168900" cy="30435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6890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60"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118745</wp:posOffset>
            </wp:positionV>
            <wp:extent cx="5168900" cy="2922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6890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CAFD</w:t>
      </w:r>
    </w:p>
    <w:p>
      <w:pPr>
        <w:spacing w:after="0" w:line="146" w:lineRule="exact"/>
        <w:rPr>
          <w:sz w:val="20"/>
          <w:szCs w:val="20"/>
          <w:color w:val="auto"/>
        </w:rPr>
      </w:pPr>
    </w:p>
    <w:p>
      <w:pPr>
        <w:ind w:left="1260" w:right="619" w:firstLine="360"/>
        <w:spacing w:after="0" w:line="281"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CAFD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107315</wp:posOffset>
            </wp:positionV>
            <wp:extent cx="5168900" cy="2888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68900" cy="28886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Performance Measures</w:t>
      </w:r>
    </w:p>
    <w:p>
      <w:pPr>
        <w:spacing w:after="0" w:line="160"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list of financial performance measures, which in our assessment represent the most important financial performance measures used by the Company to link Compensation Actually Paid to the NEOs for 2025. The measures in this table are not ranked. In addition to these metrics, the Company’s annual bonus program includes key performance milestones relating to the Company’s relevant fleet capacities, project development priorities, cost efficiencies and savings, adherence to budget, energy resource planning, Enterprise Resource and employee engagement. Please see the CD&amp;A for a further description of the metrics used in the Company’s executive compensation program.</w:t>
      </w:r>
    </w:p>
    <w:p>
      <w:pPr>
        <w:spacing w:after="0" w:line="81" w:lineRule="exact"/>
        <w:rPr>
          <w:sz w:val="20"/>
          <w:szCs w:val="20"/>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TSR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NYSE listing standards’ definition of independence for audit committee members and has determined that each member of the Audit Committee meets that standard. The Board has also determined that each of the four members of the Audit Committee who served as such in 2025 met the requirements of an “audit committee financial expert.”</w:t>
      </w:r>
    </w:p>
    <w:p>
      <w:pPr>
        <w:spacing w:after="0" w:line="12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95" w:lineRule="exact"/>
        <w:rPr>
          <w:sz w:val="20"/>
          <w:szCs w:val="20"/>
          <w:color w:val="auto"/>
        </w:rPr>
      </w:pPr>
    </w:p>
    <w:p>
      <w:pPr>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for the fiscal year 2025, PricewaterhouseCoopers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16"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of the Company for the fiscal year ended December 31, 2025 with the Company’s management and has discussed with PricewaterhouseCoopers LLP the matters required to be discussed by the PCAOB Auditing Standard</w:t>
      </w:r>
    </w:p>
    <w:p>
      <w:pPr>
        <w:spacing w:after="0" w:line="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No. 1301, as amended, “Communication with Audit Committees.” In addition, PricewaterhouseCoopers LLP has provided the Audit Committee with the written disclosures and the letter required by Statement on the PCAOB Auditing Standard No. 1301, “Communication with Audit Committees,” and the Audit Committee has discussed with PricewaterhouseCoopers LLP their independence. The Audit Committee also reviewed, and discussed with management and PricewaterhouseCoopers LLP, management’s report and PricewaterhouseCoopers LLP’s report and attestation on internal control over financial reporting in accordance with Section 404 of the Sarbanes-Oxley Act.</w:t>
      </w:r>
    </w:p>
    <w:p>
      <w:pPr>
        <w:spacing w:after="0" w:line="121"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the audited financial statements be included in the Company’s Annual Report on Form 10-K for the fiscal year ended December 31, 2025, for filing with the SEC.</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Brian R. Ford, Chair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Jennifer Lowry</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Daniel B. More</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 Stanley O’Neal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our principal independent registered public accounting firm:</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10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​$5,866,181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​$4,479,259</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1,959,625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518,572</w:t>
            </w:r>
          </w:p>
        </w:tc>
      </w:tr>
      <w:tr>
        <w:trPr>
          <w:trHeight w:val="24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897,000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6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2"/>
                <w:szCs w:val="2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​$8,722,806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​$4,999,831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-616585</wp:posOffset>
            </wp:positionV>
            <wp:extent cx="46805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2025 and 2024, PricewaterhouseCoopers LLP billed the Company approximately $5,866,181 and $4,479,259,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2025 and 2024, there were no audit-related fees billed to the Company.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For 2025 and 2024, PricewaterhouseCoopers LLP billed the Company approximately $1,959,625 and $518,572, respectively, relating primarily to compliance work.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2025 and 2024, PricewaterhouseCoopers LLP billed the Company approximately $897,000 and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$2,000, respectively, in other fees relating to online subscription fees and pre-implementation review of the</w:t>
      </w:r>
    </w:p>
    <w:p>
      <w:pPr>
        <w:ind w:left="1260"/>
        <w:spacing w:after="0"/>
        <w:rPr>
          <w:sz w:val="20"/>
          <w:szCs w:val="20"/>
          <w:color w:val="auto"/>
        </w:rPr>
      </w:pPr>
      <w:r>
        <w:rPr>
          <w:rFonts w:ascii="Times New Roman" w:cs="Times New Roman" w:eastAsia="Times New Roman" w:hAnsi="Times New Roman"/>
          <w:sz w:val="18"/>
          <w:szCs w:val="18"/>
          <w:color w:val="auto"/>
        </w:rPr>
        <w:t>Company’s new enterprise resource planning application.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appointing, setting compensation for, and overseeing the work of the independent registered public accounting firm of the Company. The Audit Committee has established</w:t>
      </w:r>
    </w:p>
    <w:p>
      <w:pPr>
        <w:ind w:left="1260" w:right="499"/>
        <w:spacing w:after="0" w:line="245" w:lineRule="auto"/>
        <w:tabs>
          <w:tab w:leader="none" w:pos="13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regarding pre-approval of all audit and permissible non-audit services provided by the independent registered public accounting firm of the Company.</w:t>
      </w:r>
    </w:p>
    <w:p>
      <w:pPr>
        <w:spacing w:after="0" w:line="113"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Unless the Audit Committee has pre- approved Audit Services or a specified category of non- 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32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Annual Meeting is to:</w:t>
      </w:r>
    </w:p>
    <w:p>
      <w:pPr>
        <w:spacing w:after="0" w:line="158" w:lineRule="exact"/>
        <w:rPr>
          <w:sz w:val="20"/>
          <w:szCs w:val="20"/>
          <w:color w:val="auto"/>
        </w:rPr>
      </w:pPr>
    </w:p>
    <w:p>
      <w:pPr>
        <w:ind w:left="1980" w:hanging="360"/>
        <w:spacing w:after="0"/>
        <w:tabs>
          <w:tab w:leader="none" w:pos="1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eleven directors;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Say on Pay Proposal;</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Ratification of PricewaterhouseCoopers LLP’s Appointment Proposal;</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Charter Amendment Proposal; and</w:t>
      </w:r>
    </w:p>
    <w:p>
      <w:pPr>
        <w:spacing w:after="0" w:line="157" w:lineRule="exact"/>
        <w:rPr>
          <w:rFonts w:ascii="Times New Roman" w:cs="Times New Roman" w:eastAsia="Times New Roman" w:hAnsi="Times New Roman"/>
          <w:sz w:val="18"/>
          <w:szCs w:val="18"/>
          <w:color w:val="auto"/>
        </w:rPr>
      </w:pPr>
    </w:p>
    <w:p>
      <w:pPr>
        <w:ind w:left="1980" w:right="1359" w:hanging="360"/>
        <w:spacing w:after="0" w:line="282" w:lineRule="auto"/>
        <w:tabs>
          <w:tab w:leader="none" w:pos="1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Annual Meeting and any adjournment or postponement.</w:t>
      </w:r>
    </w:p>
    <w:p>
      <w:pPr>
        <w:spacing w:after="0" w:line="81"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Other than these proposals, the Board is not aware of any other matters to be presented for a vote at the Annual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All of our stockholders may attend the Annual Meeting. However, only stockholders who owned our Class A, Class B, Class C or Class D common stock at the close of business on March 19, 2026, the record date for the Annual Meeting, or their duly appointed proxies, are entitled to vote at the Annual Meeting.</w:t>
      </w:r>
    </w:p>
    <w:p>
      <w:pPr>
        <w:spacing w:after="0" w:line="10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59" w:lineRule="exact"/>
        <w:rPr>
          <w:sz w:val="20"/>
          <w:szCs w:val="20"/>
          <w:color w:val="auto"/>
        </w:rPr>
      </w:pPr>
    </w:p>
    <w:p>
      <w:pPr>
        <w:ind w:left="1800" w:right="559" w:hanging="180"/>
        <w:spacing w:after="0" w:line="284"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of Record — </w:t>
      </w:r>
      <w:r>
        <w:rPr>
          <w:rFonts w:ascii="Times New Roman" w:cs="Times New Roman" w:eastAsia="Times New Roman" w:hAnsi="Times New Roman"/>
          <w:sz w:val="18"/>
          <w:szCs w:val="18"/>
          <w:color w:val="auto"/>
        </w:rPr>
        <w:t>If your shares are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Computershare, you are considered the stockholder of record of those shares.</w:t>
      </w:r>
    </w:p>
    <w:p>
      <w:pPr>
        <w:spacing w:after="0" w:line="50"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 — </w:t>
      </w:r>
      <w:r>
        <w:rPr>
          <w:rFonts w:ascii="Times New Roman" w:cs="Times New Roman" w:eastAsia="Times New Roman" w:hAnsi="Times New Roman"/>
          <w:sz w:val="18"/>
          <w:szCs w:val="18"/>
          <w:color w:val="auto"/>
        </w:rPr>
        <w:t>If your shares are held in a stock brokerage account, or by a bank,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firstLine="360"/>
        <w:spacing w:after="0" w:line="228" w:lineRule="auto"/>
        <w:rPr>
          <w:sz w:val="20"/>
          <w:szCs w:val="20"/>
          <w:color w:val="auto"/>
        </w:rPr>
      </w:pPr>
      <w:r>
        <w:rPr>
          <w:rFonts w:ascii="Times New Roman" w:cs="Times New Roman" w:eastAsia="Times New Roman" w:hAnsi="Times New Roman"/>
          <w:sz w:val="18"/>
          <w:szCs w:val="18"/>
          <w:color w:val="auto"/>
        </w:rPr>
        <w:t>You have one vote for each share of our Class A or Class B common stock you owned as of the record date for the Annual Meeting. You have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w:t>
      </w:r>
    </w:p>
    <w:p>
      <w:pPr>
        <w:spacing w:after="0" w:line="117"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CEG beneficially owns all of our outstanding Class B common stock and Class D common stock, which represents, in the aggregate, approximately 54.88% of the combined voting power of our common stock as of the record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RECOMMENDATIONS OF THE BOARD?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40"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director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00" w:hanging="280"/>
        <w:spacing w:after="0"/>
        <w:tabs>
          <w:tab w:leader="none" w:pos="1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Say on Pay Proposal;</w:t>
      </w:r>
    </w:p>
    <w:p>
      <w:pPr>
        <w:spacing w:after="0" w:line="15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PricewaterhouseCoopers LLP’s Appointment Proposal; and</w:t>
      </w:r>
    </w:p>
    <w:p>
      <w:pPr>
        <w:spacing w:after="0" w:line="15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Charter Amendment Proposal.</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you grant a proxy and any additional matters are properly presented for a vote at the Annual Meeting, either of the persons named as proxy holders, Craig Cornelius or Kevin P. Malcarney, will have the discretion to vote your shares.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In addition, with respect to the Charter Amendment Proposal, the presence of the holders of a majority in voting power of the outstanding shares of our Class A common stock entitled to vote at the Annual Meeting, represented through virtual attendance or by proxy at the Annual Meeting, will constitute a quorum for purposes of the Charter Amendment Proposal. As of the record date, there were 78,631,266 votes entitled to be cast in the aggregate by the holders of all shares of our common stock outstanding, consisting of:</w:t>
      </w:r>
    </w:p>
    <w:p>
      <w:pPr>
        <w:spacing w:after="0" w:line="274" w:lineRule="exact"/>
        <w:rPr>
          <w:sz w:val="20"/>
          <w:szCs w:val="20"/>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34,613,853 shares of our Class A common stock (representing the same number of votes);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42,738,750 shares of our Class B common stock (representing the same number of votes);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86,290,173 shares of our Class C common stock (representing 862,902 votes);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41,576,142 shares of our Class D common stock (representing 415,761 votes).</w:t>
      </w:r>
    </w:p>
    <w:p>
      <w:pPr>
        <w:spacing w:after="0" w:line="158"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presence of holders entitled to cast at least 39,315,634 votes (and, with respect to the Charter Amendment Proposal, the presence of holders of at least 17,306,927 shares of Class A common stock)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0" w:lineRule="exact"/>
        <w:rPr>
          <w:sz w:val="20"/>
          <w:szCs w:val="20"/>
          <w:color w:val="auto"/>
        </w:rPr>
      </w:pPr>
    </w:p>
    <w:p>
      <w:pPr>
        <w:ind w:left="1980" w:right="499" w:hanging="360"/>
        <w:spacing w:after="0" w:line="257" w:lineRule="auto"/>
        <w:tabs>
          <w:tab w:leader="none" w:pos="1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 </w:t>
      </w:r>
      <w:r>
        <w:rPr>
          <w:rFonts w:ascii="Times New Roman" w:cs="Times New Roman" w:eastAsia="Times New Roman" w:hAnsi="Times New Roman"/>
          <w:sz w:val="18"/>
          <w:szCs w:val="18"/>
          <w:color w:val="auto"/>
        </w:rPr>
        <w:t>The nominees for election as directors at the Annual Meeting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87" w:lineRule="exact"/>
        <w:rPr>
          <w:rFonts w:ascii="Times New Roman" w:cs="Times New Roman" w:eastAsia="Times New Roman" w:hAnsi="Times New Roman"/>
          <w:sz w:val="18"/>
          <w:szCs w:val="18"/>
          <w:color w:val="auto"/>
        </w:rPr>
      </w:pPr>
    </w:p>
    <w:p>
      <w:pPr>
        <w:ind w:left="1980" w:right="419" w:hanging="360"/>
        <w:spacing w:after="0" w:line="257" w:lineRule="auto"/>
        <w:tabs>
          <w:tab w:leader="none" w:pos="1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Say on Pay Proposal — </w:t>
      </w:r>
      <w:r>
        <w:rPr>
          <w:rFonts w:ascii="Times New Roman" w:cs="Times New Roman" w:eastAsia="Times New Roman" w:hAnsi="Times New Roman"/>
          <w:sz w:val="18"/>
          <w:szCs w:val="18"/>
          <w:color w:val="auto"/>
        </w:rPr>
        <w:t>This proposal requires the affirmative vote of the majority in voting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01"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PricewaterhouseCoopers LLP’s Appointment Proposal — </w:t>
      </w:r>
      <w:r>
        <w:rPr>
          <w:rFonts w:ascii="Times New Roman" w:cs="Times New Roman" w:eastAsia="Times New Roman" w:hAnsi="Times New Roman"/>
          <w:sz w:val="18"/>
          <w:szCs w:val="18"/>
          <w:color w:val="auto"/>
        </w:rPr>
        <w:t>This proposal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a majority in voting power of the shares of our common stock present through virtual attendance or represented by proxy at the Annual Meeting and entitled to vote on the proposal. If the selection of PricewaterhouseCoopers LLP as our independent registered public accounting firm is not ratified, the Audit Committee will reconsider its selection.</w:t>
      </w:r>
    </w:p>
    <w:p>
      <w:pPr>
        <w:spacing w:after="0" w:line="88" w:lineRule="exact"/>
        <w:rPr>
          <w:rFonts w:ascii="Times New Roman" w:cs="Times New Roman" w:eastAsia="Times New Roman" w:hAnsi="Times New Roman"/>
          <w:sz w:val="18"/>
          <w:szCs w:val="18"/>
          <w:color w:val="auto"/>
        </w:rPr>
      </w:pPr>
    </w:p>
    <w:p>
      <w:pPr>
        <w:ind w:left="1980" w:right="519" w:hanging="360"/>
        <w:spacing w:after="0" w:line="267" w:lineRule="auto"/>
        <w:tabs>
          <w:tab w:leader="none" w:pos="1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Charter Amendment Proposal — </w:t>
      </w:r>
      <w:r>
        <w:rPr>
          <w:rFonts w:ascii="Times New Roman" w:cs="Times New Roman" w:eastAsia="Times New Roman" w:hAnsi="Times New Roman"/>
          <w:sz w:val="18"/>
          <w:szCs w:val="18"/>
          <w:color w:val="auto"/>
        </w:rPr>
        <w:t>This proposal requires the affirmative vote of (i)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voting power of the shares of our common stock outstanding and entitled to vote on the proposal and (ii) a majority in voting power of the shares of our Class A common stock outstanding and entitled to vote on the proposal.</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 AND HOW ARE THEY TREATED?</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PricewaterhouseCoopers LLP’s Appointment Proposal, but do not have the discretion to vote on the election of directors, the Say on Pay Proposal or the Charter Amendment Proposal. Broker non-votes and abstentions, if any, will be treated as follows with respect to votes on each of the proposals: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6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Treatment of Abstentions</w:t>
            </w:r>
          </w:p>
        </w:tc>
        <w:tc>
          <w:tcPr>
            <w:tcW w:w="23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Treatment of Broker Non-Votes</w:t>
            </w:r>
          </w:p>
        </w:tc>
      </w:tr>
      <w:tr>
        <w:trPr>
          <w:trHeight w:val="37"/>
        </w:trPr>
        <w:tc>
          <w:tcPr>
            <w:tcW w:w="2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r>
      <w:tr>
        <w:trPr>
          <w:trHeight w:val="24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Election of Directors</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 on this proposal.</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 effect on this proposal.</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Say on Pay Proposal</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Counted toward the tabulation</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 effect on this proposal.</w:t>
            </w:r>
          </w:p>
        </w:tc>
      </w:tr>
      <w:tr>
        <w:trPr>
          <w:trHeight w:val="216"/>
        </w:trPr>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votes on this proposal and</w:t>
            </w:r>
          </w:p>
        </w:tc>
        <w:tc>
          <w:tcPr>
            <w:tcW w:w="23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have the same effect as a</w:t>
            </w:r>
          </w:p>
        </w:tc>
        <w:tc>
          <w:tcPr>
            <w:tcW w:w="236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AGAINST this proposal.</w:t>
            </w:r>
          </w:p>
        </w:tc>
        <w:tc>
          <w:tcPr>
            <w:tcW w:w="2360" w:type="dxa"/>
            <w:vAlign w:val="bottom"/>
          </w:tcPr>
          <w:p>
            <w:pPr>
              <w:spacing w:after="0"/>
              <w:rPr>
                <w:sz w:val="20"/>
                <w:szCs w:val="20"/>
                <w:color w:val="auto"/>
              </w:rPr>
            </w:pPr>
          </w:p>
        </w:tc>
      </w:t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Ratification of</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Counted toward the tabulation</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 since brokers</w:t>
            </w:r>
          </w:p>
        </w:tc>
      </w:tr>
      <w:tr>
        <w:trPr>
          <w:trHeight w:val="216"/>
        </w:trPr>
        <w:tc>
          <w:tcPr>
            <w:tcW w:w="24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PricewaterhouseCoopers LLP’s</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votes on this proposal and</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have discretionary authority to</w:t>
            </w:r>
          </w:p>
        </w:tc>
      </w:tr>
      <w:tr>
        <w:trPr>
          <w:trHeight w:val="216"/>
        </w:trPr>
        <w:tc>
          <w:tcPr>
            <w:tcW w:w="24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Appointment Proposal</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have the same effect as a</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vote on this proposal.</w:t>
            </w:r>
          </w:p>
        </w:tc>
      </w:tr>
      <w:tr>
        <w:trPr>
          <w:trHeight w:val="234"/>
        </w:trPr>
        <w:tc>
          <w:tcPr>
            <w:tcW w:w="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AGAINST this proposal.</w:t>
            </w:r>
          </w:p>
        </w:tc>
        <w:tc>
          <w:tcPr>
            <w:tcW w:w="2360" w:type="dxa"/>
            <w:vAlign w:val="bottom"/>
          </w:tcPr>
          <w:p>
            <w:pPr>
              <w:spacing w:after="0"/>
              <w:rPr>
                <w:sz w:val="20"/>
                <w:szCs w:val="20"/>
                <w:color w:val="auto"/>
              </w:rPr>
            </w:pPr>
          </w:p>
        </w:tc>
      </w:t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Charter Amendment Proposal</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Counted toward the tabulation</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Counted toward the tabulation</w:t>
            </w:r>
          </w:p>
        </w:tc>
      </w:tr>
      <w:tr>
        <w:trPr>
          <w:trHeight w:val="216"/>
        </w:trPr>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votes on this proposal and</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of votes on this proposal and</w:t>
            </w:r>
          </w:p>
        </w:tc>
      </w:tr>
      <w:tr>
        <w:trPr>
          <w:trHeight w:val="216"/>
        </w:trPr>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have the same effect as a</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will have the same effect as a</w:t>
            </w:r>
          </w:p>
        </w:tc>
      </w:tr>
      <w:tr>
        <w:trPr>
          <w:trHeight w:val="234"/>
        </w:trPr>
        <w:tc>
          <w:tcPr>
            <w:tcW w:w="2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AGAINST this proposal.</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vote AGAINST this proposal.</w:t>
            </w: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283" w:lineRule="exact"/>
        <w:rPr>
          <w:sz w:val="20"/>
          <w:szCs w:val="20"/>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Internet: </w:t>
      </w:r>
      <w:r>
        <w:rPr>
          <w:rFonts w:ascii="Times New Roman" w:cs="Times New Roman" w:eastAsia="Times New Roman" w:hAnsi="Times New Roman"/>
          <w:sz w:val="18"/>
          <w:szCs w:val="18"/>
          <w:color w:val="auto"/>
        </w:rPr>
        <w:t>If you have Internet access, you may submit your proxy by using the Internet</w:t>
      </w:r>
    </w:p>
    <w:p>
      <w:pPr>
        <w:spacing w:after="0" w:line="29" w:lineRule="exact"/>
        <w:rPr>
          <w:rFonts w:ascii="Times New Roman" w:cs="Times New Roman" w:eastAsia="Times New Roman" w:hAnsi="Times New Roman"/>
          <w:sz w:val="18"/>
          <w:szCs w:val="18"/>
          <w:color w:val="auto"/>
        </w:rPr>
      </w:pPr>
    </w:p>
    <w:p>
      <w:pPr>
        <w:ind w:left="18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hours a day, 7 days a week, up until 11:59 p.m., Eastern Time, on April 28, 2026,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78"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Telephone: </w:t>
      </w:r>
      <w:r>
        <w:rPr>
          <w:rFonts w:ascii="Times New Roman" w:cs="Times New Roman" w:eastAsia="Times New Roman" w:hAnsi="Times New Roman"/>
          <w:sz w:val="18"/>
          <w:szCs w:val="18"/>
          <w:color w:val="auto"/>
        </w:rPr>
        <w:t>If you live in the United States, you may use any touch-tone telephone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proxy 24 hours a day, 7 days a week, up until 11:59 p.m., Eastern Time, on April 28, 2026. The telephone number is printed on your proxy card or voting instruction card. If you vote by telephone, you do not need to return your proxy card or voting instruction card.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Mail: </w:t>
      </w:r>
      <w:r>
        <w:rPr>
          <w:rFonts w:ascii="Times New Roman" w:cs="Times New Roman" w:eastAsia="Times New Roman" w:hAnsi="Times New Roman"/>
          <w:sz w:val="18"/>
          <w:szCs w:val="18"/>
          <w:color w:val="auto"/>
        </w:rPr>
        <w:t>You may submit your proxy by signing your proxy card or, for shares held in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29, 2026, the Annual Meeting date.</w:t>
      </w:r>
    </w:p>
    <w:p>
      <w:pPr>
        <w:spacing w:after="0" w:line="281" w:lineRule="exact"/>
        <w:rPr>
          <w:rFonts w:ascii="Times New Roman" w:cs="Times New Roman" w:eastAsia="Times New Roman" w:hAnsi="Times New Roman"/>
          <w:sz w:val="18"/>
          <w:szCs w:val="18"/>
          <w:color w:val="auto"/>
        </w:rPr>
      </w:pPr>
    </w:p>
    <w:p>
      <w:pPr>
        <w:jc w:val="both"/>
        <w:ind w:left="1800" w:right="459" w:hanging="180"/>
        <w:spacing w:after="0" w:line="267"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During the Virtual Annual Meeting: </w:t>
      </w:r>
      <w:r>
        <w:rPr>
          <w:rFonts w:ascii="Times New Roman" w:cs="Times New Roman" w:eastAsia="Times New Roman" w:hAnsi="Times New Roman"/>
          <w:sz w:val="18"/>
          <w:szCs w:val="18"/>
          <w:color w:val="auto"/>
        </w:rPr>
        <w:t>To vote during the virtual Annual Meeting, Stockholders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 at the close of business on March 19, 2026, or their legal proxy holders, must register for and log in to </w:t>
      </w:r>
      <w:r>
        <w:rPr>
          <w:rFonts w:ascii="Times New Roman" w:cs="Times New Roman" w:eastAsia="Times New Roman" w:hAnsi="Times New Roman"/>
          <w:sz w:val="18"/>
          <w:szCs w:val="18"/>
          <w:i w:val="1"/>
          <w:iCs w:val="1"/>
          <w:color w:val="auto"/>
        </w:rPr>
        <w:t>www.virtualshareholdermeeting.com/CWEN2026</w:t>
      </w:r>
      <w:r>
        <w:rPr>
          <w:rFonts w:ascii="Times New Roman" w:cs="Times New Roman" w:eastAsia="Times New Roman" w:hAnsi="Times New Roman"/>
          <w:sz w:val="18"/>
          <w:szCs w:val="18"/>
          <w:color w:val="auto"/>
        </w:rPr>
        <w:t xml:space="preserve"> using their 16-digit control number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0" w:lineRule="auto"/>
        <w:rPr>
          <w:sz w:val="20"/>
          <w:szCs w:val="20"/>
          <w:color w:val="auto"/>
        </w:rPr>
      </w:pPr>
      <w:r>
        <w:rPr>
          <w:rFonts w:ascii="Times New Roman" w:cs="Times New Roman" w:eastAsia="Times New Roman" w:hAnsi="Times New Roman"/>
          <w:sz w:val="18"/>
          <w:szCs w:val="18"/>
          <w:color w:val="auto"/>
        </w:rPr>
        <w:t>provided on their proxy card. Stockholders holding shares in a joint account may virtually attend the meeting if they provide proof of joint ownership, and if each stockholder follows the admission requirements described below. Please refer to “— How can I vote virtually during the Annual Meeting?”.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MY VOTE?</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VOTE VIRTUALLY DURING THE ANNUAL MEETING?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Stockholders of record at the close of business on March 19, 2026, or their legal proxy holders, will be able to access the Annual Meeting webcast, ask questions and vote online at </w:t>
      </w:r>
      <w:r>
        <w:rPr>
          <w:rFonts w:ascii="Times New Roman" w:cs="Times New Roman" w:eastAsia="Times New Roman" w:hAnsi="Times New Roman"/>
          <w:sz w:val="18"/>
          <w:szCs w:val="18"/>
          <w:i w:val="1"/>
          <w:iCs w:val="1"/>
          <w:color w:val="auto"/>
        </w:rPr>
        <w:t xml:space="preserve">www.virtualshareholdermeeting.com/CWEN2026 </w:t>
      </w:r>
      <w:r>
        <w:rPr>
          <w:rFonts w:ascii="Times New Roman" w:cs="Times New Roman" w:eastAsia="Times New Roman" w:hAnsi="Times New Roman"/>
          <w:sz w:val="18"/>
          <w:szCs w:val="18"/>
          <w:color w:val="auto"/>
        </w:rPr>
        <w:t>by entering their 16-digit control number provided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This website also will contain instructions to participate in the virtual Annual Meeting.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I DO NOT PROVIDE INSTRUCTIONS AS TO HOW TO VOTE?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you sign your proxy card or voting instruction card with no further instructions, your shares will be voted in accordance with the recommendations of the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OBTAIN THE LIST OF STOCKHOLDERS ENTITLED TO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at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website for the Annual Meeting at </w:t>
      </w:r>
      <w:r>
        <w:rPr>
          <w:rFonts w:ascii="Times New Roman" w:cs="Times New Roman" w:eastAsia="Times New Roman" w:hAnsi="Times New Roman"/>
          <w:sz w:val="18"/>
          <w:szCs w:val="18"/>
          <w:i w:val="1"/>
          <w:iCs w:val="1"/>
          <w:color w:val="auto"/>
        </w:rPr>
        <w:t>www.virtualshareholdermeeting.com/CWEN2026</w:t>
      </w:r>
      <w:r>
        <w:rPr>
          <w:rFonts w:ascii="Times New Roman" w:cs="Times New Roman" w:eastAsia="Times New Roman" w:hAnsi="Times New Roman"/>
          <w:sz w:val="18"/>
          <w:szCs w:val="18"/>
          <w:color w:val="auto"/>
        </w:rPr>
        <w:t xml:space="preserve"> and for ten days prior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meeting for any purpose germane to the Annual Meeting, between the hours of 8:30 a.m.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5:00 p.m., Eastern Time, at our principal executive offices at 300 Carnegie Center, Suite 300, Princeton,</w:t>
      </w:r>
    </w:p>
    <w:p>
      <w:pPr>
        <w:ind w:left="1260"/>
        <w:spacing w:after="0" w:line="235" w:lineRule="auto"/>
        <w:rPr>
          <w:sz w:val="20"/>
          <w:szCs w:val="20"/>
          <w:color w:val="auto"/>
        </w:rPr>
      </w:pPr>
      <w:r>
        <w:rPr>
          <w:rFonts w:ascii="Times New Roman" w:cs="Times New Roman" w:eastAsia="Times New Roman" w:hAnsi="Times New Roman"/>
          <w:sz w:val="18"/>
          <w:szCs w:val="18"/>
          <w:color w:val="auto"/>
        </w:rPr>
        <w:t>New Jersey 08540. Please contact our Corporate Secretary if you wish to review the list of stockholders 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principal executive offices.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PAYS THE COST OF SOLICITATION OF PROXIES?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will pay for the cost of preparing, assembling, printing, mailing and distributing these proxy materials. Our directors and officers, as well as employees of CEG in accordance with the services such employees perform for and on our behalf pursuant to the CEG Master Services Agreement,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$35,000, plus reasonable out-of-pocket expenses. Fees for these services are calculated on a flat or per-stockholder basis and will not be contingent upon the number of votes in favor of the Charter Amendment Proposal. In addition, no fees will be paid for the solicitation of any stockholder to submit proxies or vote in favor of the Charter Amendment Proposal. MacKenzie Partners, Inc. is not authorized to make, and will not make, any recommendation to our stockholders to either approve or disapprove the Charter Amendment Proposal or otherwise express any opinion or judgment concerning the Charter Amendment Proposal. We will also reimburse brokerage houses and other custodians, nominees and fiduciaries for their reasonable out-of-pocket expenses for forwarding proxy and any other solicitation materials to beneficial owners of our common stock.</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THE COMPANY’S TRANSFER AGENT?</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Our transfer agent is Computershare. All communications concerning stockholder inquiries can be handled by contacting Clearway Energy, Inc. c/o Computershare, Computershare Investor Services, by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 xml:space="preserve">regular mail to P.O. Box 43006, Providence, RI 02940-3006, by overnight delivery to 150 Royall Street, Suite 101, Canton, MA 02021, or by telephone at 1-877-373-6374, or 1-781-575-2879 (outside the U.S. and Canada), or 1-800-952-9245 (Hearing Impaired-TTY). Their website is </w:t>
      </w:r>
      <w:r>
        <w:rPr>
          <w:rFonts w:ascii="Times New Roman" w:cs="Times New Roman" w:eastAsia="Times New Roman" w:hAnsi="Times New Roman"/>
          <w:sz w:val="18"/>
          <w:szCs w:val="18"/>
          <w:i w:val="1"/>
          <w:iCs w:val="1"/>
          <w:color w:val="auto"/>
        </w:rPr>
        <w:t>http://www.computershare.com</w:t>
      </w:r>
      <w:r>
        <w:rPr>
          <w:rFonts w:ascii="Times New Roman" w:cs="Times New Roman" w:eastAsia="Times New Roman" w:hAnsi="Times New Roman"/>
          <w:sz w:val="18"/>
          <w:szCs w:val="18"/>
          <w:color w:val="auto"/>
        </w:rPr>
        <w:t>. Certificates for transfer and address changes should be sent either by regular mail to Computershare, P.O. Box 43006, Providence, RI 02940-3006 or by overnight delivery to Computershare, 150 Royall Street, Suite 101, Canton, MA 02021.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Times New Roman" w:cs="Times New Roman" w:eastAsia="Times New Roman" w:hAnsi="Times New Roman"/>
          <w:sz w:val="18"/>
          <w:szCs w:val="18"/>
          <w:i w:val="1"/>
          <w:iCs w:val="1"/>
          <w:color w:val="auto"/>
        </w:rPr>
        <w:t>sendmaterial@proxyvote.com</w:t>
      </w:r>
      <w:r>
        <w:rPr>
          <w:rFonts w:ascii="Times New Roman" w:cs="Times New Roman" w:eastAsia="Times New Roman" w:hAnsi="Times New Roman"/>
          <w:sz w:val="18"/>
          <w:szCs w:val="18"/>
          <w:color w:val="auto"/>
        </w:rPr>
        <w:t>. Stockholders who are receiving individual copies of such materials,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like to receive single copies at a shared address, may contact Broadridge Financial Solutions, Inc. with this request by using the contact information provided above.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REQUEST ADDITIONAL MATERIALS?</w:t>
      </w:r>
    </w:p>
    <w:p>
      <w:pPr>
        <w:spacing w:after="0" w:line="162"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Stockholders may request additional copies of the proxy materials or Notice of Availability by contacting Broadridge Financial Solutions, Inc. by telephone at 1-800-579-1639 or by e-mail at </w:t>
      </w:r>
      <w:r>
        <w:rPr>
          <w:rFonts w:ascii="Times New Roman" w:cs="Times New Roman" w:eastAsia="Times New Roman" w:hAnsi="Times New Roman"/>
          <w:sz w:val="18"/>
          <w:szCs w:val="18"/>
          <w:i w:val="1"/>
          <w:iCs w:val="1"/>
          <w:color w:val="auto"/>
        </w:rPr>
        <w:t>sendmaterial@proxyvote.com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WHOM SHOULD I CALL IF I HAVE QUESTIONS ABOUT THE ANNUAL MEETING?</w:t>
      </w:r>
    </w:p>
    <w:p>
      <w:pPr>
        <w:spacing w:after="0" w:line="148"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any assistance in voting your shares, please contact our proxy solicitor:</w:t>
      </w:r>
    </w:p>
    <w:p>
      <w:pPr>
        <w:spacing w:after="0" w:line="9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 Penn Plaza, Suite 503</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322-2885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(212) 929-5500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proxy@mackenziepartners.com</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2027 ANNUAL MEETING OF STOCKHOLDERS</w:t>
      </w:r>
    </w:p>
    <w:p>
      <w:pPr>
        <w:spacing w:after="0" w:line="203"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STOCKHOLDER PROPOSALS FOR INCLUSION IN THE COMPANY’S PROXY STATEMENT FOR THE 2027 ANNUAL MEETING OF STOCKHOLDERS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2027 Annual Meeting, our Corporate Secretary must receive the proposal no later than the close of business on December 2, 2026, which is the 120th day prior to the first anniversary of the date on which this Proxy Statement was first released to our stockholders in connection with the 2026 Annual Meeting. If we change the date of the 2027 Annual Meeting by more than 30 days from the anniversary of this year’s Annual Meeting, stockholder proposals must be received a reasonable time before we begin to print and mail the proxy materials for the 2027 Annual Meeting in order to be considered for inclusion in our proxy statement. In addition, to comply with the universal proxy rules, stockholders who intend to solicit proxies in support of director nominees other than the Company’s nominees must provide notice that sets forth the information required by Rule 14a-19 under the Exchange Act, no later than March 1, 2027.</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 of Submitting Proposals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83"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PROPOSALS OR STOCKHOLDER NOMINATION OF DIRECTOR TO BE BROUGHT AT THE 2027 ANNUAL MEETING (WITHOUT INCLUSION IN THE COMPANY’S PROXY STATEMENT)</w:t>
      </w:r>
    </w:p>
    <w:p>
      <w:pPr>
        <w:spacing w:after="0" w:line="9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Alternatively, stockholders intending to present a proposal or nominate a director for election at the 2027 Annual Meeting without having the proposal or nomination included in our proxy statement must comply with the requirements set forth in our Bylaws and summarized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2027 Annual Meeting is more than 30 days before or more than 70 days after such anniversary date. For our 2027 Annual Meeting, our Corporate Secretary must receive the proposal or nomination no earlier than December 30, 2026 and no later than the close of business on January 29, 2027, unless the 2027 Annual Meeting is held earlier than March 30, 2027 or later than July 8, 2027, in which case the proposal or nomination should be received no earlier than the close of business on the 120th day prior to such annual meeting and not later than the close of business on the later of (a) the 90th day prior to the date of the 2027 Annual Meeting or (b) the 10th day following the day on which the date of the 2027 Annual Meeting is first publicly announced by the Company.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Required</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Clearway Energy, Inc., a corporation organized and existing under the General Corporation Law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hereby certifies as follows:</w:t>
      </w:r>
    </w:p>
    <w:p>
      <w:pPr>
        <w:spacing w:after="0" w:line="139" w:lineRule="exact"/>
        <w:rPr>
          <w:sz w:val="20"/>
          <w:szCs w:val="20"/>
          <w:color w:val="auto"/>
        </w:rPr>
      </w:pPr>
    </w:p>
    <w:p>
      <w:pPr>
        <w:ind w:left="1900" w:right="439" w:hanging="280"/>
        <w:spacing w:after="0" w:line="258" w:lineRule="auto"/>
        <w:tabs>
          <w:tab w:leader="none" w:pos="1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Clearway Energy, Inc. The date of filing of its original Certificate of Incorporation (the “</w:t>
      </w:r>
      <w:r>
        <w:rPr>
          <w:rFonts w:ascii="Times New Roman" w:cs="Times New Roman" w:eastAsia="Times New Roman" w:hAnsi="Times New Roman"/>
          <w:sz w:val="18"/>
          <w:szCs w:val="18"/>
          <w:i w:val="1"/>
          <w:iCs w:val="1"/>
          <w:color w:val="auto"/>
        </w:rPr>
        <w:t>Original Certificate</w:t>
      </w:r>
      <w:r>
        <w:rPr>
          <w:rFonts w:ascii="Times New Roman" w:cs="Times New Roman" w:eastAsia="Times New Roman" w:hAnsi="Times New Roman"/>
          <w:sz w:val="18"/>
          <w:szCs w:val="18"/>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02" w:lineRule="exact"/>
        <w:rPr>
          <w:rFonts w:ascii="Times New Roman" w:cs="Times New Roman" w:eastAsia="Times New Roman" w:hAnsi="Times New Roman"/>
          <w:sz w:val="18"/>
          <w:szCs w:val="18"/>
          <w:color w:val="auto"/>
        </w:rPr>
      </w:pPr>
    </w:p>
    <w:p>
      <w:pPr>
        <w:ind w:left="1900" w:right="899" w:hanging="280"/>
        <w:spacing w:after="0" w:line="266" w:lineRule="auto"/>
        <w:tabs>
          <w:tab w:leader="none" w:pos="1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8"/>
          <w:szCs w:val="18"/>
          <w:i w:val="1"/>
          <w:iCs w:val="1"/>
          <w:color w:val="auto"/>
        </w:rPr>
        <w:t>Amended and Restated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900" w:right="759" w:hanging="280"/>
        <w:spacing w:after="0" w:line="266" w:lineRule="auto"/>
        <w:tabs>
          <w:tab w:leader="none" w:pos="1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Certificate of Incorporation of Clearway Energy, Inc. in the form attached hereto as Exhibit A has been duly adopted in accordance with the provisions of Sections 242 and 245 of the DGCL by the directors and stockholders of the corporation.</w:t>
      </w:r>
    </w:p>
    <w:p>
      <w:pPr>
        <w:spacing w:after="0" w:line="108" w:lineRule="exact"/>
        <w:rPr>
          <w:rFonts w:ascii="Times New Roman" w:cs="Times New Roman" w:eastAsia="Times New Roman" w:hAnsi="Times New Roman"/>
          <w:sz w:val="18"/>
          <w:szCs w:val="18"/>
          <w:color w:val="auto"/>
        </w:rPr>
      </w:pPr>
    </w:p>
    <w:p>
      <w:pPr>
        <w:ind w:left="1900" w:right="419" w:hanging="280"/>
        <w:spacing w:after="0" w:line="282" w:lineRule="auto"/>
        <w:tabs>
          <w:tab w:leader="none" w:pos="1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Amended and Restated Certificate is amended and restated to read in full as set forth in Exhibit A attached hereto.</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Second Amended and Restated Certificate of Incorporation to be signed by the undersigned authorized officer this       day of             , 2026.</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Kevin P. Malcarney</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Executive Vice President, General</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SECOND AMENDED AND RESTATED CERTIFICATE OF INCORPORATION</w:t>
      </w:r>
    </w:p>
    <w:p>
      <w:pPr>
        <w:spacing w:after="0" w:line="18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name of the corporation is Clearway Energy,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160"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i w:val="1"/>
          <w:iCs w:val="1"/>
          <w:color w:val="auto"/>
        </w:rPr>
        <w:t>Conversion of Class A Common Stock into Class C Common Stock</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45" w:lineRule="auto"/>
        <w:tabs>
          <w:tab w:leader="none" w:pos="23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of this Certificate (as defined below) pursuant to Sections 242 and 245 of the DGCL, each share of Class A Common Stock (as defined below) shall become convertible into one fully paid and nonassessable share of Class C Common Stock (as defined below), which Class C Common Stock shall have the rights, preferences, privileges and restrictions set forth in this Certificate. Such conversion (the “</w:t>
      </w:r>
      <w:r>
        <w:rPr>
          <w:rFonts w:ascii="Times New Roman" w:cs="Times New Roman" w:eastAsia="Times New Roman" w:hAnsi="Times New Roman"/>
          <w:sz w:val="18"/>
          <w:szCs w:val="18"/>
          <w:i w:val="1"/>
          <w:iCs w:val="1"/>
          <w:color w:val="auto"/>
        </w:rPr>
        <w:t>Class A Conversion</w:t>
      </w:r>
      <w:r>
        <w:rPr>
          <w:rFonts w:ascii="Times New Roman" w:cs="Times New Roman" w:eastAsia="Times New Roman" w:hAnsi="Times New Roman"/>
          <w:sz w:val="18"/>
          <w:szCs w:val="18"/>
          <w:color w:val="auto"/>
        </w:rPr>
        <w:t>”) shall occur automatically, without further action on the part of the Corporation or any holder of Class A Common Stock, at 12:01 a.m., Eastern Time, on the second business day following the Effective Time.</w:t>
      </w:r>
    </w:p>
    <w:p>
      <w:pPr>
        <w:spacing w:after="0" w:line="11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Class A Conversion, certificates formerly representing shares of Class A Common Stock shall represent the number of shares of Class C Common Stock into which such shares of Class A Common Stock shall have been converted pursuant to this Certificate. Following the Class A Conversion, any holder of a certificate formerly representing shares of Class A Common Stock may surrender such certificate to the Corporation at any time during normal business hours at the principal executive offices of the Corporation or at the office of the Corporation’s transfer agent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accompanied by a written request from the holder of such shares for a new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representing the shares of Class C Common Stock into which such shares were converted, and (if so required by the Corporation or the Transfer Agent) by instruments of transfer, in form satisfactory to the Corporation and to the Transfer Agent, duly executed by such holder or such holder’s duly authorized attorney. As promptly as practicable following the surrender of any such certificate formerly representing shares of Class A Common Stock and the payment in cash of any amount required by the next sentence, the Corporation shall deliver or cause to be delivered at the office of the Transfer Agent a certificate or certificates representing the number of full shares of Class C Common Stock into which the shares of Class A Common Stock formerly represented by such certificate were converted, issued in such name or names as such holder may direct. The issuance of certificates for shares of Class C Common Stock upon the Class A Conversion shall be made without charge to the holders of such shares for any stamp or other similar tax in respect of such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certificate is to be issued in a name other than that of the holder of the share or shares that were converted, then the holder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333" w:lineRule="exact"/>
        <w:rPr>
          <w:rFonts w:ascii="Times New Roman" w:cs="Times New Roman" w:eastAsia="Times New Roman" w:hAnsi="Times New Roman"/>
          <w:sz w:val="18"/>
          <w:szCs w:val="18"/>
          <w:color w:val="auto"/>
        </w:rPr>
      </w:pPr>
    </w:p>
    <w:p>
      <w:pPr>
        <w:ind w:left="1620" w:right="819" w:firstLine="360"/>
        <w:spacing w:after="0" w:line="282" w:lineRule="auto"/>
        <w:tabs>
          <w:tab w:leader="none" w:pos="23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Class A Conversion, all references in this Certificate (other than this Section 1 of Article FOUR) to Class A Common Stock shall be deemed to have no further force or</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color w:val="auto"/>
        </w:rPr>
        <w:t>effect and the Corporation shall no longer have authority to issue or reissue shares of Class A Common Stock. Any shares of Class A Common Stock that are converted pursuant to the Class A Conversion shall be automatically and immediately cancelled and retired and shall not be reissued, sold or transferred. The Corporation may thereafter take such appropriate action (without the need for stockholder action) as may be necessary to reduce the authorized number of shares of Class A Common Stock accordingly.</w:t>
      </w:r>
    </w:p>
    <w:p>
      <w:pPr>
        <w:spacing w:after="0" w:line="323"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2,544,613,853 shares, consisting of:</w:t>
      </w:r>
    </w:p>
    <w:p>
      <w:pPr>
        <w:spacing w:after="0" w:line="91" w:lineRule="exact"/>
        <w:rPr>
          <w:sz w:val="20"/>
          <w:szCs w:val="20"/>
          <w:color w:val="auto"/>
        </w:rPr>
      </w:pPr>
    </w:p>
    <w:p>
      <w:pPr>
        <w:ind w:left="2340" w:hanging="360"/>
        <w:spacing w:after="0"/>
        <w:tabs>
          <w:tab w:leader="none" w:pos="2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34,613,853 shares of Class A Common Stock, par value $0.01 per share (“</w:t>
      </w:r>
      <w:r>
        <w:rPr>
          <w:rFonts w:ascii="Times New Roman" w:cs="Times New Roman" w:eastAsia="Times New Roman" w:hAnsi="Times New Roman"/>
          <w:sz w:val="18"/>
          <w:szCs w:val="18"/>
          <w:i w:val="1"/>
          <w:iCs w:val="1"/>
          <w:color w:val="auto"/>
        </w:rPr>
        <w:t>Class A Common</w:t>
      </w:r>
    </w:p>
    <w:p>
      <w:pPr>
        <w:spacing w:after="0" w:line="1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$0.01 per share (“</w:t>
      </w:r>
      <w:r>
        <w:rPr>
          <w:rFonts w:ascii="Times New Roman" w:cs="Times New Roman" w:eastAsia="Times New Roman" w:hAnsi="Times New Roman"/>
          <w:sz w:val="18"/>
          <w:szCs w:val="18"/>
          <w:i w:val="1"/>
          <w:iCs w:val="1"/>
          <w:color w:val="auto"/>
        </w:rPr>
        <w:t>Class B Common</w:t>
      </w:r>
    </w:p>
    <w:p>
      <w:pPr>
        <w:spacing w:after="0" w:line="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620" w:right="1099" w:firstLine="360"/>
        <w:spacing w:after="0" w:line="268" w:lineRule="auto"/>
        <w:tabs>
          <w:tab w:leader="none" w:pos="23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par value $0.01 per share (“</w:t>
      </w:r>
      <w:r>
        <w:rPr>
          <w:rFonts w:ascii="Times New Roman" w:cs="Times New Roman" w:eastAsia="Times New Roman" w:hAnsi="Times New Roman"/>
          <w:sz w:val="18"/>
          <w:szCs w:val="18"/>
          <w:i w:val="1"/>
          <w:iCs w:val="1"/>
          <w:color w:val="auto"/>
        </w:rPr>
        <w:t>Class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18"/>
          <w:szCs w:val="18"/>
          <w:color w:val="auto"/>
        </w:rPr>
      </w:pPr>
    </w:p>
    <w:p>
      <w:pPr>
        <w:ind w:left="1620" w:right="739" w:firstLine="360"/>
        <w:spacing w:after="0" w:line="259" w:lineRule="auto"/>
        <w:tabs>
          <w:tab w:leader="none" w:pos="23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par value $0.01 per share (“</w:t>
      </w:r>
      <w:r>
        <w:rPr>
          <w:rFonts w:ascii="Times New Roman" w:cs="Times New Roman" w:eastAsia="Times New Roman" w:hAnsi="Times New Roman"/>
          <w:sz w:val="18"/>
          <w:szCs w:val="18"/>
          <w:i w:val="1"/>
          <w:iCs w:val="1"/>
          <w:color w:val="auto"/>
        </w:rPr>
        <w:t>Class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together with the Class A Common Stock, the Class B Common Stock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0" w:lineRule="exact"/>
        <w:rPr>
          <w:sz w:val="20"/>
          <w:szCs w:val="20"/>
          <w:color w:val="auto"/>
        </w:rPr>
      </w:pPr>
    </w:p>
    <w:p>
      <w:pPr>
        <w:spacing w:after="0" w:line="344" w:lineRule="exact"/>
        <w:rPr>
          <w:sz w:val="20"/>
          <w:szCs w:val="20"/>
          <w:color w:val="auto"/>
        </w:rPr>
      </w:pPr>
    </w:p>
    <w:p>
      <w:pPr>
        <w:ind w:left="1620"/>
        <w:spacing w:after="0"/>
        <w:tabs>
          <w:tab w:leader="none" w:pos="25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i w:val="1"/>
          <w:iCs w:val="1"/>
          <w:color w:val="auto"/>
        </w:rPr>
        <w:t>Common Stock.</w:t>
      </w:r>
    </w:p>
    <w:p>
      <w:pPr>
        <w:spacing w:after="0" w:line="158" w:lineRule="exact"/>
        <w:rPr>
          <w:sz w:val="20"/>
          <w:szCs w:val="20"/>
          <w:color w:val="auto"/>
        </w:rPr>
      </w:pPr>
    </w:p>
    <w:p>
      <w:pPr>
        <w:ind w:left="1620" w:right="499" w:firstLine="360"/>
        <w:spacing w:after="0" w:line="245" w:lineRule="auto"/>
        <w:tabs>
          <w:tab w:leader="none" w:pos="23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by the DGCL or this Second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Certificate of Incorporation (this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and subject to the rights of holders of any series of 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24" w:lineRule="auto"/>
        <w:rPr>
          <w:sz w:val="20"/>
          <w:szCs w:val="20"/>
          <w:color w:val="auto"/>
        </w:rPr>
      </w:pPr>
      <w:r>
        <w:rPr>
          <w:rFonts w:ascii="Times New Roman" w:cs="Times New Roman" w:eastAsia="Times New Roman" w:hAnsi="Times New Roman"/>
          <w:sz w:val="18"/>
          <w:szCs w:val="18"/>
          <w:color w:val="auto"/>
        </w:rPr>
        <w:t>all matters voted upon by the stockholders of the Corporation. Each holder of Class C Common Stock and Class D Common Stock shall have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by such holder on all matters voted upon by the stockholders of the Corporation.</w:t>
      </w:r>
    </w:p>
    <w:p>
      <w:pPr>
        <w:spacing w:after="0" w:line="116" w:lineRule="exact"/>
        <w:rPr>
          <w:sz w:val="20"/>
          <w:szCs w:val="20"/>
          <w:color w:val="auto"/>
        </w:rPr>
      </w:pPr>
    </w:p>
    <w:p>
      <w:pPr>
        <w:ind w:left="2340" w:hanging="360"/>
        <w:spacing w:after="0"/>
        <w:tabs>
          <w:tab w:leader="none" w:pos="2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Other Distributions.</w:t>
      </w:r>
    </w:p>
    <w:p>
      <w:pPr>
        <w:spacing w:after="0" w:line="159" w:lineRule="exact"/>
        <w:rPr>
          <w:rFonts w:ascii="Times New Roman" w:cs="Times New Roman" w:eastAsia="Times New Roman" w:hAnsi="Times New Roman"/>
          <w:sz w:val="18"/>
          <w:szCs w:val="18"/>
          <w:color w:val="auto"/>
        </w:rPr>
      </w:pPr>
    </w:p>
    <w:p>
      <w:pPr>
        <w:ind w:left="1980" w:right="479" w:firstLine="360"/>
        <w:spacing w:after="0" w:line="246" w:lineRule="auto"/>
        <w:tabs>
          <w:tab w:leader="none" w:pos="266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13" w:lineRule="exact"/>
        <w:rPr>
          <w:rFonts w:ascii="Times New Roman" w:cs="Times New Roman" w:eastAsia="Times New Roman" w:hAnsi="Times New Roman"/>
          <w:sz w:val="18"/>
          <w:szCs w:val="18"/>
          <w:color w:val="auto"/>
        </w:rPr>
      </w:pPr>
    </w:p>
    <w:p>
      <w:pPr>
        <w:jc w:val="both"/>
        <w:ind w:left="1980" w:right="679" w:firstLine="360"/>
        <w:spacing w:after="0" w:line="258" w:lineRule="auto"/>
        <w:tabs>
          <w:tab w:leader="none" w:pos="27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(b)(iii) below with respect to stock dividends, dividends and other distributions of cash or property may not be declared or paid on the Class B Common Stock or Class D Common Stock.</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43" w:lineRule="auto"/>
        <w:tabs>
          <w:tab w:leader="none" w:pos="277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16"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Dissolution or Winding Up. </w:t>
      </w:r>
      <w:r>
        <w:rPr>
          <w:rFonts w:ascii="Times New Roman" w:cs="Times New Roman" w:eastAsia="Times New Roman" w:hAnsi="Times New Roman"/>
          <w:sz w:val="18"/>
          <w:szCs w:val="18"/>
          <w:color w:val="auto"/>
        </w:rPr>
        <w:t>In the event of any voluntary or involuntary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323"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of Class B Common Stock and Class D Common Stock. </w:t>
      </w:r>
      <w:r>
        <w:rPr>
          <w:rFonts w:ascii="Times New Roman" w:cs="Times New Roman" w:eastAsia="Times New Roman" w:hAnsi="Times New Roman"/>
          <w:sz w:val="18"/>
          <w:szCs w:val="18"/>
          <w:color w:val="auto"/>
        </w:rPr>
        <w:t>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that certain Third Amended and Restated Exchange Agreement, dated as of April 1, 2026, by and among Clearway Energy Group LLC, a Delaware limited liability company (“</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Clearway Energy LLC, a Delaware limited liability company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and the Corporation, CEG or its permitted transferees or assignees exchange a Class B unit of Clearway LLC for a share of Class C Common Stock, or exchange a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325"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Preemptive Rights. </w:t>
      </w:r>
      <w:r>
        <w:rPr>
          <w:rFonts w:ascii="Times New Roman" w:cs="Times New Roman" w:eastAsia="Times New Roman" w:hAnsi="Times New Roman"/>
          <w:sz w:val="18"/>
          <w:szCs w:val="18"/>
          <w:color w:val="auto"/>
        </w:rPr>
        <w:t>Except as otherwise provided in this Article FOUR, no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322" w:lineRule="exact"/>
        <w:rPr>
          <w:rFonts w:ascii="Times New Roman" w:cs="Times New Roman" w:eastAsia="Times New Roman" w:hAnsi="Times New Roman"/>
          <w:sz w:val="18"/>
          <w:szCs w:val="18"/>
          <w:color w:val="auto"/>
        </w:rPr>
      </w:pPr>
    </w:p>
    <w:p>
      <w:pPr>
        <w:ind w:left="1620" w:right="499" w:firstLine="360"/>
        <w:spacing w:after="0" w:line="252" w:lineRule="auto"/>
        <w:tabs>
          <w:tab w:leader="none" w:pos="23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Equal Status</w:t>
      </w:r>
      <w:r>
        <w:rPr>
          <w:rFonts w:ascii="Times New Roman" w:cs="Times New Roman" w:eastAsia="Times New Roman" w:hAnsi="Times New Roman"/>
          <w:sz w:val="18"/>
          <w:szCs w:val="18"/>
          <w:color w:val="auto"/>
        </w:rPr>
        <w:t>. Except as expressly provided in this Article FOUR, Class 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same rights and privileges and rank equally, share ratably and be identical in all respects to the Class A Common Stock as to all matters. Without limiting the generality of the foregoing, (i)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42" w:lineRule="auto"/>
        <w:rPr>
          <w:sz w:val="20"/>
          <w:szCs w:val="20"/>
          <w:color w:val="auto"/>
        </w:rPr>
      </w:pPr>
      <w:r>
        <w:rPr>
          <w:rFonts w:ascii="Times New Roman" w:cs="Times New Roman" w:eastAsia="Times New Roman" w:hAnsi="Times New Roman"/>
          <w:sz w:val="18"/>
          <w:szCs w:val="18"/>
          <w:color w:val="auto"/>
        </w:rPr>
        <w:t>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w:t>
      </w:r>
    </w:p>
    <w:p>
      <w:pPr>
        <w:spacing w:after="0" w:line="5" w:lineRule="exact"/>
        <w:rPr>
          <w:sz w:val="20"/>
          <w:szCs w:val="20"/>
          <w:color w:val="auto"/>
        </w:rPr>
      </w:pPr>
    </w:p>
    <w:p>
      <w:pPr>
        <w:ind w:left="1620" w:right="459"/>
        <w:spacing w:after="0" w:line="241" w:lineRule="auto"/>
        <w:tabs>
          <w:tab w:leader="none" w:pos="18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Common Stock shall be entitled to make the same election as to their shares of Class C Common Stock). Notwithstanding anything herein to the contrary, this clause (f) shall automatically terminate and be of no further force or effect from and after the consummation of the Class A Conversion.</w:t>
      </w:r>
    </w:p>
    <w:p>
      <w:pPr>
        <w:spacing w:after="0" w:line="324"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8"/>
          <w:szCs w:val="18"/>
          <w:i w:val="1"/>
          <w:iCs w:val="1"/>
          <w:color w:val="auto"/>
        </w:rPr>
        <w:t>Restrictions on Transfer.</w:t>
      </w:r>
    </w:p>
    <w:p>
      <w:pPr>
        <w:spacing w:after="0" w:line="158" w:lineRule="exact"/>
        <w:rPr>
          <w:sz w:val="20"/>
          <w:szCs w:val="20"/>
          <w:color w:val="auto"/>
        </w:rPr>
      </w:pPr>
    </w:p>
    <w:p>
      <w:pPr>
        <w:ind w:left="1620" w:right="559" w:firstLine="360"/>
        <w:spacing w:after="0" w:line="243" w:lineRule="auto"/>
        <w:tabs>
          <w:tab w:leader="none" w:pos="23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Transfers. </w:t>
      </w:r>
      <w:r>
        <w:rPr>
          <w:rFonts w:ascii="Times New Roman" w:cs="Times New Roman" w:eastAsia="Times New Roman" w:hAnsi="Times New Roman"/>
          <w:sz w:val="18"/>
          <w:szCs w:val="18"/>
          <w:color w:val="auto"/>
        </w:rPr>
        <w:t>Except through a Secondary Market Transaction, no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or otherwise acquire (whether 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the holdings of the transferee, together with those of its FERC Affiliates, would equal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the Utility Control Threshold without the prior written consent of the Board of Directors.</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45" w:lineRule="auto"/>
        <w:tabs>
          <w:tab w:leader="none" w:pos="23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Purported Transfer in Violation of Restrictions. </w:t>
      </w:r>
      <w:r>
        <w:rPr>
          <w:rFonts w:ascii="Times New Roman" w:cs="Times New Roman" w:eastAsia="Times New Roman" w:hAnsi="Times New Roman"/>
          <w:sz w:val="18"/>
          <w:szCs w:val="18"/>
          <w:color w:val="auto"/>
        </w:rPr>
        <w:t>Unless the approval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32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Definitions.  </w:t>
      </w:r>
      <w:r>
        <w:rPr>
          <w:rFonts w:ascii="Times New Roman" w:cs="Times New Roman" w:eastAsia="Times New Roman" w:hAnsi="Times New Roman"/>
          <w:sz w:val="18"/>
          <w:szCs w:val="18"/>
          <w:color w:val="auto"/>
        </w:rPr>
        <w:t>For purposes of this Section 5 of Article FOUR:</w:t>
      </w:r>
    </w:p>
    <w:p>
      <w:pPr>
        <w:spacing w:after="0" w:line="158"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Clearway Public Utility</w:t>
      </w:r>
      <w:r>
        <w:rPr>
          <w:rFonts w:ascii="Times New Roman" w:cs="Times New Roman" w:eastAsia="Times New Roman" w:hAnsi="Times New Roman"/>
          <w:sz w:val="18"/>
          <w:szCs w:val="18"/>
          <w:color w:val="auto"/>
        </w:rPr>
        <w:t>” means any direct or indirect subsidiary of Clearway Energy LLC that is a “public utility” (as​ that term is defined in the Federal Power Act).</w:t>
      </w:r>
    </w:p>
    <w:p>
      <w:pPr>
        <w:spacing w:after="0" w:line="91" w:lineRule="exact"/>
        <w:rPr>
          <w:sz w:val="20"/>
          <w:szCs w:val="20"/>
          <w:color w:val="auto"/>
        </w:rPr>
      </w:pPr>
    </w:p>
    <w:p>
      <w:pPr>
        <w:jc w:val="both"/>
        <w:ind w:left="1260" w:right="1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“FERC Affiliate</w:t>
      </w:r>
      <w:r>
        <w:rPr>
          <w:rFonts w:ascii="Times New Roman" w:cs="Times New Roman" w:eastAsia="Times New Roman" w:hAnsi="Times New Roman"/>
          <w:sz w:val="18"/>
          <w:szCs w:val="18"/>
          <w:color w:val="auto"/>
        </w:rPr>
        <w:t>” means any person that is an “affiliate” ​(as such term is defined in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C.F.R. § 35.36(a)(9)) of another person prior to the effective date of the Restricted Transfer.</w:t>
      </w:r>
    </w:p>
    <w:p>
      <w:pPr>
        <w:spacing w:after="0" w:line="77" w:lineRule="exact"/>
        <w:rPr>
          <w:sz w:val="20"/>
          <w:szCs w:val="20"/>
          <w:color w:val="auto"/>
        </w:rPr>
      </w:pPr>
    </w:p>
    <w:p>
      <w:pPr>
        <w:ind w:left="1260" w:right="65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Market Transaction</w:t>
      </w:r>
      <w:r>
        <w:rPr>
          <w:rFonts w:ascii="Times New Roman" w:cs="Times New Roman" w:eastAsia="Times New Roman" w:hAnsi="Times New Roman"/>
          <w:sz w:val="18"/>
          <w:szCs w:val="18"/>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w:t>
      </w:r>
    </w:p>
    <w:p>
      <w:pPr>
        <w:ind w:left="1260" w:right="499"/>
        <w:spacing w:after="0" w:line="246" w:lineRule="auto"/>
        <w:tabs>
          <w:tab w:leader="none" w:pos="158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1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Utility Control Threshold</w:t>
      </w:r>
      <w:r>
        <w:rPr>
          <w:rFonts w:ascii="Times New Roman" w:cs="Times New Roman" w:eastAsia="Times New Roman" w:hAnsi="Times New Roman"/>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1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146" w:lineRule="exact"/>
        <w:rPr>
          <w:sz w:val="20"/>
          <w:szCs w:val="20"/>
          <w:color w:val="auto"/>
        </w:rPr>
      </w:pPr>
    </w:p>
    <w:p>
      <w:pPr>
        <w:jc w:val="both"/>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directors are hereby empowered to exercise all such powers and do all such acts and things as may be exercised or done by the Corporation.</w:t>
      </w:r>
    </w:p>
    <w:p>
      <w:pPr>
        <w:spacing w:after="0" w:line="10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of Directors to be determined from time to time by the affirmative vote of at least a majority of the total number of directors then in office. Subject to the rights of the holders of any series of Preferred Stock, newly created directorships resulting from an increase in the size of the Board of Directors may be filled by the affirmative vote of at least a majority of the total number of directors then in office, although less than a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32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328"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Vacancies in the Board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w:t>
      </w:r>
    </w:p>
    <w:p>
      <w:pPr>
        <w:spacing w:after="0" w:line="1"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Article SEVEN, vacancies occurring on the Board of Directors for any reason may be filled by the affirmative vote of at least a majority of the total number of remaining directors then in office, although less than a quorum, at any meeting of the Board of Directors. A person so elected by the Board of Directors to fill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vacancy shall hold office until the next annual meeting of stockholders of the Corporation and until his or her successor is duly elected and qualified or until his or her earlier death, resignation or removal.</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146"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i w:val="1"/>
          <w:iCs w:val="1"/>
          <w:color w:val="auto"/>
        </w:rPr>
        <w:t>Indemnification; Limitation of Liability.</w:t>
      </w:r>
    </w:p>
    <w:p>
      <w:pPr>
        <w:spacing w:after="0" w:line="160" w:lineRule="exact"/>
        <w:rPr>
          <w:sz w:val="20"/>
          <w:szCs w:val="20"/>
          <w:color w:val="auto"/>
        </w:rPr>
      </w:pPr>
    </w:p>
    <w:p>
      <w:pPr>
        <w:ind w:left="1620" w:right="499" w:firstLine="360"/>
        <w:spacing w:after="0" w:line="250" w:lineRule="auto"/>
        <w:tabs>
          <w:tab w:leader="none" w:pos="23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TEN</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ELEVEN</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7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TWELVE</w:t>
      </w:r>
    </w:p>
    <w:p>
      <w:pPr>
        <w:spacing w:after="0" w:line="160" w:lineRule="exact"/>
        <w:rPr>
          <w:sz w:val="20"/>
          <w:szCs w:val="20"/>
          <w:color w:val="auto"/>
        </w:rPr>
      </w:pPr>
    </w:p>
    <w:p>
      <w:pPr>
        <w:ind w:left="1260" w:right="8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Competition and Corporate Opportunities.</w:t>
      </w:r>
      <w:r>
        <w:rPr>
          <w:rFonts w:ascii="Times New Roman" w:cs="Times New Roman" w:eastAsia="Times New Roman" w:hAnsi="Times New Roman"/>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08" w:lineRule="exact"/>
        <w:rPr>
          <w:sz w:val="20"/>
          <w:szCs w:val="20"/>
          <w:color w:val="auto"/>
        </w:rPr>
      </w:pPr>
    </w:p>
    <w:p>
      <w:pPr>
        <w:ind w:left="1620" w:right="439" w:firstLine="360"/>
        <w:spacing w:after="0" w:line="244" w:lineRule="auto"/>
        <w:tabs>
          <w:tab w:leader="none" w:pos="23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14" w:lineRule="exact"/>
        <w:rPr>
          <w:rFonts w:ascii="Times New Roman" w:cs="Times New Roman" w:eastAsia="Times New Roman" w:hAnsi="Times New Roman"/>
          <w:sz w:val="18"/>
          <w:szCs w:val="18"/>
          <w:color w:val="auto"/>
        </w:rPr>
      </w:pPr>
    </w:p>
    <w:p>
      <w:pPr>
        <w:ind w:left="1620" w:right="439" w:firstLine="360"/>
        <w:spacing w:after="0" w:line="247" w:lineRule="auto"/>
        <w:tabs>
          <w:tab w:leader="none" w:pos="23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70" w:lineRule="auto"/>
        <w:rPr>
          <w:sz w:val="20"/>
          <w:szCs w:val="20"/>
          <w:color w:val="auto"/>
        </w:rPr>
      </w:pPr>
      <w:r>
        <w:rPr>
          <w:rFonts w:ascii="Times New Roman" w:cs="Times New Roman" w:eastAsia="Times New Roman" w:hAnsi="Times New Roman"/>
          <w:sz w:val="18"/>
          <w:szCs w:val="18"/>
          <w:color w:val="auto"/>
        </w:rPr>
        <w:t>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03"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Certain Matters Deemed not Corporate Opportunities.</w:t>
      </w:r>
      <w:r>
        <w:rPr>
          <w:rFonts w:ascii="Times New Roman" w:cs="Times New Roman" w:eastAsia="Times New Roman" w:hAnsi="Times New Roman"/>
          <w:sz w:val="18"/>
          <w:szCs w:val="18"/>
          <w:color w:val="auto"/>
        </w:rPr>
        <w:t xml:space="preserve"> In addition to and notwithstanding the foregoing provisions of this Article TWELVE,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TWELVE shall amend or modify in any respect any written contractual agreement between the Affiliated Company, on the one hand, and the Corporation or any of its Affiliated Companies, on the other hand.</w:t>
      </w:r>
    </w:p>
    <w:p>
      <w:pPr>
        <w:spacing w:after="0" w:line="338" w:lineRule="exact"/>
        <w:rPr>
          <w:sz w:val="20"/>
          <w:szCs w:val="20"/>
          <w:color w:val="auto"/>
        </w:rPr>
      </w:pPr>
    </w:p>
    <w:p>
      <w:pPr>
        <w:ind w:left="1620"/>
        <w:spacing w:after="0"/>
        <w:tabs>
          <w:tab w:leader="none" w:pos="2500" w:val="left"/>
          <w:tab w:leader="none" w:pos="41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i w:val="1"/>
          <w:iCs w:val="1"/>
          <w:color w:val="auto"/>
        </w:rPr>
        <w:t>Certain Definitions.</w:t>
      </w:r>
      <w:r>
        <w:rPr>
          <w:sz w:val="20"/>
          <w:szCs w:val="20"/>
          <w:color w:val="auto"/>
        </w:rPr>
        <w:tab/>
      </w:r>
      <w:r>
        <w:rPr>
          <w:rFonts w:ascii="Times New Roman" w:cs="Times New Roman" w:eastAsia="Times New Roman" w:hAnsi="Times New Roman"/>
          <w:sz w:val="18"/>
          <w:szCs w:val="18"/>
          <w:color w:val="auto"/>
        </w:rPr>
        <w:t>For purposes of this Article TWELVE and Article FOURTEEN:</w:t>
      </w:r>
    </w:p>
    <w:p>
      <w:pPr>
        <w:spacing w:after="0" w:line="144" w:lineRule="exact"/>
        <w:rPr>
          <w:sz w:val="20"/>
          <w:szCs w:val="20"/>
          <w:color w:val="auto"/>
        </w:rPr>
      </w:pPr>
    </w:p>
    <w:p>
      <w:pPr>
        <w:ind w:left="1260" w:right="619" w:firstLine="360"/>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Affiliated Company</w:t>
      </w:r>
      <w:r>
        <w:rPr>
          <w:rFonts w:ascii="Times New Roman" w:cs="Times New Roman" w:eastAsia="Times New Roman" w:hAnsi="Times New Roman"/>
          <w:sz w:val="18"/>
          <w:szCs w:val="18"/>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15"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98" w:lineRule="exact"/>
        <w:rPr>
          <w:sz w:val="20"/>
          <w:szCs w:val="20"/>
          <w:color w:val="auto"/>
        </w:rPr>
      </w:pPr>
    </w:p>
    <w:p>
      <w:pPr>
        <w:ind w:left="1260" w:right="619" w:firstLine="360"/>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Opportunity</w:t>
      </w:r>
      <w:r>
        <w:rPr>
          <w:rFonts w:ascii="Times New Roman" w:cs="Times New Roman" w:eastAsia="Times New Roman" w:hAnsi="Times New Roman"/>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05" w:lineRule="exact"/>
        <w:rPr>
          <w:sz w:val="20"/>
          <w:szCs w:val="20"/>
          <w:color w:val="auto"/>
        </w:rPr>
      </w:pPr>
    </w:p>
    <w:p>
      <w:pPr>
        <w:jc w:val="both"/>
        <w:ind w:left="1260" w:right="4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Role Person</w:t>
      </w:r>
      <w:r>
        <w:rPr>
          <w:rFonts w:ascii="Times New Roman" w:cs="Times New Roman" w:eastAsia="Times New Roman" w:hAnsi="Times New Roman"/>
          <w:sz w:val="18"/>
          <w:szCs w:val="18"/>
          <w:color w:val="auto"/>
        </w:rPr>
        <w:t>” means any individual who is an officer or director of both the Corporation and the Affiliated Company.</w:t>
      </w:r>
    </w:p>
    <w:p>
      <w:pPr>
        <w:spacing w:after="0" w:line="91" w:lineRule="exact"/>
        <w:rPr>
          <w:sz w:val="20"/>
          <w:szCs w:val="20"/>
          <w:color w:val="auto"/>
        </w:rPr>
      </w:pPr>
    </w:p>
    <w:p>
      <w:pPr>
        <w:jc w:val="both"/>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06"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provisions of this Article TWELVE shall have no further force or effect at such time as (i) the Corporation and the Affiliated Company are no longer affiliates of each other and</w:t>
      </w:r>
    </w:p>
    <w:p>
      <w:pPr>
        <w:ind w:left="1260" w:right="419"/>
        <w:spacing w:after="0" w:line="252" w:lineRule="auto"/>
        <w:tabs>
          <w:tab w:leader="none" w:pos="154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directors and/or officers of the Affiliated Company serve as directors and/or officers of the Corporation and any Controlled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07" w:lineRule="exact"/>
        <w:rPr>
          <w:sz w:val="20"/>
          <w:szCs w:val="20"/>
          <w:color w:val="auto"/>
        </w:rPr>
      </w:pPr>
    </w:p>
    <w:p>
      <w:pPr>
        <w:jc w:val="both"/>
        <w:ind w:left="126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Deemed Notice.</w:t>
      </w:r>
      <w:r>
        <w:rPr>
          <w:rFonts w:ascii="Times New Roman" w:cs="Times New Roman" w:eastAsia="Times New Roman" w:hAnsi="Times New Roman"/>
          <w:sz w:val="18"/>
          <w:szCs w:val="18"/>
          <w:color w:val="auto"/>
        </w:rPr>
        <w:t xml:space="preserve"> Any person or entity purchasing or otherwise acquiring or obtaining any interest in any capital stock of the Corporation shall be deemed to have notice and to have consented to the provisions of this Article TWELVE.</w:t>
      </w:r>
    </w:p>
    <w:p>
      <w:pPr>
        <w:spacing w:after="0" w:line="106" w:lineRule="exact"/>
        <w:rPr>
          <w:sz w:val="20"/>
          <w:szCs w:val="20"/>
          <w:color w:val="auto"/>
        </w:rPr>
      </w:pPr>
    </w:p>
    <w:p>
      <w:pPr>
        <w:jc w:val="both"/>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The invalidity or unenforceability of any particular provision, or part of any provision, of this Article TWELVE shall not affect the other provisions or parts hereof, and this</w:t>
      </w:r>
    </w:p>
    <w:p>
      <w:pPr>
        <w:ind w:left="1260" w:right="699"/>
        <w:spacing w:after="0" w:line="260" w:lineRule="auto"/>
        <w:rPr>
          <w:sz w:val="20"/>
          <w:szCs w:val="20"/>
          <w:color w:val="auto"/>
        </w:rPr>
      </w:pPr>
      <w:r>
        <w:rPr>
          <w:rFonts w:ascii="Times New Roman" w:cs="Times New Roman" w:eastAsia="Times New Roman" w:hAnsi="Times New Roman"/>
          <w:sz w:val="18"/>
          <w:szCs w:val="18"/>
          <w:color w:val="auto"/>
        </w:rPr>
        <w:t>Article TWELVE shall be construed in all respects as if such invalid or unenforceable provisions or parts were omitted.</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ARTICLE THIRTEEN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combined voting power of all of the then outstanding shares of the Corporation eligible to be cast in the election of directors generally voting as a single class shall be required to alter, amend or repeal Section 2 of Article FOUR hereof, Article EIGHT hereof, Article NINE hereof, Section 4 of Article SEVEN hereof, Articles ELEVEN and TWELVE hereof, this Article THIRTEEN, or Article FOURTEEN hereof or any provision thereof or hereof.</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FOURTEEN</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4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FIFTEEN</w:t>
      </w:r>
    </w:p>
    <w:p>
      <w:pPr>
        <w:spacing w:after="0" w:line="14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FIFTEEN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FIFTEEN (including, without limitation, each portion of any sentence of this Article FIFTEEN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FIFTEEN.</w:t>
      </w:r>
    </w:p>
    <w:p>
      <w:pPr>
        <w:spacing w:after="0" w:line="200" w:lineRule="exact"/>
        <w:rPr>
          <w:sz w:val="20"/>
          <w:szCs w:val="20"/>
          <w:color w:val="auto"/>
        </w:rPr>
      </w:pPr>
    </w:p>
    <w:p>
      <w:pPr>
        <w:spacing w:after="0" w:line="21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SIXTEEN</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3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b w:val="1"/>
          <w:bCs w:val="1"/>
          <w:color w:val="auto"/>
        </w:rPr>
        <w:t xml:space="preserve"> AMENDED AND RESTATED CERTIFICATE OF INCORPORATION</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Clearway Energy, Inc., a corporation organized and existing under the General Corporation Law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 of Delaware (</w:t>
      </w:r>
      <w:r>
        <w:rPr>
          <w:rFonts w:ascii="Times New Roman" w:cs="Times New Roman" w:eastAsia="Times New Roman" w:hAnsi="Times New Roman"/>
          <w:sz w:val="18"/>
          <w:szCs w:val="18"/>
          <w:u w:val="single" w:color="auto"/>
          <w:color w:val="auto"/>
        </w:rPr>
        <w:t>the “</w:t>
      </w:r>
      <w:r>
        <w:rPr>
          <w:rFonts w:ascii="Times New Roman" w:cs="Times New Roman" w:eastAsia="Times New Roman" w:hAnsi="Times New Roman"/>
          <w:sz w:val="18"/>
          <w:szCs w:val="18"/>
          <w:i w:val="1"/>
          <w:iCs w:val="1"/>
          <w:u w:val="single" w:color="auto"/>
          <w:color w:val="auto"/>
        </w:rPr>
        <w:t>DGCL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hereby certifies as follows:</w:t>
      </w:r>
    </w:p>
    <w:p>
      <w:pPr>
        <w:spacing w:after="0" w:line="139" w:lineRule="exact"/>
        <w:rPr>
          <w:sz w:val="20"/>
          <w:szCs w:val="20"/>
          <w:color w:val="auto"/>
        </w:rPr>
      </w:pPr>
    </w:p>
    <w:p>
      <w:pPr>
        <w:ind w:left="1980" w:right="559" w:hanging="360"/>
        <w:spacing w:after="0" w:line="258" w:lineRule="auto"/>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Clearway Energy, Inc. The date of filing of its original Certificate of Incorporation (</w:t>
      </w:r>
      <w:r>
        <w:rPr>
          <w:rFonts w:ascii="Times New Roman" w:cs="Times New Roman" w:eastAsia="Times New Roman" w:hAnsi="Times New Roman"/>
          <w:sz w:val="18"/>
          <w:szCs w:val="18"/>
          <w:u w:val="single" w:color="auto"/>
          <w:color w:val="auto"/>
        </w:rPr>
        <w:t>the “</w:t>
      </w:r>
      <w:r>
        <w:rPr>
          <w:rFonts w:ascii="Times New Roman" w:cs="Times New Roman" w:eastAsia="Times New Roman" w:hAnsi="Times New Roman"/>
          <w:sz w:val="18"/>
          <w:szCs w:val="18"/>
          <w:i w:val="1"/>
          <w:iCs w:val="1"/>
          <w:u w:val="single" w:color="auto"/>
          <w:color w:val="auto"/>
        </w:rPr>
        <w:t>Original Certificate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02" w:lineRule="exact"/>
        <w:rPr>
          <w:rFonts w:ascii="Times New Roman" w:cs="Times New Roman" w:eastAsia="Times New Roman" w:hAnsi="Times New Roman"/>
          <w:sz w:val="18"/>
          <w:szCs w:val="18"/>
          <w:color w:val="auto"/>
        </w:rPr>
      </w:pPr>
    </w:p>
    <w:p>
      <w:pPr>
        <w:ind w:left="1980" w:right="819" w:hanging="360"/>
        <w:spacing w:after="0" w:line="266" w:lineRule="auto"/>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Original Certificate, as amended, was amended and restated by that certain Amended and Restated Certificate of Incorporation of Clearway Energy, Inc. dated as of May 1, 2020 (the “</w:t>
      </w:r>
      <w:r>
        <w:rPr>
          <w:rFonts w:ascii="Times New Roman" w:cs="Times New Roman" w:eastAsia="Times New Roman" w:hAnsi="Times New Roman"/>
          <w:sz w:val="18"/>
          <w:szCs w:val="18"/>
          <w:i w:val="1"/>
          <w:iCs w:val="1"/>
          <w:u w:val="single" w:color="auto"/>
          <w:color w:val="auto"/>
        </w:rPr>
        <w:t>Amended and Restated Certificate</w:t>
      </w:r>
      <w:r>
        <w:rPr>
          <w:rFonts w:ascii="Times New Roman" w:cs="Times New Roman" w:eastAsia="Times New Roman" w:hAnsi="Times New Roman"/>
          <w:sz w:val="18"/>
          <w:szCs w:val="18"/>
          <w:u w:val="single" w:color="auto"/>
          <w:color w:val="auto"/>
        </w:rPr>
        <w:t>”).</w:t>
      </w:r>
    </w:p>
    <w:p>
      <w:pPr>
        <w:spacing w:after="0" w:line="108"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Amended and Restated Certificate </w:t>
      </w:r>
      <w:r>
        <w:rPr>
          <w:rFonts w:ascii="Times New Roman" w:cs="Times New Roman" w:eastAsia="Times New Roman" w:hAnsi="Times New Roman"/>
          <w:sz w:val="18"/>
          <w:szCs w:val="18"/>
          <w:u w:val="single" w:color="auto"/>
          <w:color w:val="auto"/>
        </w:rPr>
        <w:t>of Incorporation of</w:t>
      </w:r>
      <w:r>
        <w:rPr>
          <w:rFonts w:ascii="Times New Roman" w:cs="Times New Roman" w:eastAsia="Times New Roman" w:hAnsi="Times New Roman"/>
          <w:sz w:val="18"/>
          <w:szCs w:val="18"/>
          <w:color w:val="auto"/>
        </w:rPr>
        <w:t xml:space="preserve"> Clearway Energy, Inc. in the form attached hereto as Exhibit A has been duly adopted in accordance with the provisions of Sections 242 and 245 of the </w:t>
      </w:r>
      <w:r>
        <w:rPr>
          <w:rFonts w:ascii="Times New Roman" w:cs="Times New Roman" w:eastAsia="Times New Roman" w:hAnsi="Times New Roman"/>
          <w:sz w:val="18"/>
          <w:szCs w:val="18"/>
          <w:color w:val="auto"/>
          <w:strike w:val="1"/>
        </w:rPr>
        <w:t>General Corporation Law of the State of Delaware</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by the directors and stockholders of the corporation.</w:t>
      </w:r>
    </w:p>
    <w:p>
      <w:pPr>
        <w:spacing w:after="0" w:line="112"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text of the </w:t>
      </w:r>
      <w:r>
        <w:rPr>
          <w:rFonts w:ascii="Times New Roman" w:cs="Times New Roman" w:eastAsia="Times New Roman" w:hAnsi="Times New Roman"/>
          <w:sz w:val="18"/>
          <w:szCs w:val="18"/>
          <w:u w:val="single" w:color="auto"/>
          <w:color w:val="auto"/>
        </w:rPr>
        <w:t>Amended and Restated</w:t>
      </w:r>
      <w:r>
        <w:rPr>
          <w:rFonts w:ascii="Times New Roman" w:cs="Times New Roman" w:eastAsia="Times New Roman" w:hAnsi="Times New Roman"/>
          <w:sz w:val="18"/>
          <w:szCs w:val="18"/>
          <w:color w:val="auto"/>
        </w:rPr>
        <w:t xml:space="preserve"> Certificate </w:t>
      </w:r>
      <w:r>
        <w:rPr>
          <w:rFonts w:ascii="Times New Roman" w:cs="Times New Roman" w:eastAsia="Times New Roman" w:hAnsi="Times New Roman"/>
          <w:sz w:val="18"/>
          <w:szCs w:val="18"/>
          <w:color w:val="auto"/>
          <w:strike w:val="1"/>
        </w:rPr>
        <w:t>of Incorporation</w:t>
      </w:r>
      <w:r>
        <w:rPr>
          <w:rFonts w:ascii="Times New Roman" w:cs="Times New Roman" w:eastAsia="Times New Roman" w:hAnsi="Times New Roman"/>
          <w:sz w:val="18"/>
          <w:szCs w:val="18"/>
          <w:color w:val="auto"/>
        </w:rPr>
        <w:t xml:space="preserve"> is amended and restated to read in full as set forth in Exhibit A attached hereto.</w:t>
      </w:r>
    </w:p>
    <w:p>
      <w:pPr>
        <w:spacing w:after="0" w:line="81" w:lineRule="exact"/>
        <w:rPr>
          <w:sz w:val="20"/>
          <w:szCs w:val="20"/>
          <w:color w:val="auto"/>
        </w:rPr>
      </w:pPr>
    </w:p>
    <w:p>
      <w:pPr>
        <w:ind w:left="1260" w:right="619" w:firstLine="360"/>
        <w:spacing w:after="0" w:line="220" w:lineRule="auto"/>
        <w:rPr>
          <w:sz w:val="20"/>
          <w:szCs w:val="20"/>
          <w:color w:val="auto"/>
        </w:rPr>
      </w:pPr>
      <w:r>
        <w:rPr>
          <w:rFonts w:ascii="Times New Roman" w:cs="Times New Roman" w:eastAsia="Times New Roman" w:hAnsi="Times New Roman"/>
          <w:sz w:val="18"/>
          <w:szCs w:val="18"/>
          <w:color w:val="auto"/>
        </w:rPr>
        <w:t xml:space="preserve">IN WITNESS WHEREOF, the corporation has caused this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Amended and Restated Certificate of Incorporation to be signed by the undersigned authorized officer this </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26"/>
          <w:szCs w:val="26"/>
          <w:color w:val="auto"/>
          <w:strike w:val="1"/>
          <w:vertAlign w:val="superscript"/>
        </w:rPr>
        <w:t>st</w:t>
      </w:r>
      <w:r>
        <w:rPr>
          <w:rFonts w:ascii="Times New Roman" w:cs="Times New Roman" w:eastAsia="Times New Roman" w:hAnsi="Times New Roman"/>
          <w:sz w:val="18"/>
          <w:szCs w:val="18"/>
          <w:color w:val="auto"/>
        </w:rPr>
        <w:t xml:space="preserve"> day of May, 2020 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4375150</wp:posOffset>
            </wp:positionH>
            <wp:positionV relativeFrom="paragraph">
              <wp:posOffset>-85090</wp:posOffset>
            </wp:positionV>
            <wp:extent cx="8724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72490" cy="825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-33655</wp:posOffset>
            </wp:positionV>
            <wp:extent cx="178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8435" cy="889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wp:posOffset>
            </wp:positionV>
            <wp:extent cx="6248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4840" cy="8890"/>
                    </a:xfrm>
                    <a:prstGeom prst="rect">
                      <a:avLst/>
                    </a:prstGeom>
                    <a:noFill/>
                  </pic:spPr>
                </pic:pic>
              </a:graphicData>
            </a:graphic>
          </wp:anchor>
        </w:drawing>
      </w:r>
    </w:p>
    <w:p>
      <w:pPr>
        <w:spacing w:after="0" w:line="1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Kevin P. Malcarney</w:t>
      </w:r>
    </w:p>
    <w:p>
      <w:pPr>
        <w:spacing w:after="0" w:line="27" w:lineRule="exact"/>
        <w:rPr>
          <w:sz w:val="20"/>
          <w:szCs w:val="20"/>
          <w:color w:val="auto"/>
        </w:rPr>
      </w:pPr>
    </w:p>
    <w:p>
      <w:pPr>
        <w:ind w:left="5220"/>
        <w:spacing w:after="0"/>
        <w:tabs>
          <w:tab w:leader="none" w:pos="5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Executive Vice President, General Counsel and</w:t>
      </w:r>
    </w:p>
    <w:p>
      <w:pPr>
        <w:spacing w:after="0" w:line="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SECOND</w:t>
      </w:r>
      <w:r>
        <w:rPr>
          <w:rFonts w:ascii="Times New Roman" w:cs="Times New Roman" w:eastAsia="Times New Roman" w:hAnsi="Times New Roman"/>
          <w:sz w:val="18"/>
          <w:szCs w:val="18"/>
          <w:b w:val="1"/>
          <w:bCs w:val="1"/>
          <w:color w:val="auto"/>
        </w:rPr>
        <w:t xml:space="preserve"> AMENDED AND RESTATED CERTIFICATE OF INCORPORATION</w:t>
      </w:r>
    </w:p>
    <w:p>
      <w:pPr>
        <w:spacing w:after="0" w:line="18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ARTICLE ONE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name of the corporation is Clearway Energy,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162"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160"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u w:val="single" w:color="auto"/>
          <w:color w:val="auto"/>
        </w:rPr>
        <w:t>Section 1.</w:t>
      </w:r>
      <w:r>
        <w:rPr>
          <w:sz w:val="20"/>
          <w:szCs w:val="20"/>
          <w:color w:val="auto"/>
        </w:rPr>
        <w:tab/>
      </w:r>
      <w:r>
        <w:rPr>
          <w:rFonts w:ascii="Times New Roman" w:cs="Times New Roman" w:eastAsia="Times New Roman" w:hAnsi="Times New Roman"/>
          <w:sz w:val="18"/>
          <w:szCs w:val="18"/>
          <w:i w:val="1"/>
          <w:iCs w:val="1"/>
          <w:u w:val="single" w:color="auto"/>
          <w:color w:val="auto"/>
        </w:rPr>
        <w:t>Conversion of Class A Common Stock into Class C Common Stock</w:t>
      </w:r>
      <w:r>
        <w:rPr>
          <w:rFonts w:ascii="Times New Roman" w:cs="Times New Roman" w:eastAsia="Times New Roman" w:hAnsi="Times New Roman"/>
          <w:sz w:val="18"/>
          <w:szCs w:val="18"/>
          <w:u w:val="single" w:color="auto"/>
          <w:color w:val="auto"/>
        </w:rPr>
        <w:t>.</w:t>
      </w:r>
    </w:p>
    <w:p>
      <w:pPr>
        <w:spacing w:after="0" w:line="144" w:lineRule="exact"/>
        <w:rPr>
          <w:sz w:val="20"/>
          <w:szCs w:val="20"/>
          <w:color w:val="auto"/>
        </w:rPr>
      </w:pPr>
    </w:p>
    <w:p>
      <w:pPr>
        <w:ind w:left="1620" w:right="459" w:firstLine="360"/>
        <w:spacing w:after="0" w:line="245" w:lineRule="auto"/>
        <w:tabs>
          <w:tab w:leader="none" w:pos="23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the filing (the “</w:t>
      </w:r>
      <w:r>
        <w:rPr>
          <w:rFonts w:ascii="Times New Roman" w:cs="Times New Roman" w:eastAsia="Times New Roman" w:hAnsi="Times New Roman"/>
          <w:sz w:val="18"/>
          <w:szCs w:val="18"/>
          <w:i w:val="1"/>
          <w:iCs w:val="1"/>
          <w:u w:val="single" w:color="auto"/>
          <w:color w:val="auto"/>
        </w:rPr>
        <w:t>Effective Time</w:t>
      </w:r>
      <w:r>
        <w:rPr>
          <w:rFonts w:ascii="Times New Roman" w:cs="Times New Roman" w:eastAsia="Times New Roman" w:hAnsi="Times New Roman"/>
          <w:sz w:val="18"/>
          <w:szCs w:val="18"/>
          <w:u w:val="single" w:color="auto"/>
          <w:color w:val="auto"/>
        </w:rPr>
        <w:t>”) of this Certificate (as defined below) pursuant to Sections 242 and 245 of the DGCL, each share of Class A Common Stock (as defined below) shall become convertible into one fully paid and nonassessable share of Class C Common Stock (as defined below), which Class C Common Stock shall have the rights, preferences, privileges and restrictions set forth in this Certificate. Such conversion (the “</w:t>
      </w:r>
      <w:r>
        <w:rPr>
          <w:rFonts w:ascii="Times New Roman" w:cs="Times New Roman" w:eastAsia="Times New Roman" w:hAnsi="Times New Roman"/>
          <w:sz w:val="18"/>
          <w:szCs w:val="18"/>
          <w:i w:val="1"/>
          <w:iCs w:val="1"/>
          <w:u w:val="single" w:color="auto"/>
          <w:color w:val="auto"/>
        </w:rPr>
        <w:t>Class A Conversion</w:t>
      </w:r>
      <w:r>
        <w:rPr>
          <w:rFonts w:ascii="Times New Roman" w:cs="Times New Roman" w:eastAsia="Times New Roman" w:hAnsi="Times New Roman"/>
          <w:sz w:val="18"/>
          <w:szCs w:val="18"/>
          <w:u w:val="single" w:color="auto"/>
          <w:color w:val="auto"/>
        </w:rPr>
        <w:t>”) shall occur automatically, without further action on the part of the Corporation or any holder of Class A Common Stock, at 12:01 a.m., Eastern Time, on the second business day following the Effective Time.</w:t>
      </w:r>
    </w:p>
    <w:p>
      <w:pPr>
        <w:spacing w:after="0" w:line="115"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From and after the Class A Conversion, certificates formerly representing shares of Class A Common Stock shall represent the number of shares of Class C Common Stock into which such shares of Class A Common Stock shall have been converted pursuant to this Certificate. Following the Class A Conversion, any holder of a certificate formerly representing shares of Class A Common Stock may surrender such certificate to the Corporation at any time during normal business hours at the principal executive offices of the Corporation or at the office of the Corporation’s transfer agent (the “</w:t>
      </w:r>
      <w:r>
        <w:rPr>
          <w:rFonts w:ascii="Times New Roman" w:cs="Times New Roman" w:eastAsia="Times New Roman" w:hAnsi="Times New Roman"/>
          <w:sz w:val="18"/>
          <w:szCs w:val="18"/>
          <w:i w:val="1"/>
          <w:iCs w:val="1"/>
          <w:u w:val="single" w:color="auto"/>
          <w:color w:val="auto"/>
        </w:rPr>
        <w:t>Transfer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u w:val="single" w:color="auto"/>
          <w:color w:val="auto"/>
        </w:rPr>
        <w:t>Agent</w:t>
      </w:r>
      <w:r>
        <w:rPr>
          <w:rFonts w:ascii="Times New Roman" w:cs="Times New Roman" w:eastAsia="Times New Roman" w:hAnsi="Times New Roman"/>
          <w:sz w:val="18"/>
          <w:szCs w:val="18"/>
          <w:u w:val="single" w:color="auto"/>
          <w:color w:val="auto"/>
        </w:rPr>
        <w:t>”), accompanied by a written request from the holder of such shares for a new certificate</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u w:val="single" w:color="auto"/>
          <w:color w:val="auto"/>
        </w:rPr>
        <w:t xml:space="preserve">representing the shares of Class C Common Stock into which such shares were converted, and (if so required by the Corporation or the Transfer Agent) by instruments of transfer, in form satisfactory to the Corporation and to the Transfer Agent, duly executed by such holder or such holder’s duly authorized attorney. As promptly as practicable following the surrender of any such certificate formerly representing shares of Class A Common Stock and the payment in cash of any amount required by the next sentence, the Corporation shall deliver or cause to be delivered at the office of the Transfer Agent a certificate or certificates representing the number of full shares of Class C Common Stock into which the shares of Class A Common Stock formerly represented by such certificate were converted, issued in such name or names as such holder may direct. The issuance of certificates for shares of Class C Common Stock upon the Class A Conversion shall be made without charge to the holders of such shares for any stamp or other similar tax in respect of such issuance;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u w:val="single" w:color="auto"/>
          <w:color w:val="auto"/>
        </w:rPr>
        <w:t>, that if any such certificate is to be issued in a name other than that of the holder of the share or shares that were converted, then the holder requesting the issuance thereof shall pay to the Corporation the amount of any tax that may be payable in respect of any transfer involved in such issuance or shall establish to the satisfaction of the Corporation that such tax has been paid or is not payable.</w:t>
      </w:r>
    </w:p>
    <w:p>
      <w:pPr>
        <w:spacing w:after="0" w:line="333" w:lineRule="exact"/>
        <w:rPr>
          <w:rFonts w:ascii="Times New Roman" w:cs="Times New Roman" w:eastAsia="Times New Roman" w:hAnsi="Times New Roman"/>
          <w:sz w:val="18"/>
          <w:szCs w:val="18"/>
          <w:color w:val="auto"/>
        </w:rPr>
      </w:pPr>
    </w:p>
    <w:p>
      <w:pPr>
        <w:ind w:left="1620" w:right="819" w:firstLine="360"/>
        <w:spacing w:after="0" w:line="282" w:lineRule="auto"/>
        <w:tabs>
          <w:tab w:leader="none" w:pos="23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From and after the Class A Conversion, all references in this Certificate (other than this Section 1 of Article FOUR) to Class A Common Stock shall be deemed to have no further force or</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u w:val="single" w:color="auto"/>
          <w:color w:val="auto"/>
        </w:rPr>
        <w:t>effect and the Corporation shall no longer have authority to issue or reissue shares of Class A Common Stock. Any shares of Class A Common Stock that are converted pursuant to the Class A Conversion shall be automatically and immediately cancelled and retired and shall not be reissued, sold or transferred. The Corporation may thereafter take such appropriate action (without the need for stockholder action) as may be necessary to reduce the authorized number of shares of Class A Common Stock accordingly.</w:t>
      </w:r>
    </w:p>
    <w:p>
      <w:pPr>
        <w:spacing w:after="0" w:line="323" w:lineRule="exact"/>
        <w:rPr>
          <w:sz w:val="20"/>
          <w:szCs w:val="20"/>
          <w:color w:val="auto"/>
        </w:rPr>
      </w:pPr>
    </w:p>
    <w:p>
      <w:pPr>
        <w:ind w:left="1260" w:right="679" w:firstLine="360"/>
        <w:spacing w:after="0" w:line="268"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xml:space="preserve"> The total number of shares of capital stock which the Corporation has authority to issue is </w:t>
      </w:r>
      <w:r>
        <w:rPr>
          <w:rFonts w:ascii="Times New Roman" w:cs="Times New Roman" w:eastAsia="Times New Roman" w:hAnsi="Times New Roman"/>
          <w:sz w:val="18"/>
          <w:szCs w:val="18"/>
          <w:color w:val="auto"/>
          <w:strike w:val="1"/>
        </w:rPr>
        <w:t>3,010,000,000</w:t>
      </w:r>
      <w:r>
        <w:rPr>
          <w:rFonts w:ascii="Times New Roman" w:cs="Times New Roman" w:eastAsia="Times New Roman" w:hAnsi="Times New Roman"/>
          <w:sz w:val="18"/>
          <w:szCs w:val="18"/>
          <w:u w:val="single" w:color="auto"/>
          <w:color w:val="auto"/>
        </w:rPr>
        <w:t>2,544,613,853</w:t>
      </w:r>
      <w:r>
        <w:rPr>
          <w:rFonts w:ascii="Times New Roman" w:cs="Times New Roman" w:eastAsia="Times New Roman" w:hAnsi="Times New Roman"/>
          <w:sz w:val="18"/>
          <w:szCs w:val="18"/>
          <w:color w:val="auto"/>
        </w:rPr>
        <w:t xml:space="preserve"> shares, consisting of:</w:t>
      </w:r>
    </w:p>
    <w:p>
      <w:pPr>
        <w:spacing w:after="0" w:line="91" w:lineRule="exact"/>
        <w:rPr>
          <w:sz w:val="20"/>
          <w:szCs w:val="20"/>
          <w:color w:val="auto"/>
        </w:rPr>
      </w:pPr>
    </w:p>
    <w:p>
      <w:pPr>
        <w:ind w:left="2340" w:hanging="360"/>
        <w:spacing w:after="0"/>
        <w:tabs>
          <w:tab w:leader="none" w:pos="2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620" w:right="1179" w:firstLine="360"/>
        <w:spacing w:after="0" w:line="266" w:lineRule="auto"/>
        <w:tabs>
          <w:tab w:leader="none" w:pos="23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500,000,000</w:t>
      </w:r>
      <w:r>
        <w:rPr>
          <w:rFonts w:ascii="Times New Roman" w:cs="Times New Roman" w:eastAsia="Times New Roman" w:hAnsi="Times New Roman"/>
          <w:sz w:val="18"/>
          <w:szCs w:val="18"/>
          <w:u w:val="single" w:color="auto"/>
          <w:color w:val="auto"/>
        </w:rPr>
        <w:t>34,613,853</w:t>
      </w:r>
      <w:r>
        <w:rPr>
          <w:rFonts w:ascii="Times New Roman" w:cs="Times New Roman" w:eastAsia="Times New Roman" w:hAnsi="Times New Roman"/>
          <w:sz w:val="18"/>
          <w:szCs w:val="18"/>
          <w:color w:val="auto"/>
        </w:rPr>
        <w:t xml:space="preserve"> shares of Class A Common Stock, par value $0.01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$0.01 per share (“</w:t>
      </w:r>
      <w:r>
        <w:rPr>
          <w:rFonts w:ascii="Times New Roman" w:cs="Times New Roman" w:eastAsia="Times New Roman" w:hAnsi="Times New Roman"/>
          <w:sz w:val="18"/>
          <w:szCs w:val="18"/>
          <w:i w:val="1"/>
          <w:iCs w:val="1"/>
          <w:color w:val="auto"/>
        </w:rPr>
        <w:t>Class B Common</w:t>
      </w:r>
    </w:p>
    <w:p>
      <w:pPr>
        <w:spacing w:after="0" w:line="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620" w:right="1099" w:firstLine="360"/>
        <w:spacing w:after="0" w:line="268" w:lineRule="auto"/>
        <w:tabs>
          <w:tab w:leader="none" w:pos="23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par value $0.01 per share (“</w:t>
      </w:r>
      <w:r>
        <w:rPr>
          <w:rFonts w:ascii="Times New Roman" w:cs="Times New Roman" w:eastAsia="Times New Roman" w:hAnsi="Times New Roman"/>
          <w:sz w:val="18"/>
          <w:szCs w:val="18"/>
          <w:i w:val="1"/>
          <w:iCs w:val="1"/>
          <w:color w:val="auto"/>
        </w:rPr>
        <w:t>Class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18"/>
          <w:szCs w:val="18"/>
          <w:color w:val="auto"/>
        </w:rPr>
      </w:pPr>
    </w:p>
    <w:p>
      <w:pPr>
        <w:ind w:left="1620" w:right="739" w:firstLine="360"/>
        <w:spacing w:after="0" w:line="259" w:lineRule="auto"/>
        <w:tabs>
          <w:tab w:leader="none" w:pos="23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par value $0.01 per share (“</w:t>
      </w:r>
      <w:r>
        <w:rPr>
          <w:rFonts w:ascii="Times New Roman" w:cs="Times New Roman" w:eastAsia="Times New Roman" w:hAnsi="Times New Roman"/>
          <w:sz w:val="18"/>
          <w:szCs w:val="18"/>
          <w:i w:val="1"/>
          <w:iCs w:val="1"/>
          <w:color w:val="auto"/>
        </w:rPr>
        <w:t>Class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together with the Class A Common Stock, the Class B Common Stock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auto"/>
          <w:strike w:val="1"/>
        </w:rPr>
        <w:t>2</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0" w:lineRule="exact"/>
        <w:rPr>
          <w:sz w:val="20"/>
          <w:szCs w:val="20"/>
          <w:color w:val="auto"/>
        </w:rPr>
      </w:pPr>
    </w:p>
    <w:p>
      <w:pPr>
        <w:spacing w:after="0" w:line="34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auto"/>
          <w:strike w:val="1"/>
        </w:rPr>
        <w:t>3</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Common Stock.</w:t>
      </w:r>
    </w:p>
    <w:p>
      <w:pPr>
        <w:spacing w:after="0" w:line="158" w:lineRule="exact"/>
        <w:rPr>
          <w:sz w:val="20"/>
          <w:szCs w:val="20"/>
          <w:color w:val="auto"/>
        </w:rPr>
      </w:pPr>
    </w:p>
    <w:p>
      <w:pPr>
        <w:ind w:left="1620" w:right="499" w:firstLine="360"/>
        <w:spacing w:after="0" w:line="245" w:lineRule="auto"/>
        <w:tabs>
          <w:tab w:leader="none" w:pos="23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by the DGCL 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Second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Restated</w:t>
      </w:r>
      <w:r>
        <w:rPr>
          <w:rFonts w:ascii="Times New Roman" w:cs="Times New Roman" w:eastAsia="Times New Roman" w:hAnsi="Times New Roman"/>
          <w:sz w:val="18"/>
          <w:szCs w:val="18"/>
          <w:color w:val="auto"/>
        </w:rPr>
        <w:t xml:space="preserve"> Certificate </w:t>
      </w:r>
      <w:r>
        <w:rPr>
          <w:rFonts w:ascii="Times New Roman" w:cs="Times New Roman" w:eastAsia="Times New Roman" w:hAnsi="Times New Roman"/>
          <w:sz w:val="18"/>
          <w:szCs w:val="18"/>
          <w:u w:val="single" w:color="auto"/>
          <w:color w:val="auto"/>
        </w:rPr>
        <w:t>of Incorporation (this “</w:t>
      </w:r>
      <w:r>
        <w:rPr>
          <w:rFonts w:ascii="Times New Roman" w:cs="Times New Roman" w:eastAsia="Times New Roman" w:hAnsi="Times New Roman"/>
          <w:sz w:val="18"/>
          <w:szCs w:val="18"/>
          <w:i w:val="1"/>
          <w:iCs w:val="1"/>
          <w:u w:val="single" w:color="auto"/>
          <w:color w:val="auto"/>
        </w:rPr>
        <w:t>Certificate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 subject to the rights of holders of any series of 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28" w:lineRule="auto"/>
        <w:rPr>
          <w:sz w:val="20"/>
          <w:szCs w:val="20"/>
          <w:color w:val="auto"/>
        </w:rPr>
      </w:pPr>
      <w:r>
        <w:rPr>
          <w:rFonts w:ascii="Times New Roman" w:cs="Times New Roman" w:eastAsia="Times New Roman" w:hAnsi="Times New Roman"/>
          <w:sz w:val="18"/>
          <w:szCs w:val="18"/>
          <w:color w:val="auto"/>
        </w:rPr>
        <w:t>all matters voted upon by the stockholders of the Corporation. Each holder of Class C Common Stock and Class D Common Stock shall have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by such holder on all matters voted upon by the stockholders of the Corporation.</w:t>
      </w:r>
    </w:p>
    <w:p>
      <w:pPr>
        <w:spacing w:after="0" w:line="131" w:lineRule="exact"/>
        <w:rPr>
          <w:sz w:val="20"/>
          <w:szCs w:val="20"/>
          <w:color w:val="auto"/>
        </w:rPr>
      </w:pPr>
    </w:p>
    <w:p>
      <w:pPr>
        <w:ind w:left="2340" w:hanging="360"/>
        <w:spacing w:after="0"/>
        <w:tabs>
          <w:tab w:leader="none" w:pos="2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Other Distributions.</w:t>
      </w:r>
    </w:p>
    <w:p>
      <w:pPr>
        <w:spacing w:after="0" w:line="159" w:lineRule="exact"/>
        <w:rPr>
          <w:rFonts w:ascii="Times New Roman" w:cs="Times New Roman" w:eastAsia="Times New Roman" w:hAnsi="Times New Roman"/>
          <w:sz w:val="18"/>
          <w:szCs w:val="18"/>
          <w:color w:val="auto"/>
        </w:rPr>
      </w:pPr>
    </w:p>
    <w:p>
      <w:pPr>
        <w:ind w:left="1980" w:right="479" w:firstLine="360"/>
        <w:spacing w:after="0" w:line="258" w:lineRule="auto"/>
        <w:tabs>
          <w:tab w:leader="none" w:pos="266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02" w:lineRule="exact"/>
        <w:rPr>
          <w:rFonts w:ascii="Times New Roman" w:cs="Times New Roman" w:eastAsia="Times New Roman" w:hAnsi="Times New Roman"/>
          <w:sz w:val="18"/>
          <w:szCs w:val="18"/>
          <w:color w:val="auto"/>
        </w:rPr>
      </w:pPr>
    </w:p>
    <w:p>
      <w:pPr>
        <w:jc w:val="both"/>
        <w:ind w:left="1980" w:right="679" w:firstLine="360"/>
        <w:spacing w:after="0" w:line="266" w:lineRule="auto"/>
        <w:tabs>
          <w:tab w:leader="none" w:pos="27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 (b)(iii) below with respect to stock dividends, dividends and other distributions of cash or property may not be declared or paid on the Class B Common Stock or Class D Common Stock.</w:t>
      </w:r>
    </w:p>
    <w:p>
      <w:pPr>
        <w:spacing w:after="0" w:line="108" w:lineRule="exact"/>
        <w:rPr>
          <w:rFonts w:ascii="Times New Roman" w:cs="Times New Roman" w:eastAsia="Times New Roman" w:hAnsi="Times New Roman"/>
          <w:sz w:val="18"/>
          <w:szCs w:val="18"/>
          <w:color w:val="auto"/>
        </w:rPr>
      </w:pPr>
    </w:p>
    <w:p>
      <w:pPr>
        <w:ind w:left="1980" w:right="459" w:firstLine="360"/>
        <w:spacing w:after="0" w:line="254" w:lineRule="auto"/>
        <w:tabs>
          <w:tab w:leader="none" w:pos="277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22"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Dissolution or Winding Up. </w:t>
      </w:r>
      <w:r>
        <w:rPr>
          <w:rFonts w:ascii="Times New Roman" w:cs="Times New Roman" w:eastAsia="Times New Roman" w:hAnsi="Times New Roman"/>
          <w:sz w:val="18"/>
          <w:szCs w:val="18"/>
          <w:color w:val="auto"/>
        </w:rPr>
        <w:t>In the event of any voluntary or involuntary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dissolution or winding up of the 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326" w:lineRule="exact"/>
        <w:rPr>
          <w:rFonts w:ascii="Times New Roman" w:cs="Times New Roman" w:eastAsia="Times New Roman" w:hAnsi="Times New Roman"/>
          <w:sz w:val="18"/>
          <w:szCs w:val="18"/>
          <w:color w:val="auto"/>
        </w:rPr>
      </w:pPr>
    </w:p>
    <w:p>
      <w:pPr>
        <w:ind w:left="1620" w:right="459" w:firstLine="360"/>
        <w:spacing w:after="0" w:line="253" w:lineRule="auto"/>
        <w:tabs>
          <w:tab w:leader="none" w:pos="23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of Class B Common Stock and Class D Common Stock. </w:t>
      </w:r>
      <w:r>
        <w:rPr>
          <w:rFonts w:ascii="Times New Roman" w:cs="Times New Roman" w:eastAsia="Times New Roman" w:hAnsi="Times New Roman"/>
          <w:sz w:val="18"/>
          <w:szCs w:val="18"/>
          <w:color w:val="auto"/>
        </w:rPr>
        <w:t>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that certain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Amended and Restated Exchange Agreement, dated as of </w:t>
      </w:r>
      <w:r>
        <w:rPr>
          <w:rFonts w:ascii="Times New Roman" w:cs="Times New Roman" w:eastAsia="Times New Roman" w:hAnsi="Times New Roman"/>
          <w:sz w:val="18"/>
          <w:szCs w:val="18"/>
          <w:color w:val="auto"/>
          <w:strike w:val="1"/>
        </w:rPr>
        <w:t>May 14, 2015,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and as assigned on August 31, 2018 (the “</w:t>
      </w:r>
      <w:r>
        <w:rPr>
          <w:rFonts w:ascii="Times New Roman" w:cs="Times New Roman" w:eastAsia="Times New Roman" w:hAnsi="Times New Roman"/>
          <w:sz w:val="18"/>
          <w:szCs w:val="18"/>
          <w:i w:val="1"/>
          <w:iCs w:val="1"/>
          <w:color w:val="auto"/>
          <w:strike w:val="1"/>
        </w:rPr>
        <w:t>Exchange Agreement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rPr>
        <w:t>April 1, 2026</w:t>
      </w:r>
      <w:r>
        <w:rPr>
          <w:rFonts w:ascii="Times New Roman" w:cs="Times New Roman" w:eastAsia="Times New Roman" w:hAnsi="Times New Roman"/>
          <w:sz w:val="18"/>
          <w:szCs w:val="18"/>
          <w:color w:val="auto"/>
        </w:rPr>
        <w:t xml:space="preserve">, by and among Clearway Energy Group LLC </w:t>
      </w:r>
      <w:r>
        <w:rPr>
          <w:rFonts w:ascii="Times New Roman" w:cs="Times New Roman" w:eastAsia="Times New Roman" w:hAnsi="Times New Roman"/>
          <w:sz w:val="18"/>
          <w:szCs w:val="18"/>
          <w:color w:val="auto"/>
          <w:strike w:val="1"/>
        </w:rPr>
        <w:t>(formerly Zephyr Renewables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xml:space="preserve">”), Clearway Energy LLC </w:t>
      </w:r>
      <w:r>
        <w:rPr>
          <w:rFonts w:ascii="Times New Roman" w:cs="Times New Roman" w:eastAsia="Times New Roman" w:hAnsi="Times New Roman"/>
          <w:sz w:val="18"/>
          <w:szCs w:val="18"/>
          <w:color w:val="auto"/>
          <w:strike w:val="1"/>
        </w:rPr>
        <w:t>(formerly NRG Yield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i w:val="1"/>
          <w:iCs w:val="1"/>
          <w:color w:val="auto"/>
        </w:rPr>
        <w:t>Clearway LLC</w:t>
      </w:r>
      <w:r>
        <w:rPr>
          <w:rFonts w:ascii="Times New Roman" w:cs="Times New Roman" w:eastAsia="Times New Roman" w:hAnsi="Times New Roman"/>
          <w:sz w:val="18"/>
          <w:szCs w:val="18"/>
          <w:color w:val="auto"/>
        </w:rPr>
        <w:t xml:space="preserve">”), and the Corporation, CEG or its permitted transferees or assignees exchange a Class B unit of Clearway LLC for a share of Class </w:t>
      </w:r>
      <w:r>
        <w:rPr>
          <w:rFonts w:ascii="Times New Roman" w:cs="Times New Roman" w:eastAsia="Times New Roman" w:hAnsi="Times New Roman"/>
          <w:sz w:val="18"/>
          <w:szCs w:val="18"/>
          <w:color w:val="auto"/>
          <w:strike w:val="1"/>
        </w:rPr>
        <w:t>A</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Common Stock, or </w:t>
      </w:r>
      <w:r>
        <w:rPr>
          <w:rFonts w:ascii="Times New Roman" w:cs="Times New Roman" w:eastAsia="Times New Roman" w:hAnsi="Times New Roman"/>
          <w:sz w:val="18"/>
          <w:szCs w:val="18"/>
          <w:u w:val="single" w:color="auto"/>
          <w:color w:val="auto"/>
        </w:rPr>
        <w:t>exchange a</w:t>
      </w:r>
      <w:r>
        <w:rPr>
          <w:rFonts w:ascii="Times New Roman" w:cs="Times New Roman" w:eastAsia="Times New Roman" w:hAnsi="Times New Roman"/>
          <w:sz w:val="18"/>
          <w:szCs w:val="18"/>
          <w:color w:val="auto"/>
        </w:rPr>
        <w:t xml:space="preserve">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338" w:lineRule="exact"/>
        <w:rPr>
          <w:rFonts w:ascii="Times New Roman" w:cs="Times New Roman" w:eastAsia="Times New Roman" w:hAnsi="Times New Roman"/>
          <w:sz w:val="18"/>
          <w:szCs w:val="18"/>
          <w:color w:val="auto"/>
        </w:rPr>
      </w:pPr>
    </w:p>
    <w:p>
      <w:pPr>
        <w:ind w:left="1620" w:right="479" w:firstLine="360"/>
        <w:spacing w:after="0" w:line="260" w:lineRule="auto"/>
        <w:tabs>
          <w:tab w:leader="none" w:pos="23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Preemptive Rights. </w:t>
      </w:r>
      <w:r>
        <w:rPr>
          <w:rFonts w:ascii="Times New Roman" w:cs="Times New Roman" w:eastAsia="Times New Roman" w:hAnsi="Times New Roman"/>
          <w:sz w:val="18"/>
          <w:szCs w:val="18"/>
          <w:color w:val="auto"/>
        </w:rPr>
        <w:t>Except as otherwise provided in this Article FOUR, no 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shall have any preemptive, 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459" w:firstLine="360"/>
        <w:spacing w:after="0" w:line="242" w:lineRule="auto"/>
        <w:tabs>
          <w:tab w:leader="none" w:pos="231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Equal Status</w:t>
      </w:r>
      <w:r>
        <w:rPr>
          <w:rFonts w:ascii="Times New Roman" w:cs="Times New Roman" w:eastAsia="Times New Roman" w:hAnsi="Times New Roman"/>
          <w:sz w:val="18"/>
          <w:szCs w:val="18"/>
          <w:color w:val="auto"/>
        </w:rPr>
        <w:t>. Except as expressly provided in this Article FOUR, Class 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the same rights and privileges and rank 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w:t>
      </w:r>
    </w:p>
    <w:p>
      <w:pPr>
        <w:spacing w:after="0" w:line="1"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or exchange offer to acquire any shares of Common Stock by any third party pursuant to</w:t>
      </w:r>
    </w:p>
    <w:p>
      <w:pPr>
        <w:spacing w:after="0" w:line="7"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 xml:space="preserve">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w:t>
      </w:r>
      <w:r>
        <w:rPr>
          <w:rFonts w:ascii="Times New Roman" w:cs="Times New Roman" w:eastAsia="Times New Roman" w:hAnsi="Times New Roman"/>
          <w:sz w:val="18"/>
          <w:szCs w:val="18"/>
          <w:color w:val="auto"/>
          <w:strike w:val="1"/>
        </w:rPr>
        <w:t>Capital</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Stock shall be entitled to make the same election as to their shares of Class C </w:t>
      </w:r>
      <w:r>
        <w:rPr>
          <w:rFonts w:ascii="Times New Roman" w:cs="Times New Roman" w:eastAsia="Times New Roman" w:hAnsi="Times New Roman"/>
          <w:sz w:val="18"/>
          <w:szCs w:val="18"/>
          <w:color w:val="auto"/>
          <w:strike w:val="1"/>
        </w:rPr>
        <w:t>Capital</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Stock). </w:t>
      </w:r>
      <w:r>
        <w:rPr>
          <w:rFonts w:ascii="Times New Roman" w:cs="Times New Roman" w:eastAsia="Times New Roman" w:hAnsi="Times New Roman"/>
          <w:sz w:val="18"/>
          <w:szCs w:val="18"/>
          <w:u w:val="single" w:color="auto"/>
          <w:color w:val="auto"/>
        </w:rPr>
        <w:t>Notwithstanding anything herein to the contrary, this clause</w:t>
      </w:r>
    </w:p>
    <w:p>
      <w:pPr>
        <w:ind w:left="1620" w:right="599"/>
        <w:spacing w:after="0" w:line="245" w:lineRule="auto"/>
        <w:tabs>
          <w:tab w:leader="none" w:pos="1859" w:val="left"/>
        </w:tabs>
        <w:numPr>
          <w:ilvl w:val="0"/>
          <w:numId w:val="10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shall automatically terminate and be of no further force or effect from and after the consummation of the Class A Conversion.</w:t>
      </w:r>
    </w:p>
    <w:p>
      <w:pPr>
        <w:spacing w:after="0" w:line="111" w:lineRule="exact"/>
        <w:rPr>
          <w:sz w:val="20"/>
          <w:szCs w:val="20"/>
          <w:color w:val="auto"/>
        </w:rPr>
      </w:pPr>
    </w:p>
    <w:p>
      <w:pPr>
        <w:ind w:left="1620"/>
        <w:spacing w:after="0"/>
        <w:tabs>
          <w:tab w:leader="none" w:pos="2640" w:val="left"/>
        </w:tabs>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auto"/>
          <w:strike w:val="1"/>
        </w:rPr>
        <w:t>4</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Restrictions on Transfer.</w:t>
      </w:r>
    </w:p>
    <w:p>
      <w:pPr>
        <w:spacing w:after="0" w:line="158" w:lineRule="exact"/>
        <w:rPr>
          <w:sz w:val="20"/>
          <w:szCs w:val="20"/>
          <w:color w:val="auto"/>
        </w:rPr>
      </w:pPr>
    </w:p>
    <w:p>
      <w:pPr>
        <w:ind w:left="1620" w:right="559" w:firstLine="360"/>
        <w:spacing w:after="0" w:line="243" w:lineRule="auto"/>
        <w:tabs>
          <w:tab w:leader="none" w:pos="23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Transfers. </w:t>
      </w:r>
      <w:r>
        <w:rPr>
          <w:rFonts w:ascii="Times New Roman" w:cs="Times New Roman" w:eastAsia="Times New Roman" w:hAnsi="Times New Roman"/>
          <w:sz w:val="18"/>
          <w:szCs w:val="18"/>
          <w:color w:val="auto"/>
        </w:rPr>
        <w:t>Except through a Secondary Market Transaction, no person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or otherwise acquire (whether 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the holdings of the transferee, together with those of its FERC Affiliates, would equal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the Utility Control Threshold without the prior written consent of the Board of Directors.</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6" w:lineRule="auto"/>
        <w:tabs>
          <w:tab w:leader="none" w:pos="23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Purported Transfer in Violation of Restrictions. </w:t>
      </w:r>
      <w:r>
        <w:rPr>
          <w:rFonts w:ascii="Times New Roman" w:cs="Times New Roman" w:eastAsia="Times New Roman" w:hAnsi="Times New Roman"/>
          <w:sz w:val="18"/>
          <w:szCs w:val="18"/>
          <w:color w:val="auto"/>
        </w:rPr>
        <w:t>Unless the approval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obtained with respect to a 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33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Definitions.  </w:t>
      </w:r>
      <w:r>
        <w:rPr>
          <w:rFonts w:ascii="Times New Roman" w:cs="Times New Roman" w:eastAsia="Times New Roman" w:hAnsi="Times New Roman"/>
          <w:sz w:val="18"/>
          <w:szCs w:val="18"/>
          <w:color w:val="auto"/>
        </w:rPr>
        <w:t>For purposes of this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strike w:val="1"/>
        </w:rPr>
        <w:t>4</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Article FOUR:</w:t>
      </w:r>
    </w:p>
    <w:p>
      <w:pPr>
        <w:spacing w:after="0" w:line="158"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Clearway Public Utility</w:t>
      </w:r>
      <w:r>
        <w:rPr>
          <w:rFonts w:ascii="Times New Roman" w:cs="Times New Roman" w:eastAsia="Times New Roman" w:hAnsi="Times New Roman"/>
          <w:sz w:val="18"/>
          <w:szCs w:val="18"/>
          <w:color w:val="auto"/>
        </w:rPr>
        <w:t>” means any direct or indirect subsidiary of Clearway Energy LLC that is a “public utility” ​(as that term is defined in the Federal Power Act).</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“FERC Affiliate</w:t>
      </w:r>
      <w:r>
        <w:rPr>
          <w:rFonts w:ascii="Times New Roman" w:cs="Times New Roman" w:eastAsia="Times New Roman" w:hAnsi="Times New Roman"/>
          <w:sz w:val="18"/>
          <w:szCs w:val="18"/>
          <w:color w:val="auto"/>
        </w:rPr>
        <w:t>” means any person that is an “affiliate” (as​ such term is defined in 18 C.F.R.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35.36(a)(9)) of another person prior to the effective date of the Restricted Transfer.</w:t>
      </w:r>
    </w:p>
    <w:p>
      <w:pPr>
        <w:spacing w:after="0" w:line="137"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Secondary Market Transaction</w:t>
      </w:r>
      <w:r>
        <w:rPr>
          <w:rFonts w:ascii="Times New Roman" w:cs="Times New Roman" w:eastAsia="Times New Roman" w:hAnsi="Times New Roman"/>
          <w:sz w:val="18"/>
          <w:szCs w:val="18"/>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w:t>
      </w:r>
    </w:p>
    <w:p>
      <w:pPr>
        <w:spacing w:after="0" w:line="1" w:lineRule="exact"/>
        <w:rPr>
          <w:sz w:val="20"/>
          <w:szCs w:val="20"/>
          <w:color w:val="auto"/>
        </w:rPr>
      </w:pPr>
    </w:p>
    <w:p>
      <w:pPr>
        <w:ind w:left="1260" w:right="499"/>
        <w:spacing w:after="0" w:line="255" w:lineRule="auto"/>
        <w:tabs>
          <w:tab w:leader="none" w:pos="158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Utility Control Threshold</w:t>
      </w:r>
      <w:r>
        <w:rPr>
          <w:rFonts w:ascii="Times New Roman" w:cs="Times New Roman" w:eastAsia="Times New Roman" w:hAnsi="Times New Roman"/>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39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8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146" w:lineRule="exact"/>
        <w:rPr>
          <w:sz w:val="20"/>
          <w:szCs w:val="20"/>
          <w:color w:val="auto"/>
        </w:rPr>
      </w:pPr>
    </w:p>
    <w:p>
      <w:pPr>
        <w:jc w:val="both"/>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the directors are hereby empowered to exercise all such powers and do all such acts and things as may be exercised or done by the Corporation.</w:t>
      </w:r>
    </w:p>
    <w:p>
      <w:pPr>
        <w:spacing w:after="0" w:line="106" w:lineRule="exact"/>
        <w:rPr>
          <w:sz w:val="20"/>
          <w:szCs w:val="20"/>
          <w:color w:val="auto"/>
        </w:rPr>
      </w:pPr>
    </w:p>
    <w:p>
      <w:pPr>
        <w:ind w:left="1620"/>
        <w:spacing w:after="0"/>
        <w:tabs>
          <w:tab w:leader="none" w:pos="2500" w:val="left"/>
          <w:tab w:leader="none" w:pos="42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i w:val="1"/>
          <w:iCs w:val="1"/>
          <w:color w:val="auto"/>
        </w:rPr>
        <w:t>Number of Directors.</w:t>
      </w:r>
      <w:r>
        <w:rPr>
          <w:sz w:val="20"/>
          <w:szCs w:val="20"/>
          <w:color w:val="auto"/>
        </w:rPr>
        <w:tab/>
      </w:r>
      <w:r>
        <w:rPr>
          <w:rFonts w:ascii="Times New Roman" w:cs="Times New Roman" w:eastAsia="Times New Roman" w:hAnsi="Times New Roman"/>
          <w:sz w:val="18"/>
          <w:szCs w:val="18"/>
          <w:color w:val="auto"/>
        </w:rPr>
        <w:t>Subject to any rights of the holders of any series of Preferred Stock</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elect additional directors under specified circumstances, the Board of Directors shall have no more than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sixteen (16) nor less than three (3) members, with the exact number of directors constituting the full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strike w:val="1"/>
        </w:rPr>
        <w:t>board</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to be determined from time to time by the affirmative vote of </w:t>
      </w:r>
      <w:r>
        <w:rPr>
          <w:rFonts w:ascii="Times New Roman" w:cs="Times New Roman" w:eastAsia="Times New Roman" w:hAnsi="Times New Roman"/>
          <w:sz w:val="18"/>
          <w:szCs w:val="18"/>
          <w:u w:val="single" w:color="auto"/>
          <w:color w:val="auto"/>
        </w:rPr>
        <w:t>at least</w:t>
      </w:r>
      <w:r>
        <w:rPr>
          <w:rFonts w:ascii="Times New Roman" w:cs="Times New Roman" w:eastAsia="Times New Roman" w:hAnsi="Times New Roman"/>
          <w:sz w:val="18"/>
          <w:szCs w:val="18"/>
          <w:color w:val="auto"/>
        </w:rPr>
        <w:t xml:space="preserve"> a majority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total number of directors then in office. Subject to the rights of the holders of any series of Preferred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Stock, newly created directorships resulting from an increase in the size of the Board of Directors may be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filled by the affirmative vote of </w:t>
      </w:r>
      <w:r>
        <w:rPr>
          <w:rFonts w:ascii="Times New Roman" w:cs="Times New Roman" w:eastAsia="Times New Roman" w:hAnsi="Times New Roman"/>
          <w:sz w:val="18"/>
          <w:szCs w:val="18"/>
          <w:u w:val="single" w:color="auto"/>
          <w:color w:val="auto"/>
        </w:rPr>
        <w:t>at least</w:t>
      </w:r>
      <w:r>
        <w:rPr>
          <w:rFonts w:ascii="Times New Roman" w:cs="Times New Roman" w:eastAsia="Times New Roman" w:hAnsi="Times New Roman"/>
          <w:sz w:val="18"/>
          <w:szCs w:val="18"/>
          <w:color w:val="auto"/>
        </w:rPr>
        <w:t xml:space="preserve"> a majority of the total number of directors then in office, although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less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quorum, at any meeting of the Board of Directors. Each director shall hold office until the next</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annual meeting of stockholders of the Corporation and until his or her successor is duly elected and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qualified or until his or her earlier death, resignation or removal. Nothing in this Certificate shall preclude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from serving consecutive terms. Elections of directors need not be by written ballot unless the</w:t>
      </w:r>
    </w:p>
    <w:p>
      <w:pPr>
        <w:ind w:left="1260"/>
        <w:spacing w:after="0"/>
        <w:rPr>
          <w:sz w:val="20"/>
          <w:szCs w:val="20"/>
          <w:color w:val="auto"/>
        </w:rPr>
      </w:pPr>
      <w:r>
        <w:rPr>
          <w:rFonts w:ascii="Times New Roman" w:cs="Times New Roman" w:eastAsia="Times New Roman" w:hAnsi="Times New Roman"/>
          <w:sz w:val="18"/>
          <w:szCs w:val="18"/>
          <w:color w:val="auto"/>
        </w:rPr>
        <w:t>Bylaws shall so provide.</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32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Vacancies in the Board of Directors.</w:t>
      </w:r>
      <w:r>
        <w:rPr>
          <w:rFonts w:ascii="Times New Roman" w:cs="Times New Roman" w:eastAsia="Times New Roman" w:hAnsi="Times New Roman"/>
          <w:sz w:val="18"/>
          <w:szCs w:val="18"/>
          <w:color w:val="auto"/>
        </w:rPr>
        <w:t xml:space="preserve"> Subject to the rights, if any, of the holders of any series of Preferred Stock to remove directors and fill the vacancies thereby created (as specified in any duly authorized certificate of designation of any series of Preferred Stock) and subject to Section 2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-300355</wp:posOffset>
            </wp:positionV>
            <wp:extent cx="331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1470" cy="8890"/>
                    </a:xfrm>
                    <a:prstGeom prst="rect">
                      <a:avLst/>
                    </a:prstGeom>
                    <a:noFill/>
                  </pic:spPr>
                </pic:pic>
              </a:graphicData>
            </a:graphic>
          </wp:anchor>
        </w:drawing>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6" w:lineRule="auto"/>
        <w:rPr>
          <w:sz w:val="20"/>
          <w:szCs w:val="20"/>
          <w:color w:val="auto"/>
        </w:rPr>
      </w:pPr>
      <w:r>
        <w:rPr>
          <w:rFonts w:ascii="Times New Roman" w:cs="Times New Roman" w:eastAsia="Times New Roman" w:hAnsi="Times New Roman"/>
          <w:sz w:val="18"/>
          <w:szCs w:val="18"/>
          <w:color w:val="auto"/>
        </w:rPr>
        <w:t xml:space="preserve">Article SEVEN, vacancies occurring on the Board of Directors for any reason may be filled by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affirmative</w:t>
      </w:r>
      <w:r>
        <w:rPr>
          <w:rFonts w:ascii="Times New Roman" w:cs="Times New Roman" w:eastAsia="Times New Roman" w:hAnsi="Times New Roman"/>
          <w:sz w:val="18"/>
          <w:szCs w:val="18"/>
          <w:color w:val="auto"/>
        </w:rPr>
        <w:t xml:space="preserve"> vote of </w:t>
      </w:r>
      <w:r>
        <w:rPr>
          <w:rFonts w:ascii="Times New Roman" w:cs="Times New Roman" w:eastAsia="Times New Roman" w:hAnsi="Times New Roman"/>
          <w:sz w:val="18"/>
          <w:szCs w:val="18"/>
          <w:u w:val="single" w:color="auto"/>
          <w:color w:val="auto"/>
        </w:rPr>
        <w:t>at least</w:t>
      </w:r>
      <w:r>
        <w:rPr>
          <w:rFonts w:ascii="Times New Roman" w:cs="Times New Roman" w:eastAsia="Times New Roman" w:hAnsi="Times New Roman"/>
          <w:sz w:val="18"/>
          <w:szCs w:val="18"/>
          <w:color w:val="auto"/>
        </w:rPr>
        <w:t xml:space="preserve"> a majority of the </w:t>
      </w:r>
      <w:r>
        <w:rPr>
          <w:rFonts w:ascii="Times New Roman" w:cs="Times New Roman" w:eastAsia="Times New Roman" w:hAnsi="Times New Roman"/>
          <w:sz w:val="18"/>
          <w:szCs w:val="18"/>
          <w:u w:val="single" w:color="auto"/>
          <w:color w:val="auto"/>
        </w:rPr>
        <w:t>total number of</w:t>
      </w:r>
      <w:r>
        <w:rPr>
          <w:rFonts w:ascii="Times New Roman" w:cs="Times New Roman" w:eastAsia="Times New Roman" w:hAnsi="Times New Roman"/>
          <w:sz w:val="18"/>
          <w:szCs w:val="18"/>
          <w:color w:val="auto"/>
        </w:rPr>
        <w:t xml:space="preserve"> remaining </w:t>
      </w:r>
      <w:r>
        <w:rPr>
          <w:rFonts w:ascii="Times New Roman" w:cs="Times New Roman" w:eastAsia="Times New Roman" w:hAnsi="Times New Roman"/>
          <w:sz w:val="18"/>
          <w:szCs w:val="18"/>
          <w:color w:val="auto"/>
          <w:strike w:val="1"/>
        </w:rPr>
        <w:t>members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Directors</w:t>
      </w:r>
      <w:r>
        <w:rPr>
          <w:rFonts w:ascii="Times New Roman" w:cs="Times New Roman" w:eastAsia="Times New Roman" w:hAnsi="Times New Roman"/>
          <w:sz w:val="18"/>
          <w:szCs w:val="18"/>
          <w:u w:val="single" w:color="auto"/>
          <w:color w:val="auto"/>
        </w:rPr>
        <w:t>directors then in office</w:t>
      </w:r>
      <w:r>
        <w:rPr>
          <w:rFonts w:ascii="Times New Roman" w:cs="Times New Roman" w:eastAsia="Times New Roman" w:hAnsi="Times New Roman"/>
          <w:sz w:val="18"/>
          <w:szCs w:val="18"/>
          <w:color w:val="auto"/>
        </w:rPr>
        <w:t>,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EIGHT</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ARTICLE NINE</w:t>
      </w:r>
    </w:p>
    <w:p>
      <w:pPr>
        <w:spacing w:after="0" w:line="160" w:lineRule="exact"/>
        <w:rPr>
          <w:sz w:val="20"/>
          <w:szCs w:val="20"/>
          <w:color w:val="auto"/>
        </w:rPr>
      </w:pPr>
    </w:p>
    <w:p>
      <w:pPr>
        <w:ind w:left="162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i w:val="1"/>
          <w:iCs w:val="1"/>
          <w:color w:val="auto"/>
        </w:rPr>
        <w:t>Indemnification; Limitation of Liability.</w:t>
      </w:r>
    </w:p>
    <w:p>
      <w:pPr>
        <w:spacing w:after="0" w:line="146" w:lineRule="exact"/>
        <w:rPr>
          <w:sz w:val="20"/>
          <w:szCs w:val="20"/>
          <w:color w:val="auto"/>
        </w:rPr>
      </w:pPr>
    </w:p>
    <w:p>
      <w:pPr>
        <w:ind w:left="1620" w:right="499" w:firstLine="360"/>
        <w:spacing w:after="0" w:line="261" w:lineRule="auto"/>
        <w:tabs>
          <w:tab w:leader="none" w:pos="23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12"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strike w:val="1"/>
        </w:rPr>
        <w:t>ARTICLE TEN</w:t>
      </w:r>
    </w:p>
    <w:p>
      <w:pPr>
        <w:spacing w:after="0" w:line="160"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strike w:val="1"/>
        </w:rPr>
        <w:t>For purposes of this Amended and Restated Certificate of Incorporation, “</w:t>
      </w:r>
      <w:r>
        <w:rPr>
          <w:rFonts w:ascii="Times New Roman" w:cs="Times New Roman" w:eastAsia="Times New Roman" w:hAnsi="Times New Roman"/>
          <w:sz w:val="18"/>
          <w:szCs w:val="18"/>
          <w:i w:val="1"/>
          <w:iCs w:val="1"/>
          <w:color w:val="auto"/>
          <w:strike w:val="1"/>
        </w:rPr>
        <w:t>Affiliated Company</w:t>
      </w:r>
      <w:r>
        <w:rPr>
          <w:rFonts w:ascii="Times New Roman" w:cs="Times New Roman" w:eastAsia="Times New Roman" w:hAnsi="Times New Roman"/>
          <w:sz w:val="18"/>
          <w:szCs w:val="18"/>
          <w:color w:val="auto"/>
          <w:strike w:val="1"/>
        </w:rPr>
        <w:t>” means</w:t>
      </w:r>
    </w:p>
    <w:p>
      <w:pPr>
        <w:spacing w:after="0" w:line="29" w:lineRule="exact"/>
        <w:rPr>
          <w:sz w:val="20"/>
          <w:szCs w:val="20"/>
          <w:color w:val="auto"/>
        </w:rPr>
      </w:pPr>
    </w:p>
    <w:p>
      <w:pPr>
        <w:ind w:left="1260" w:right="619"/>
        <w:spacing w:after="0" w:line="253" w:lineRule="auto"/>
        <w:tabs>
          <w:tab w:leader="none" w:pos="1489" w:val="left"/>
        </w:tabs>
        <w:numPr>
          <w:ilvl w:val="0"/>
          <w:numId w:val="10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Global Infrastructure Investors III, LLC (“</w:t>
      </w:r>
      <w:r>
        <w:rPr>
          <w:rFonts w:ascii="Times New Roman" w:cs="Times New Roman" w:eastAsia="Times New Roman" w:hAnsi="Times New Roman"/>
          <w:sz w:val="18"/>
          <w:szCs w:val="18"/>
          <w:i w:val="1"/>
          <w:iCs w:val="1"/>
          <w:color w:val="auto"/>
          <w:strike w:val="1"/>
        </w:rPr>
        <w:t>GIP</w:t>
      </w:r>
      <w:r>
        <w:rPr>
          <w:rFonts w:ascii="Times New Roman" w:cs="Times New Roman" w:eastAsia="Times New Roman" w:hAnsi="Times New Roman"/>
          <w:sz w:val="18"/>
          <w:szCs w:val="18"/>
          <w:color w:val="auto"/>
          <w:strike w:val="1"/>
        </w:rPr>
        <w:t>”)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ELEVEN</w:t>
      </w:r>
      <w:r>
        <w:rPr>
          <w:rFonts w:ascii="Times New Roman" w:cs="Times New Roman" w:eastAsia="Times New Roman" w:hAnsi="Times New Roman"/>
          <w:sz w:val="18"/>
          <w:szCs w:val="18"/>
          <w:b w:val="1"/>
          <w:bCs w:val="1"/>
          <w:u w:val="single" w:color="auto"/>
          <w:color w:val="auto"/>
        </w:rPr>
        <w:t>TEN</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TWELVE</w:t>
      </w:r>
      <w:r>
        <w:rPr>
          <w:rFonts w:ascii="Times New Roman" w:cs="Times New Roman" w:eastAsia="Times New Roman" w:hAnsi="Times New Roman"/>
          <w:sz w:val="18"/>
          <w:szCs w:val="18"/>
          <w:b w:val="1"/>
          <w:bCs w:val="1"/>
          <w:u w:val="single" w:color="auto"/>
          <w:color w:val="auto"/>
        </w:rPr>
        <w:t>ELEVEN</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THIRTEEN</w:t>
      </w:r>
      <w:r>
        <w:rPr>
          <w:rFonts w:ascii="Times New Roman" w:cs="Times New Roman" w:eastAsia="Times New Roman" w:hAnsi="Times New Roman"/>
          <w:sz w:val="18"/>
          <w:szCs w:val="18"/>
          <w:b w:val="1"/>
          <w:bCs w:val="1"/>
          <w:u w:val="single" w:color="auto"/>
          <w:color w:val="auto"/>
        </w:rPr>
        <w:t>TWELVE</w:t>
      </w:r>
    </w:p>
    <w:p>
      <w:pPr>
        <w:spacing w:after="0" w:line="160" w:lineRule="exact"/>
        <w:rPr>
          <w:sz w:val="20"/>
          <w:szCs w:val="20"/>
          <w:color w:val="auto"/>
        </w:rPr>
      </w:pPr>
    </w:p>
    <w:p>
      <w:pPr>
        <w:ind w:left="1260" w:right="8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Competition and Corporate Opportunities.</w:t>
      </w:r>
      <w:r>
        <w:rPr>
          <w:rFonts w:ascii="Times New Roman" w:cs="Times New Roman" w:eastAsia="Times New Roman" w:hAnsi="Times New Roman"/>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47"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11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Certain Matters Deemed not Corporate Opportunities.</w:t>
      </w:r>
      <w:r>
        <w:rPr>
          <w:rFonts w:ascii="Times New Roman" w:cs="Times New Roman" w:eastAsia="Times New Roman" w:hAnsi="Times New Roman"/>
          <w:sz w:val="18"/>
          <w:szCs w:val="18"/>
          <w:color w:val="auto"/>
        </w:rPr>
        <w:t xml:space="preserve"> In addition to and notwithstanding the foregoing provisions of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shall amend or modify in any respect any written contractual agreement between the Affiliated Company, on the one hand, and the Corporation or any of its Affiliated Companies, on the other hand.</w:t>
      </w:r>
    </w:p>
    <w:p>
      <w:pPr>
        <w:spacing w:after="0" w:line="308" w:lineRule="exact"/>
        <w:rPr>
          <w:sz w:val="20"/>
          <w:szCs w:val="20"/>
          <w:color w:val="auto"/>
        </w:rPr>
      </w:pPr>
    </w:p>
    <w:p>
      <w:pPr>
        <w:ind w:left="1260" w:right="10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xml:space="preserve"> For purposes of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and Article </w:t>
      </w:r>
      <w:r>
        <w:rPr>
          <w:rFonts w:ascii="Times New Roman" w:cs="Times New Roman" w:eastAsia="Times New Roman" w:hAnsi="Times New Roman"/>
          <w:sz w:val="18"/>
          <w:szCs w:val="18"/>
          <w:color w:val="auto"/>
          <w:strike w:val="1"/>
        </w:rPr>
        <w:t>FIFTEEN</w:t>
      </w:r>
      <w:r>
        <w:rPr>
          <w:rFonts w:ascii="Times New Roman" w:cs="Times New Roman" w:eastAsia="Times New Roman" w:hAnsi="Times New Roman"/>
          <w:sz w:val="18"/>
          <w:szCs w:val="18"/>
          <w:u w:val="single" w:color="auto"/>
          <w:color w:val="auto"/>
        </w:rPr>
        <w:t>FOURTEEN</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Affiliated Company</w:t>
      </w:r>
      <w:r>
        <w:rPr>
          <w:rFonts w:ascii="Times New Roman" w:cs="Times New Roman" w:eastAsia="Times New Roman" w:hAnsi="Times New Roman"/>
          <w:sz w:val="18"/>
          <w:szCs w:val="18"/>
          <w:u w:val="single" w:color="auto"/>
          <w:color w:val="auto"/>
        </w:rPr>
        <w:t>” means (a) CEG and (b) any Person controlled by CEG,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06"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07"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Opportunity</w:t>
      </w:r>
      <w:r>
        <w:rPr>
          <w:rFonts w:ascii="Times New Roman" w:cs="Times New Roman" w:eastAsia="Times New Roman" w:hAnsi="Times New Roman"/>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06" w:lineRule="exact"/>
        <w:rPr>
          <w:sz w:val="20"/>
          <w:szCs w:val="20"/>
          <w:color w:val="auto"/>
        </w:rPr>
      </w:pPr>
    </w:p>
    <w:p>
      <w:pPr>
        <w:jc w:val="both"/>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Dual Role Person</w:t>
      </w:r>
      <w:r>
        <w:rPr>
          <w:rFonts w:ascii="Times New Roman" w:cs="Times New Roman" w:eastAsia="Times New Roman" w:hAnsi="Times New Roman"/>
          <w:sz w:val="18"/>
          <w:szCs w:val="18"/>
          <w:color w:val="auto"/>
        </w:rPr>
        <w:t>” means any individual who is an officer or director of both the Corporation and the Affiliated Company.</w:t>
      </w:r>
    </w:p>
    <w:p>
      <w:pPr>
        <w:spacing w:after="0" w:line="91" w:lineRule="exact"/>
        <w:rPr>
          <w:sz w:val="20"/>
          <w:szCs w:val="20"/>
          <w:color w:val="auto"/>
        </w:rPr>
      </w:pPr>
    </w:p>
    <w:p>
      <w:pPr>
        <w:jc w:val="both"/>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xml:space="preserve"> ”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9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provisions of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 Controlled Company thereof, on the one hand, and the Affiliated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66" w:lineRule="auto"/>
        <w:rPr>
          <w:sz w:val="20"/>
          <w:szCs w:val="20"/>
          <w:color w:val="auto"/>
        </w:rPr>
      </w:pPr>
      <w:r>
        <w:rPr>
          <w:rFonts w:ascii="Times New Roman" w:cs="Times New Roman" w:eastAsia="Times New Roman" w:hAnsi="Times New Roman"/>
          <w:sz w:val="18"/>
          <w:szCs w:val="18"/>
          <w:color w:val="auto"/>
        </w:rPr>
        <w:t>Company, on the other hand, that was entered into before such time or any transaction entered into in the performance of such agreement, arrangement or other understanding, whether entered into before or after such time.</w:t>
      </w:r>
    </w:p>
    <w:p>
      <w:pPr>
        <w:spacing w:after="0" w:line="106" w:lineRule="exact"/>
        <w:rPr>
          <w:sz w:val="20"/>
          <w:szCs w:val="20"/>
          <w:color w:val="auto"/>
        </w:rPr>
      </w:pPr>
    </w:p>
    <w:p>
      <w:pPr>
        <w:jc w:val="both"/>
        <w:ind w:left="126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Deemed Notice.</w:t>
      </w:r>
      <w:r>
        <w:rPr>
          <w:rFonts w:ascii="Times New Roman" w:cs="Times New Roman" w:eastAsia="Times New Roman" w:hAnsi="Times New Roman"/>
          <w:sz w:val="18"/>
          <w:szCs w:val="18"/>
          <w:color w:val="auto"/>
        </w:rPr>
        <w:t xml:space="preserve"> Any person or entity purchasing or otherwise acquiring or obtaining any interest in any capital stock of the Corporation shall be deemed to have notice and to have consented to the provisions of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The invalidity or unenforceability of any particular provision, or part of any provision, of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shall not affect the other provisions or parts hereof, and this Article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shall be construed in all respects as if such invalid or unenforceable provisions or parts were omitted.</w:t>
      </w:r>
    </w:p>
    <w:p>
      <w:pPr>
        <w:spacing w:after="0" w:line="17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FOURTEEN</w:t>
      </w:r>
      <w:r>
        <w:rPr>
          <w:rFonts w:ascii="Times New Roman" w:cs="Times New Roman" w:eastAsia="Times New Roman" w:hAnsi="Times New Roman"/>
          <w:sz w:val="18"/>
          <w:szCs w:val="18"/>
          <w:b w:val="1"/>
          <w:bCs w:val="1"/>
          <w:u w:val="single" w:color="auto"/>
          <w:color w:val="auto"/>
        </w:rPr>
        <w:t>THIRTEEN</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ARTICLE FOUR hereof, ARTICLE EIGHT hereof, ARTICLE NINE hereof, Section 4 of ARTICLE SEVEN hereof, ARTICLES </w:t>
      </w:r>
      <w:r>
        <w:rPr>
          <w:rFonts w:ascii="Times New Roman" w:cs="Times New Roman" w:eastAsia="Times New Roman" w:hAnsi="Times New Roman"/>
          <w:sz w:val="18"/>
          <w:szCs w:val="18"/>
          <w:color w:val="auto"/>
          <w:strike w:val="1"/>
        </w:rPr>
        <w:t>TWELVE</w:t>
      </w:r>
      <w:r>
        <w:rPr>
          <w:rFonts w:ascii="Times New Roman" w:cs="Times New Roman" w:eastAsia="Times New Roman" w:hAnsi="Times New Roman"/>
          <w:sz w:val="18"/>
          <w:szCs w:val="18"/>
          <w:u w:val="single" w:color="auto"/>
          <w:color w:val="auto"/>
        </w:rPr>
        <w:t>ELEVEN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trike w:val="1"/>
        </w:rPr>
        <w:t>THIRTEEN</w:t>
      </w:r>
      <w:r>
        <w:rPr>
          <w:rFonts w:ascii="Times New Roman" w:cs="Times New Roman" w:eastAsia="Times New Roman" w:hAnsi="Times New Roman"/>
          <w:sz w:val="18"/>
          <w:szCs w:val="18"/>
          <w:u w:val="single" w:color="auto"/>
          <w:color w:val="auto"/>
        </w:rPr>
        <w:t>TWELVE</w:t>
      </w:r>
      <w:r>
        <w:rPr>
          <w:rFonts w:ascii="Times New Roman" w:cs="Times New Roman" w:eastAsia="Times New Roman" w:hAnsi="Times New Roman"/>
          <w:sz w:val="18"/>
          <w:szCs w:val="18"/>
          <w:color w:val="auto"/>
        </w:rPr>
        <w:t xml:space="preserve"> hereof, this ARTICLE </w:t>
      </w:r>
      <w:r>
        <w:rPr>
          <w:rFonts w:ascii="Times New Roman" w:cs="Times New Roman" w:eastAsia="Times New Roman" w:hAnsi="Times New Roman"/>
          <w:sz w:val="18"/>
          <w:szCs w:val="18"/>
          <w:color w:val="auto"/>
          <w:strike w:val="1"/>
        </w:rPr>
        <w:t>FOURTEEN</w:t>
      </w:r>
      <w:r>
        <w:rPr>
          <w:rFonts w:ascii="Times New Roman" w:cs="Times New Roman" w:eastAsia="Times New Roman" w:hAnsi="Times New Roman"/>
          <w:sz w:val="18"/>
          <w:szCs w:val="18"/>
          <w:u w:val="single" w:color="auto"/>
          <w:color w:val="auto"/>
        </w:rPr>
        <w:t>THIRTEEN</w:t>
      </w:r>
      <w:r>
        <w:rPr>
          <w:rFonts w:ascii="Times New Roman" w:cs="Times New Roman" w:eastAsia="Times New Roman" w:hAnsi="Times New Roman"/>
          <w:sz w:val="18"/>
          <w:szCs w:val="18"/>
          <w:color w:val="auto"/>
        </w:rPr>
        <w:t xml:space="preserve">, or ARTICLE </w:t>
      </w:r>
      <w:r>
        <w:rPr>
          <w:rFonts w:ascii="Times New Roman" w:cs="Times New Roman" w:eastAsia="Times New Roman" w:hAnsi="Times New Roman"/>
          <w:sz w:val="18"/>
          <w:szCs w:val="18"/>
          <w:color w:val="auto"/>
          <w:strike w:val="1"/>
        </w:rPr>
        <w:t>FIFTEEN</w:t>
      </w:r>
      <w:r>
        <w:rPr>
          <w:rFonts w:ascii="Times New Roman" w:cs="Times New Roman" w:eastAsia="Times New Roman" w:hAnsi="Times New Roman"/>
          <w:sz w:val="18"/>
          <w:szCs w:val="18"/>
          <w:u w:val="single" w:color="auto"/>
          <w:color w:val="auto"/>
        </w:rPr>
        <w:t>FOURTEEN</w:t>
      </w:r>
      <w:r>
        <w:rPr>
          <w:rFonts w:ascii="Times New Roman" w:cs="Times New Roman" w:eastAsia="Times New Roman" w:hAnsi="Times New Roman"/>
          <w:sz w:val="18"/>
          <w:szCs w:val="18"/>
          <w:color w:val="auto"/>
        </w:rPr>
        <w:t xml:space="preserve"> hereof or any provision thereof or hereof.</w:t>
      </w:r>
    </w:p>
    <w:p>
      <w:pPr>
        <w:spacing w:after="0" w:line="18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FIFTEEN</w:t>
      </w:r>
      <w:r>
        <w:rPr>
          <w:rFonts w:ascii="Times New Roman" w:cs="Times New Roman" w:eastAsia="Times New Roman" w:hAnsi="Times New Roman"/>
          <w:sz w:val="18"/>
          <w:szCs w:val="18"/>
          <w:b w:val="1"/>
          <w:bCs w:val="1"/>
          <w:u w:val="single" w:color="auto"/>
          <w:color w:val="auto"/>
        </w:rPr>
        <w:t>FOURTEEN</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40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SIXTEEN</w:t>
      </w:r>
      <w:r>
        <w:rPr>
          <w:rFonts w:ascii="Times New Roman" w:cs="Times New Roman" w:eastAsia="Times New Roman" w:hAnsi="Times New Roman"/>
          <w:sz w:val="18"/>
          <w:szCs w:val="18"/>
          <w:b w:val="1"/>
          <w:bCs w:val="1"/>
          <w:u w:val="single" w:color="auto"/>
          <w:color w:val="auto"/>
        </w:rPr>
        <w:t>FIFTEEN</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w:t>
      </w:r>
      <w:r>
        <w:rPr>
          <w:rFonts w:ascii="Times New Roman" w:cs="Times New Roman" w:eastAsia="Times New Roman" w:hAnsi="Times New Roman"/>
          <w:sz w:val="18"/>
          <w:szCs w:val="18"/>
          <w:color w:val="auto"/>
          <w:strike w:val="1"/>
        </w:rPr>
        <w:t>SIXTEEN</w:t>
      </w:r>
      <w:r>
        <w:rPr>
          <w:rFonts w:ascii="Times New Roman" w:cs="Times New Roman" w:eastAsia="Times New Roman" w:hAnsi="Times New Roman"/>
          <w:sz w:val="18"/>
          <w:szCs w:val="18"/>
          <w:u w:val="single" w:color="auto"/>
          <w:color w:val="auto"/>
        </w:rPr>
        <w:t>FIFTEEN</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w:t>
      </w:r>
      <w:r>
        <w:rPr>
          <w:rFonts w:ascii="Times New Roman" w:cs="Times New Roman" w:eastAsia="Times New Roman" w:hAnsi="Times New Roman"/>
          <w:sz w:val="18"/>
          <w:szCs w:val="18"/>
          <w:color w:val="auto"/>
          <w:strike w:val="1"/>
        </w:rPr>
        <w:t>SIXTEEN</w:t>
      </w:r>
      <w:r>
        <w:rPr>
          <w:rFonts w:ascii="Times New Roman" w:cs="Times New Roman" w:eastAsia="Times New Roman" w:hAnsi="Times New Roman"/>
          <w:sz w:val="18"/>
          <w:szCs w:val="18"/>
          <w:u w:val="single" w:color="auto"/>
          <w:color w:val="auto"/>
        </w:rPr>
        <w:t>FIFTEEN</w:t>
      </w:r>
      <w:r>
        <w:rPr>
          <w:rFonts w:ascii="Times New Roman" w:cs="Times New Roman" w:eastAsia="Times New Roman" w:hAnsi="Times New Roman"/>
          <w:sz w:val="18"/>
          <w:szCs w:val="18"/>
          <w:color w:val="auto"/>
        </w:rPr>
        <w:t xml:space="preserve"> (including, without limitation, each portion of any sentence of this Article </w:t>
      </w:r>
      <w:r>
        <w:rPr>
          <w:rFonts w:ascii="Times New Roman" w:cs="Times New Roman" w:eastAsia="Times New Roman" w:hAnsi="Times New Roman"/>
          <w:sz w:val="18"/>
          <w:szCs w:val="18"/>
          <w:color w:val="auto"/>
          <w:strike w:val="1"/>
        </w:rPr>
        <w:t>SIXTEEN</w:t>
      </w:r>
      <w:r>
        <w:rPr>
          <w:rFonts w:ascii="Times New Roman" w:cs="Times New Roman" w:eastAsia="Times New Roman" w:hAnsi="Times New Roman"/>
          <w:sz w:val="18"/>
          <w:szCs w:val="18"/>
          <w:u w:val="single" w:color="auto"/>
          <w:color w:val="auto"/>
        </w:rPr>
        <w:t>FIFTEEN</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 xml:space="preserve">purchasing or otherwise acquiring any interest in any shares of the Corporation shall be deemed to have notice of and to have consented to the provisions of this Article </w:t>
      </w:r>
      <w:r>
        <w:rPr>
          <w:rFonts w:ascii="Times New Roman" w:cs="Times New Roman" w:eastAsia="Times New Roman" w:hAnsi="Times New Roman"/>
          <w:sz w:val="18"/>
          <w:szCs w:val="18"/>
          <w:color w:val="auto"/>
          <w:strike w:val="1"/>
        </w:rPr>
        <w:t>SIXTEEN</w:t>
      </w:r>
      <w:r>
        <w:rPr>
          <w:rFonts w:ascii="Times New Roman" w:cs="Times New Roman" w:eastAsia="Times New Roman" w:hAnsi="Times New Roman"/>
          <w:sz w:val="18"/>
          <w:szCs w:val="18"/>
          <w:u w:val="single" w:color="auto"/>
          <w:color w:val="auto"/>
        </w:rPr>
        <w:t>FIFTEEN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ARTICLE </w:t>
      </w:r>
      <w:r>
        <w:rPr>
          <w:rFonts w:ascii="Times New Roman" w:cs="Times New Roman" w:eastAsia="Times New Roman" w:hAnsi="Times New Roman"/>
          <w:sz w:val="18"/>
          <w:szCs w:val="18"/>
          <w:b w:val="1"/>
          <w:bCs w:val="1"/>
          <w:color w:val="auto"/>
          <w:strike w:val="1"/>
        </w:rPr>
        <w:t>SEVENTEEN</w:t>
      </w:r>
      <w:r>
        <w:rPr>
          <w:rFonts w:ascii="Times New Roman" w:cs="Times New Roman" w:eastAsia="Times New Roman" w:hAnsi="Times New Roman"/>
          <w:sz w:val="18"/>
          <w:szCs w:val="18"/>
          <w:b w:val="1"/>
          <w:bCs w:val="1"/>
          <w:u w:val="single" w:color="auto"/>
          <w:color w:val="auto"/>
        </w:rPr>
        <w:t>SIXTEEN</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33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APPENDIX 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VOTING TRUST AGREEMENT</w:t>
      </w:r>
    </w:p>
    <w:p>
      <w:pPr>
        <w:spacing w:after="0" w:line="158"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This VOTING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 2026, is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w:t>
      </w:r>
      <w:r>
        <w:rPr>
          <w:rFonts w:ascii="Times New Roman" w:cs="Times New Roman" w:eastAsia="Times New Roman" w:hAnsi="Times New Roman"/>
          <w:sz w:val="18"/>
          <w:szCs w:val="18"/>
          <w:b w:val="1"/>
          <w:bCs w:val="1"/>
          <w:i w:val="1"/>
          <w:iCs w:val="1"/>
          <w:color w:val="auto"/>
        </w:rPr>
        <w:t>WTNA</w:t>
      </w:r>
      <w:r>
        <w:rPr>
          <w:rFonts w:ascii="Times New Roman" w:cs="Times New Roman" w:eastAsia="Times New Roman" w:hAnsi="Times New Roman"/>
          <w:sz w:val="18"/>
          <w:szCs w:val="18"/>
          <w:color w:val="auto"/>
        </w:rPr>
        <w:t>”), as voting trustee 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-425450</wp:posOffset>
            </wp:positionV>
            <wp:extent cx="6153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as of the date hereof, CEG holds (i) [              ] shares of Class A common stock,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-7620</wp:posOffset>
            </wp:positionV>
            <wp:extent cx="4965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Clearway Energy, Inc., a Delaware corporation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(ii) all [          ] outstanding shares of Class B common stock, par value $0.01 per share,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-17780</wp:posOffset>
            </wp:positionV>
            <wp:extent cx="3778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(iii) all [                ] outstanding shares of Class 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-17145</wp:posOffset>
            </wp:positionV>
            <wp:extent cx="555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stock, par value $0.01 per share, of the Company (the “</w:t>
      </w:r>
      <w:r>
        <w:rPr>
          <w:rFonts w:ascii="Times New Roman" w:cs="Times New Roman" w:eastAsia="Times New Roman" w:hAnsi="Times New Roman"/>
          <w:sz w:val="18"/>
          <w:szCs w:val="18"/>
          <w:b w:val="1"/>
          <w:bCs w:val="1"/>
          <w:i w:val="1"/>
          <w:iCs w:val="1"/>
          <w:color w:val="auto"/>
        </w:rPr>
        <w:t>Class D Common Stock</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WHEREAS, on the date hereof, the Company intends to file a Second Amended and Restated Certificate of Incorporation of the Company (the “</w:t>
      </w:r>
      <w:r>
        <w:rPr>
          <w:rFonts w:ascii="Times New Roman" w:cs="Times New Roman" w:eastAsia="Times New Roman" w:hAnsi="Times New Roman"/>
          <w:sz w:val="18"/>
          <w:szCs w:val="18"/>
          <w:b w:val="1"/>
          <w:bCs w:val="1"/>
          <w:i w:val="1"/>
          <w:iCs w:val="1"/>
          <w:color w:val="auto"/>
        </w:rPr>
        <w:t>Amended Certificate</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b w:val="1"/>
          <w:bCs w:val="1"/>
          <w:i w:val="1"/>
          <w:iCs w:val="1"/>
          <w:color w:val="auto"/>
        </w:rPr>
        <w:t>Secretary</w:t>
      </w:r>
      <w:r>
        <w:rPr>
          <w:rFonts w:ascii="Times New Roman" w:cs="Times New Roman" w:eastAsia="Times New Roman" w:hAnsi="Times New Roman"/>
          <w:sz w:val="18"/>
          <w:szCs w:val="18"/>
          <w:color w:val="auto"/>
        </w:rPr>
        <w:t>”), which will amend and restate the existing Amended and Restated Certificate of Incorporation of the Company in its entirety to, among other things, provide that (i) upon the filing of the Amended Certificate with the Secretary (the “</w:t>
      </w:r>
      <w:r>
        <w:rPr>
          <w:rFonts w:ascii="Times New Roman" w:cs="Times New Roman" w:eastAsia="Times New Roman" w:hAnsi="Times New Roman"/>
          <w:sz w:val="18"/>
          <w:szCs w:val="18"/>
          <w:b w:val="1"/>
          <w:bCs w:val="1"/>
          <w:i w:val="1"/>
          <w:iCs w:val="1"/>
          <w:color w:val="auto"/>
        </w:rPr>
        <w:t>Amended Certificate Filing</w:t>
      </w:r>
      <w:r>
        <w:rPr>
          <w:rFonts w:ascii="Times New Roman" w:cs="Times New Roman" w:eastAsia="Times New Roman" w:hAnsi="Times New Roman"/>
          <w:sz w:val="18"/>
          <w:szCs w:val="18"/>
          <w:color w:val="auto"/>
        </w:rPr>
        <w:t>”), each outstanding share of Class A Common Stock will become convertible into one share of Class C common stock, par value $0.01 per share, of the Company (the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xml:space="preserve">” and, together with the Class A Common Stock, Class B Common Stock and Class D Common Stock, the “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such conversion (the “</w:t>
      </w:r>
      <w:r>
        <w:rPr>
          <w:rFonts w:ascii="Times New Roman" w:cs="Times New Roman" w:eastAsia="Times New Roman" w:hAnsi="Times New Roman"/>
          <w:sz w:val="18"/>
          <w:szCs w:val="18"/>
          <w:b w:val="1"/>
          <w:bCs w:val="1"/>
          <w:i w:val="1"/>
          <w:iCs w:val="1"/>
          <w:color w:val="auto"/>
        </w:rPr>
        <w:t>Class A Conversion</w:t>
      </w:r>
      <w:r>
        <w:rPr>
          <w:rFonts w:ascii="Times New Roman" w:cs="Times New Roman" w:eastAsia="Times New Roman" w:hAnsi="Times New Roman"/>
          <w:sz w:val="18"/>
          <w:szCs w:val="18"/>
          <w:color w:val="auto"/>
        </w:rPr>
        <w:t>”) will occur automatically at 12:01 a.m., Eastern Time, on the second business day following the Amended Certificate Filing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459" w:firstLine="360"/>
        <w:spacing w:after="0" w:line="226" w:lineRule="auto"/>
        <w:rPr>
          <w:sz w:val="20"/>
          <w:szCs w:val="20"/>
          <w:color w:val="auto"/>
        </w:rPr>
      </w:pPr>
      <w:r>
        <w:rPr>
          <w:rFonts w:ascii="Times New Roman" w:cs="Times New Roman" w:eastAsia="Times New Roman" w:hAnsi="Times New Roman"/>
          <w:sz w:val="18"/>
          <w:szCs w:val="18"/>
          <w:color w:val="auto"/>
        </w:rPr>
        <w:t>WHEREAS, each share of Class A Common Stock and Class B Common Stock entitles the holder thereof to one vote with respect to each matter submitted to a vote of the Company’s stockholders generally, and each share of Class C Common Stock and Class D Common Stock entitles the holder thereof to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with respect to each matter submitted to a vote of the Company’s stockholders generally;</w:t>
      </w:r>
    </w:p>
    <w:p>
      <w:pPr>
        <w:spacing w:after="0" w:line="119" w:lineRule="exact"/>
        <w:rPr>
          <w:sz w:val="20"/>
          <w:szCs w:val="20"/>
          <w:color w:val="auto"/>
        </w:rPr>
      </w:pPr>
    </w:p>
    <w:p>
      <w:pPr>
        <w:jc w:val="both"/>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WHEREAS, as a result of the disparity in voting rights between the Class A Common Stock and the Class C Common Stock, the Class A Conversion would, in the absence of this Agreement, cause the total relative voting power of CEG to increase disproportionately to the total relative voting power of all other stockholders of the Company;</w:t>
      </w:r>
    </w:p>
    <w:p>
      <w:pPr>
        <w:spacing w:after="0" w:line="11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WHEREAS, in order to mitigate any such disproportionate increase in CEG’s total relative voting</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power in the Company that may result from the Class A Conversion, CEG desires to, at the Effective Time, deposit with the Trustee the Initial Deposited Shares (as defined below), and the Trustee is willing to hold, vote and dispose of the Initial Deposited Shares and any other Deposited Shares (as defined below) in accordance with the terms and conditions hereof; and</w:t>
      </w:r>
    </w:p>
    <w:p>
      <w:pPr>
        <w:spacing w:after="0" w:line="11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WHEREAS, the parties hereto acknowledge and agree that the purpose of this Agreement is to, among other things, facilitate the Company’s compliance with the voting rights requirements set forth in Section 313 of the New York Stock Exchange Listed Company Manual (the “</w:t>
      </w:r>
      <w:r>
        <w:rPr>
          <w:rFonts w:ascii="Times New Roman" w:cs="Times New Roman" w:eastAsia="Times New Roman" w:hAnsi="Times New Roman"/>
          <w:sz w:val="18"/>
          <w:szCs w:val="18"/>
          <w:b w:val="1"/>
          <w:bCs w:val="1"/>
          <w:i w:val="1"/>
          <w:iCs w:val="1"/>
          <w:color w:val="auto"/>
        </w:rPr>
        <w:t>NYSE Voting Rights Policy</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the parties hereto agree as follows:</w:t>
      </w:r>
    </w:p>
    <w:p>
      <w:pPr>
        <w:spacing w:after="0" w:line="95" w:lineRule="exact"/>
        <w:rPr>
          <w:sz w:val="20"/>
          <w:szCs w:val="20"/>
          <w:color w:val="auto"/>
        </w:rPr>
      </w:pPr>
    </w:p>
    <w:p>
      <w:pPr>
        <w:ind w:left="1900" w:hanging="280"/>
        <w:spacing w:after="0"/>
        <w:tabs>
          <w:tab w:leader="none" w:pos="1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herein:</w:t>
      </w:r>
    </w:p>
    <w:p>
      <w:pPr>
        <w:spacing w:after="0" w:line="153" w:lineRule="exact"/>
        <w:rPr>
          <w:rFonts w:ascii="Times New Roman" w:cs="Times New Roman" w:eastAsia="Times New Roman" w:hAnsi="Times New Roman"/>
          <w:sz w:val="18"/>
          <w:szCs w:val="18"/>
          <w:color w:val="auto"/>
        </w:rPr>
      </w:pPr>
    </w:p>
    <w:p>
      <w:pPr>
        <w:ind w:left="1620" w:right="539" w:firstLine="360"/>
        <w:spacing w:after="0" w:line="248" w:lineRule="auto"/>
        <w:tabs>
          <w:tab w:leader="none" w:pos="23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with “control” in such context meaning the ability to direct the management or policies of a Person through ownership of Voting Securities, pursuant to a written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Agreement, the Company shall not be deemed to be an Affiliate of CEG or any of its controlling Affiliates.</w:t>
      </w:r>
    </w:p>
    <w:p>
      <w:pPr>
        <w:spacing w:after="0" w:line="321" w:lineRule="exact"/>
        <w:rPr>
          <w:rFonts w:ascii="Times New Roman" w:cs="Times New Roman" w:eastAsia="Times New Roman" w:hAnsi="Times New Roman"/>
          <w:sz w:val="18"/>
          <w:szCs w:val="18"/>
          <w:color w:val="auto"/>
        </w:rPr>
      </w:pPr>
    </w:p>
    <w:p>
      <w:pPr>
        <w:ind w:left="1620" w:right="419" w:firstLine="360"/>
        <w:spacing w:after="0" w:line="271" w:lineRule="auto"/>
        <w:tabs>
          <w:tab w:leader="none" w:pos="23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(i) a Saturday or Sunday; or (ii) a day on which banking and savings and loan institutions in Wilmington, Delaware, New York, New York or</w:t>
      </w: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the location of the Corporate Trust Office designated by the Trustee (if other than Wilmington, Delaware) or the city in which the designated office of the Trustee is located are required or authorized by law or regulatory authority to be closed for business.</w:t>
      </w:r>
    </w:p>
    <w:p>
      <w:pPr>
        <w:spacing w:after="0" w:line="98" w:lineRule="exact"/>
        <w:rPr>
          <w:sz w:val="20"/>
          <w:szCs w:val="20"/>
          <w:color w:val="auto"/>
        </w:rPr>
      </w:pPr>
    </w:p>
    <w:p>
      <w:pPr>
        <w:ind w:left="1620" w:right="579" w:firstLine="360"/>
        <w:spacing w:after="0" w:line="271" w:lineRule="auto"/>
        <w:tabs>
          <w:tab w:leader="none" w:pos="23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means the Fourth Amended and Restated Bylaws of the Company, as amended and restated from time to time.</w:t>
      </w:r>
    </w:p>
    <w:p>
      <w:pPr>
        <w:spacing w:after="0" w:line="86" w:lineRule="exact"/>
        <w:rPr>
          <w:rFonts w:ascii="Times New Roman" w:cs="Times New Roman" w:eastAsia="Times New Roman" w:hAnsi="Times New Roman"/>
          <w:sz w:val="18"/>
          <w:szCs w:val="18"/>
          <w:color w:val="auto"/>
        </w:rPr>
      </w:pPr>
    </w:p>
    <w:p>
      <w:pPr>
        <w:ind w:left="1620" w:right="459" w:firstLine="360"/>
        <w:spacing w:after="0" w:line="252" w:lineRule="auto"/>
        <w:tabs>
          <w:tab w:leader="none" w:pos="23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CEG Related Person</w:t>
      </w:r>
      <w:r>
        <w:rPr>
          <w:rFonts w:ascii="Times New Roman" w:cs="Times New Roman" w:eastAsia="Times New Roman" w:hAnsi="Times New Roman"/>
          <w:sz w:val="18"/>
          <w:szCs w:val="18"/>
          <w:color w:val="auto"/>
        </w:rPr>
        <w:t>” means (i) any Affiliate, subsidiary, director, officer, employee, agent or other representative of CEG or (ii) any Person whose ownership of Deposited Shares would result in CEG continuing to be deemed the “beneficial owner” (as​ such term is used in Rule 13d-3) of such Deposited Shares.</w:t>
      </w:r>
    </w:p>
    <w:p>
      <w:pPr>
        <w:spacing w:after="0" w:line="10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 after the Effective</w:t>
      </w:r>
    </w:p>
    <w:p>
      <w:pPr>
        <w:spacing w:after="0" w:line="3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125" w:lineRule="exact"/>
        <w:rPr>
          <w:rFonts w:ascii="Times New Roman" w:cs="Times New Roman" w:eastAsia="Times New Roman" w:hAnsi="Times New Roman"/>
          <w:sz w:val="18"/>
          <w:szCs w:val="18"/>
          <w:color w:val="auto"/>
        </w:rPr>
      </w:pPr>
    </w:p>
    <w:p>
      <w:pPr>
        <w:ind w:left="1980" w:right="579" w:firstLine="360"/>
        <w:spacing w:after="0" w:line="250" w:lineRule="auto"/>
        <w:tabs>
          <w:tab w:leader="none" w:pos="266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shares of the Company by any “person” or “group” (as​ such terms are used in Rule 13d-3) in a transaction or series of transactions that result in such person or group directly or indirectly becoming the “beneficial owner” (as​ such term is used in Rule 13d-3) of more than 50% of the total voting power of the outstanding Voting Securities of the Company;</w:t>
      </w:r>
    </w:p>
    <w:p>
      <w:pPr>
        <w:spacing w:after="0" w:line="109" w:lineRule="exact"/>
        <w:rPr>
          <w:rFonts w:ascii="Times New Roman" w:cs="Times New Roman" w:eastAsia="Times New Roman" w:hAnsi="Times New Roman"/>
          <w:sz w:val="18"/>
          <w:szCs w:val="18"/>
          <w:color w:val="auto"/>
        </w:rPr>
      </w:pPr>
    </w:p>
    <w:p>
      <w:pPr>
        <w:ind w:left="1980" w:right="439" w:firstLine="360"/>
        <w:spacing w:after="0" w:line="246" w:lineRule="auto"/>
        <w:tabs>
          <w:tab w:leader="none" w:pos="27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or other business combination involving the Company, unless immediately following such transaction the holders of the outstanding Voting Securities of the Company immediately prior to such transaction continue to collectively own, directly or indirectly, more than 50% of the total voting power of the outstanding Voting Securities of the entity surviving such merger, consolidation or other business combination;</w:t>
      </w:r>
    </w:p>
    <w:p>
      <w:pPr>
        <w:spacing w:after="0" w:line="113" w:lineRule="exact"/>
        <w:rPr>
          <w:rFonts w:ascii="Times New Roman" w:cs="Times New Roman" w:eastAsia="Times New Roman" w:hAnsi="Times New Roman"/>
          <w:sz w:val="18"/>
          <w:szCs w:val="18"/>
          <w:color w:val="auto"/>
        </w:rPr>
      </w:pPr>
    </w:p>
    <w:p>
      <w:pPr>
        <w:ind w:left="1980" w:right="499" w:firstLine="360"/>
        <w:spacing w:after="0" w:line="266" w:lineRule="auto"/>
        <w:tabs>
          <w:tab w:leader="none" w:pos="277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or other transfer in a transaction or series of transactions of all or substantially all of the assets of the Company; or</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44" w:lineRule="auto"/>
        <w:tabs>
          <w:tab w:leader="none" w:pos="27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result of or in connection with any cash tender offer or exchange offer, merger, consolidation or other business combination, sale of assets or contested election of directors or any combination of the foregoing transactions (a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 persons who constituted a majority of the members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as of the Effective Time and persons whose election as members of the Board was approved by such members then still in office or whose election was previously so approved after the Effective Time, but before the event that constitutes a Change of Control, no longer constitute such a majority of the members of the Board then in office. A Transaction constituting a Change of Control shall only be deemed to have occurred upon the closing of such Transaction.</w:t>
      </w:r>
    </w:p>
    <w:p>
      <w:pPr>
        <w:spacing w:after="0" w:line="113"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Clearway LLC</w:t>
      </w:r>
      <w:r>
        <w:rPr>
          <w:rFonts w:ascii="Times New Roman" w:cs="Times New Roman" w:eastAsia="Times New Roman" w:hAnsi="Times New Roman"/>
          <w:sz w:val="18"/>
          <w:szCs w:val="18"/>
          <w:color w:val="auto"/>
        </w:rPr>
        <w:t>” means Clearway Energy LLC, a Delaware limited liability company.</w:t>
      </w:r>
    </w:p>
    <w:p>
      <w:pPr>
        <w:spacing w:after="0" w:line="144" w:lineRule="exact"/>
        <w:rPr>
          <w:rFonts w:ascii="Times New Roman" w:cs="Times New Roman" w:eastAsia="Times New Roman" w:hAnsi="Times New Roman"/>
          <w:sz w:val="18"/>
          <w:szCs w:val="18"/>
          <w:color w:val="auto"/>
        </w:rPr>
      </w:pPr>
    </w:p>
    <w:p>
      <w:pPr>
        <w:ind w:left="1620" w:right="539" w:firstLine="360"/>
        <w:spacing w:after="0" w:line="262" w:lineRule="auto"/>
        <w:tabs>
          <w:tab w:leader="none" w:pos="23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principal corporate trust office of the Trustee at which at any particular time its corporate trust business shall be administered, which office at the date hereof is located at 1100 North Market Street, Wilmington, Delaware 19890, Attention: Corporate Trust Administration — CEG Voting Trust.</w:t>
      </w:r>
    </w:p>
    <w:p>
      <w:pPr>
        <w:spacing w:after="0" w:line="108" w:lineRule="exact"/>
        <w:rPr>
          <w:rFonts w:ascii="Times New Roman" w:cs="Times New Roman" w:eastAsia="Times New Roman" w:hAnsi="Times New Roman"/>
          <w:sz w:val="18"/>
          <w:szCs w:val="18"/>
          <w:color w:val="auto"/>
        </w:rPr>
      </w:pPr>
    </w:p>
    <w:p>
      <w:pPr>
        <w:ind w:left="1620" w:right="659" w:firstLine="360"/>
        <w:spacing w:after="0" w:line="286" w:lineRule="auto"/>
        <w:tabs>
          <w:tab w:leader="none" w:pos="23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 as the same may be amended from time to time, or any successor statute thereto.</w:t>
      </w:r>
    </w:p>
    <w:p>
      <w:pPr>
        <w:spacing w:after="0" w:line="87" w:lineRule="exact"/>
        <w:rPr>
          <w:rFonts w:ascii="Times New Roman" w:cs="Times New Roman" w:eastAsia="Times New Roman" w:hAnsi="Times New Roman"/>
          <w:sz w:val="18"/>
          <w:szCs w:val="18"/>
          <w:color w:val="auto"/>
        </w:rPr>
      </w:pPr>
    </w:p>
    <w:p>
      <w:pPr>
        <w:ind w:left="1620" w:right="719" w:firstLine="360"/>
        <w:spacing w:after="0" w:line="286" w:lineRule="auto"/>
        <w:tabs>
          <w:tab w:leader="none" w:pos="23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73" w:lineRule="exact"/>
        <w:rPr>
          <w:rFonts w:ascii="Times New Roman" w:cs="Times New Roman" w:eastAsia="Times New Roman" w:hAnsi="Times New Roman"/>
          <w:sz w:val="18"/>
          <w:szCs w:val="18"/>
          <w:color w:val="auto"/>
        </w:rPr>
      </w:pPr>
    </w:p>
    <w:p>
      <w:pPr>
        <w:jc w:val="both"/>
        <w:ind w:left="1620" w:right="419" w:firstLine="360"/>
        <w:spacing w:after="0" w:line="268" w:lineRule="auto"/>
        <w:tabs>
          <w:tab w:leader="none" w:pos="23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Third Amended and Restated Exchange Agreement, dated as of April 1, 2026, by and among the Company, Clearway LLC, CEG and the other Persons from time-to-time party thereto, as may be amended, restated, supplemented or replaced from time to time.</w:t>
      </w:r>
    </w:p>
    <w:p>
      <w:pPr>
        <w:spacing w:after="0" w:line="103" w:lineRule="exact"/>
        <w:rPr>
          <w:rFonts w:ascii="Times New Roman" w:cs="Times New Roman" w:eastAsia="Times New Roman" w:hAnsi="Times New Roman"/>
          <w:sz w:val="18"/>
          <w:szCs w:val="18"/>
          <w:color w:val="auto"/>
        </w:rPr>
      </w:pPr>
    </w:p>
    <w:p>
      <w:pPr>
        <w:ind w:left="1620" w:right="419" w:firstLine="360"/>
        <w:spacing w:after="0" w:line="262" w:lineRule="auto"/>
        <w:tabs>
          <w:tab w:leader="none" w:pos="23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Hypothetical Baseline Voting Power</w:t>
      </w:r>
      <w:r>
        <w:rPr>
          <w:rFonts w:ascii="Times New Roman" w:cs="Times New Roman" w:eastAsia="Times New Roman" w:hAnsi="Times New Roman"/>
          <w:sz w:val="18"/>
          <w:szCs w:val="18"/>
          <w:color w:val="auto"/>
        </w:rPr>
        <w:t>” means, with respect to any Specified Share Issuance, Specified Corporate Action or Specified Exchange, the total voting power that CEG would have held with respect to the outstanding Voting Securities of the Company immediately following such Specified Share Issuance, Specified Corporate Action or Specified Exchange, as applicable, assuming that</w:t>
      </w: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8" w:lineRule="auto"/>
        <w:tabs>
          <w:tab w:leader="none" w:pos="184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Conversion and the Amended Certificate Filing had not occurred, (ii) the creation of the Voting Trust and the deposit or retention of the Deposited Shares into the Voting Trust pursuant to this Agreement had not occurred and (iii) in the case of a Specified Exchange, that CEG exchanged the Class B Units subject to such Specified Exchange for shares of Class A Common Stock rather than shares of Class C Common Stock.</w:t>
      </w:r>
    </w:p>
    <w:p>
      <w:pPr>
        <w:spacing w:after="0" w:line="111" w:lineRule="exact"/>
        <w:rPr>
          <w:rFonts w:ascii="Times New Roman" w:cs="Times New Roman" w:eastAsia="Times New Roman" w:hAnsi="Times New Roman"/>
          <w:sz w:val="18"/>
          <w:szCs w:val="18"/>
          <w:color w:val="auto"/>
        </w:rPr>
      </w:pPr>
    </w:p>
    <w:p>
      <w:pPr>
        <w:ind w:left="1620" w:right="1139" w:firstLine="360"/>
        <w:spacing w:after="0" w:line="286" w:lineRule="auto"/>
        <w:tabs>
          <w:tab w:leader="none" w:pos="230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Non-Trust CEG Shares</w:t>
      </w:r>
      <w:r>
        <w:rPr>
          <w:rFonts w:ascii="Times New Roman" w:cs="Times New Roman" w:eastAsia="Times New Roman" w:hAnsi="Times New Roman"/>
          <w:sz w:val="18"/>
          <w:szCs w:val="18"/>
          <w:color w:val="auto"/>
        </w:rPr>
        <w:t>” means, as of any date of determination, any shares of Voting Securities owned by CEG that are not held in the Voting Trust pursuant to this Agreement.</w:t>
      </w:r>
    </w:p>
    <w:p>
      <w:pPr>
        <w:spacing w:after="0" w:line="87" w:lineRule="exact"/>
        <w:rPr>
          <w:rFonts w:ascii="Times New Roman" w:cs="Times New Roman" w:eastAsia="Times New Roman" w:hAnsi="Times New Roman"/>
          <w:sz w:val="18"/>
          <w:szCs w:val="18"/>
          <w:color w:val="auto"/>
        </w:rPr>
      </w:pPr>
    </w:p>
    <w:p>
      <w:pPr>
        <w:ind w:left="1620" w:right="599" w:firstLine="360"/>
        <w:spacing w:after="0" w:line="268" w:lineRule="auto"/>
        <w:tabs>
          <w:tab w:leader="none" w:pos="23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Non-Voting Securities</w:t>
      </w:r>
      <w:r>
        <w:rPr>
          <w:rFonts w:ascii="Times New Roman" w:cs="Times New Roman" w:eastAsia="Times New Roman" w:hAnsi="Times New Roman"/>
          <w:sz w:val="18"/>
          <w:szCs w:val="18"/>
          <w:color w:val="auto"/>
        </w:rPr>
        <w:t>” means, with respect to any Person as of any time, any shares of capital stock or other securities of such Person that at such time do not constitute Voting Securities of the Company.</w:t>
      </w:r>
    </w:p>
    <w:p>
      <w:pPr>
        <w:spacing w:after="0" w:line="89" w:lineRule="exact"/>
        <w:rPr>
          <w:rFonts w:ascii="Times New Roman" w:cs="Times New Roman" w:eastAsia="Times New Roman" w:hAnsi="Times New Roman"/>
          <w:sz w:val="18"/>
          <w:szCs w:val="18"/>
          <w:color w:val="auto"/>
        </w:rPr>
      </w:pPr>
    </w:p>
    <w:p>
      <w:pPr>
        <w:ind w:left="1620" w:right="659" w:firstLine="360"/>
        <w:spacing w:after="0" w:line="286" w:lineRule="auto"/>
        <w:tabs>
          <w:tab w:leader="none" w:pos="23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partnership, corporation, limited liability company, trust or other entity, including any governmental entity.</w:t>
      </w:r>
    </w:p>
    <w:p>
      <w:pPr>
        <w:spacing w:after="0" w:line="87" w:lineRule="exact"/>
        <w:rPr>
          <w:rFonts w:ascii="Times New Roman" w:cs="Times New Roman" w:eastAsia="Times New Roman" w:hAnsi="Times New Roman"/>
          <w:sz w:val="18"/>
          <w:szCs w:val="18"/>
          <w:color w:val="auto"/>
        </w:rPr>
      </w:pPr>
    </w:p>
    <w:p>
      <w:pPr>
        <w:ind w:left="1620" w:right="459" w:firstLine="360"/>
        <w:spacing w:after="0" w:line="255" w:lineRule="auto"/>
        <w:tabs>
          <w:tab w:leader="none" w:pos="23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means with respect to the Trustee, any officer assigned to and working in the Corporate Trust Office of the Trustee, including any senior vice president, vice president, assistant vice president, assistant treasurer, assistant secretary or any other trust officer working in the Corporate Trust Office of the Trustee customarily performing functions similar to those performed by any of the above designated officers, in each case, having direct responsibility for the administration of this Agreement, and also, with respect to a particular matter, any other officer of the Trustee to whom such matter is referred because of such officer’s actual knowledge of and familiarity with the particular subject.</w:t>
      </w:r>
    </w:p>
    <w:p>
      <w:pPr>
        <w:spacing w:after="0" w:line="33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13d-3</w:t>
      </w:r>
      <w:r>
        <w:rPr>
          <w:rFonts w:ascii="Times New Roman" w:cs="Times New Roman" w:eastAsia="Times New Roman" w:hAnsi="Times New Roman"/>
          <w:sz w:val="18"/>
          <w:szCs w:val="18"/>
          <w:color w:val="auto"/>
        </w:rPr>
        <w:t>” means Rule 13d-3 promulgated under the Exchange Act.</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has the meaning set forth in the Security Agreement.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65" w:lineRule="auto"/>
        <w:tabs>
          <w:tab w:leader="none" w:pos="231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Agreement</w:t>
      </w:r>
      <w:r>
        <w:rPr>
          <w:rFonts w:ascii="Times New Roman" w:cs="Times New Roman" w:eastAsia="Times New Roman" w:hAnsi="Times New Roman"/>
          <w:sz w:val="18"/>
          <w:szCs w:val="18"/>
          <w:color w:val="auto"/>
        </w:rPr>
        <w:t>” means the Third Amended and Restated Pledge and Security Agreement, to be dated on or around the date hereof, by and among CEG, the Trustee and Natixis, New York Branch, as Administrative Agent, as amended, restated, supplemented, or otherwise modified from time to time.</w:t>
      </w:r>
    </w:p>
    <w:p>
      <w:pPr>
        <w:spacing w:after="0" w:line="326" w:lineRule="exact"/>
        <w:rPr>
          <w:rFonts w:ascii="Times New Roman" w:cs="Times New Roman" w:eastAsia="Times New Roman" w:hAnsi="Times New Roman"/>
          <w:sz w:val="18"/>
          <w:szCs w:val="18"/>
          <w:color w:val="auto"/>
        </w:rPr>
      </w:pPr>
    </w:p>
    <w:p>
      <w:pPr>
        <w:ind w:left="1620" w:right="519" w:firstLine="360"/>
        <w:spacing w:after="0" w:line="256" w:lineRule="auto"/>
        <w:tabs>
          <w:tab w:leader="none" w:pos="232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means, as to any Deposited Share, to sell, or in any other way transfer, assign, distribute, encumber, pledge, mortgage or otherwise dispose of, and “</w:t>
      </w:r>
      <w:r>
        <w:rPr>
          <w:rFonts w:ascii="Times New Roman" w:cs="Times New Roman" w:eastAsia="Times New Roman" w:hAnsi="Times New Roman"/>
          <w:sz w:val="18"/>
          <w:szCs w:val="18"/>
          <w:b w:val="1"/>
          <w:bCs w:val="1"/>
          <w:i w:val="1"/>
          <w:iCs w:val="1"/>
          <w:color w:val="auto"/>
        </w:rPr>
        <w:t>Transferred</w:t>
      </w:r>
      <w:r>
        <w:rPr>
          <w:rFonts w:ascii="Times New Roman" w:cs="Times New Roman" w:eastAsia="Times New Roman" w:hAnsi="Times New Roman"/>
          <w:sz w:val="18"/>
          <w:szCs w:val="18"/>
          <w:color w:val="auto"/>
        </w:rPr>
        <w:t xml:space="preserve">” means the condition of a Transfer having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transfer of any direct or indirect ownership or other equity or participation interest in CEG or any of its direct or indirect equityholders or any fund, managed account, side-by-side vehicle or other investment vehicle or product advised, managed or controlled by any of the foregoing or any of their respective Affiliates, or any agreement or commitment to do the foregoing, shall be deemed a “Transfer” for the purposes of this Agreement.</w:t>
      </w:r>
    </w:p>
    <w:p>
      <w:pPr>
        <w:spacing w:after="0" w:line="101"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0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Securities</w:t>
      </w:r>
      <w:r>
        <w:rPr>
          <w:rFonts w:ascii="Times New Roman" w:cs="Times New Roman" w:eastAsia="Times New Roman" w:hAnsi="Times New Roman"/>
          <w:sz w:val="18"/>
          <w:szCs w:val="18"/>
          <w:color w:val="auto"/>
        </w:rPr>
        <w:t>” means, with respect to any Person as of any time, any shares of capital stock or other securities of such Person that is at such time entitled to vote generally in the election of directors, managers or trustees of such Person or on other matters submitted to a vote of the stockholders, members, partners or other owners of such Person (including, with respect to the Company, shares of Common Stock), or any other securities convertible, exchangeable or exercisable into such shares or securities.</w:t>
      </w:r>
    </w:p>
    <w:p>
      <w:pPr>
        <w:spacing w:after="0" w:line="331" w:lineRule="exact"/>
        <w:rPr>
          <w:rFonts w:ascii="Times New Roman" w:cs="Times New Roman" w:eastAsia="Times New Roman" w:hAnsi="Times New Roman"/>
          <w:sz w:val="18"/>
          <w:szCs w:val="18"/>
          <w:color w:val="auto"/>
        </w:rPr>
      </w:pPr>
    </w:p>
    <w:p>
      <w:pPr>
        <w:ind w:left="1620" w:right="659" w:firstLine="360"/>
        <w:spacing w:after="0" w:line="286" w:lineRule="auto"/>
        <w:tabs>
          <w:tab w:leader="none" w:pos="23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Written Direction</w:t>
      </w:r>
      <w:r>
        <w:rPr>
          <w:rFonts w:ascii="Times New Roman" w:cs="Times New Roman" w:eastAsia="Times New Roman" w:hAnsi="Times New Roman"/>
          <w:sz w:val="18"/>
          <w:szCs w:val="18"/>
          <w:color w:val="auto"/>
        </w:rPr>
        <w:t xml:space="preserve">” means written direction to the Trustee from CEG or the Company in the form of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900" w:hanging="280"/>
        <w:spacing w:after="0"/>
        <w:tabs>
          <w:tab w:leader="none" w:pos="1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Creation of Voting Trust</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ind w:left="1620" w:right="459" w:firstLine="360"/>
        <w:spacing w:after="0" w:line="259" w:lineRule="auto"/>
        <w:tabs>
          <w:tab w:leader="none" w:pos="23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 voting trust (the “</w:t>
      </w:r>
      <w:r>
        <w:rPr>
          <w:rFonts w:ascii="Times New Roman" w:cs="Times New Roman" w:eastAsia="Times New Roman" w:hAnsi="Times New Roman"/>
          <w:sz w:val="18"/>
          <w:szCs w:val="18"/>
          <w:b w:val="1"/>
          <w:bCs w:val="1"/>
          <w:i w:val="1"/>
          <w:iCs w:val="1"/>
          <w:color w:val="auto"/>
        </w:rPr>
        <w:t>Voting Trust</w:t>
      </w:r>
      <w:r>
        <w:rPr>
          <w:rFonts w:ascii="Times New Roman" w:cs="Times New Roman" w:eastAsia="Times New Roman" w:hAnsi="Times New Roman"/>
          <w:sz w:val="18"/>
          <w:szCs w:val="18"/>
          <w:color w:val="auto"/>
        </w:rPr>
        <w:t>”) is hereby created and established as a Delaware common law trust under this Agreement for the purpose of meeting the requirements of Section 218(a) of the DGCL. In accordance with Section 218(a) of the DGCL, the parties hereto (i) shall deliver a copy of this Agreement to the principal place of business of the Company, including all counterparts as executed, all supplements and all amendments thereto and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58" w:lineRule="auto"/>
        <w:tabs>
          <w:tab w:leader="none" w:pos="190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permit the inspection of the Agreement, as executed, supplemented and amended, to any stockholder of the Company, daily during business hours, upon at least five (5) Business Days’ prior request.</w:t>
      </w:r>
    </w:p>
    <w:p>
      <w:pPr>
        <w:spacing w:after="0" w:line="101" w:lineRule="exact"/>
        <w:rPr>
          <w:rFonts w:ascii="Times New Roman" w:cs="Times New Roman" w:eastAsia="Times New Roman" w:hAnsi="Times New Roman"/>
          <w:sz w:val="18"/>
          <w:szCs w:val="18"/>
          <w:color w:val="auto"/>
        </w:rPr>
      </w:pPr>
    </w:p>
    <w:p>
      <w:pPr>
        <w:ind w:left="1620" w:right="719" w:firstLine="360"/>
        <w:spacing w:after="0" w:line="258" w:lineRule="auto"/>
        <w:tabs>
          <w:tab w:leader="none" w:pos="23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 hereby appoints WTNA as Trustee hereunder. The Trustee hereby accepts such appointment to act as Trustee under this Agreement as provided herein, and covenants and agrees to perform faithfully and diligently the covenants and agreements contained herein.</w:t>
      </w:r>
    </w:p>
    <w:p>
      <w:pPr>
        <w:spacing w:after="0" w:line="102" w:lineRule="exact"/>
        <w:rPr>
          <w:sz w:val="20"/>
          <w:szCs w:val="20"/>
          <w:color w:val="auto"/>
        </w:rPr>
      </w:pPr>
    </w:p>
    <w:p>
      <w:pPr>
        <w:ind w:left="1260" w:right="559" w:firstLine="360"/>
        <w:spacing w:after="0" w:line="250" w:lineRule="auto"/>
        <w:tabs>
          <w:tab w:leader="none" w:pos="190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is Irrevocable</w:t>
      </w:r>
      <w:r>
        <w:rPr>
          <w:rFonts w:ascii="Times New Roman" w:cs="Times New Roman" w:eastAsia="Times New Roman" w:hAnsi="Times New Roman"/>
          <w:sz w:val="18"/>
          <w:szCs w:val="18"/>
          <w:color w:val="auto"/>
        </w:rPr>
        <w:t xml:space="preserve">. The Voting Trust shall be irrevocable by CEG and shall terminate only upon the termination of this Agreement in accordance with the provisions of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as otherwise provided herein, the Deposited Shares may not be withdrawn from the Voting Trust.</w:t>
      </w:r>
    </w:p>
    <w:p>
      <w:pPr>
        <w:spacing w:after="0" w:line="10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Deposited Shares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59" w:firstLine="360"/>
        <w:spacing w:after="0" w:line="232" w:lineRule="auto"/>
        <w:tabs>
          <w:tab w:leader="none" w:pos="232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CEG shall deposit with, and assign and transfer to, the Trustee, and the Trustee shall accept in trust,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of Class B Common Stock (the “</w:t>
      </w:r>
      <w:r>
        <w:rPr>
          <w:rFonts w:ascii="Times New Roman" w:cs="Times New Roman" w:eastAsia="Times New Roman" w:hAnsi="Times New Roman"/>
          <w:sz w:val="18"/>
          <w:szCs w:val="18"/>
          <w:b w:val="1"/>
          <w:bCs w:val="1"/>
          <w:i w:val="1"/>
          <w:iCs w:val="1"/>
          <w:color w:val="auto"/>
        </w:rPr>
        <w:t>Initial Deposited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Initial Deposited Shares, together with any other Voting Securities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deposited into the Voting Trust or otherwise required to be retained by the Trustee in the Voting Trust pursuant to any other provision of this Agreement, are referred to herein as the “</w:t>
      </w:r>
      <w:r>
        <w:rPr>
          <w:rFonts w:ascii="Times New Roman" w:cs="Times New Roman" w:eastAsia="Times New Roman" w:hAnsi="Times New Roman"/>
          <w:sz w:val="18"/>
          <w:szCs w:val="18"/>
          <w:b w:val="1"/>
          <w:bCs w:val="1"/>
          <w:i w:val="1"/>
          <w:iCs w:val="1"/>
          <w:color w:val="auto"/>
        </w:rPr>
        <w:t>Deposited Shares</w:t>
      </w:r>
      <w:r>
        <w:rPr>
          <w:rFonts w:ascii="Times New Roman" w:cs="Times New Roman" w:eastAsia="Times New Roman" w:hAnsi="Times New Roman"/>
          <w:sz w:val="18"/>
          <w:szCs w:val="18"/>
          <w:color w:val="auto"/>
        </w:rPr>
        <w:t>”, and shall be held by the Trustee in the Voting Trust in accordance with the terms of this Agreement. The Trustee shall hold the Deposited Shares in the Voting Trust for the benefit of CEG.</w:t>
      </w:r>
    </w:p>
    <w:p>
      <w:pPr>
        <w:spacing w:after="0" w:line="116"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 shall take all actions necessary, and shall deliver all such instructions, instruments and documents as may be required, to cause all Deposited Shares to be promptly registered in book-entry form in the name of the Trustee (or its nominee) on the stockholder register of the Company. Such registration shall include a legend or other notation to the effect that such Deposited Shares (i) are held by the Trustee in the Voting Trust for the benefit of CEG and (ii) are subject to this Agreement and may not be Transferred by the Trustee or CEG, except in compliance with the terms set forth herein. Each of CEG and the Trustee shall use its reasonable best efforts to cooperate with the other party and with the Company to ensure that the Company and its transfer agent promptly effect such registration and notation. In furtherance of the foregoing, all Deposited Shares shall be registered in the name “Wilmington Trust, National Association, not in its individual capacity but solely as Trustee.” Under no circumstances shall any Deposited Shares be registered in the name of WTNA in its individual capacity.</w:t>
      </w:r>
    </w:p>
    <w:p>
      <w:pPr>
        <w:spacing w:after="0" w:line="332" w:lineRule="exact"/>
        <w:rPr>
          <w:rFonts w:ascii="Times New Roman" w:cs="Times New Roman" w:eastAsia="Times New Roman" w:hAnsi="Times New Roman"/>
          <w:sz w:val="18"/>
          <w:szCs w:val="18"/>
          <w:color w:val="auto"/>
        </w:rPr>
      </w:pPr>
    </w:p>
    <w:p>
      <w:pPr>
        <w:ind w:left="1260" w:right="519" w:firstLine="360"/>
        <w:spacing w:after="0" w:line="244" w:lineRule="auto"/>
        <w:tabs>
          <w:tab w:leader="none" w:pos="190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Title</w:t>
      </w:r>
      <w:r>
        <w:rPr>
          <w:rFonts w:ascii="Times New Roman" w:cs="Times New Roman" w:eastAsia="Times New Roman" w:hAnsi="Times New Roman"/>
          <w:sz w:val="18"/>
          <w:szCs w:val="18"/>
          <w:color w:val="auto"/>
        </w:rPr>
        <w:t>. During the term of this Agreement, the Trustee shall have the legal title to the Deposited Shares, solely as a trustee/nominee for the exclusive benefit of CEG as beneficial owner of the Deposited Shares, and be entitled to exercise, in person or by its nominee or proxy, all rights and powers in respect to any or all such Deposited Shares (in each case, subject to the Amended Certificate, the Bylaws, this Agreement and applicable law), including, without limitation, the right and power (i) to vote thereon and to take part in or consent to any corporate or stockholders’ action of any kind whatsoever, whether ordinary or extraordinary, in accordance with all of the terms and conditions set forth in this Agreement,</w:t>
      </w:r>
    </w:p>
    <w:p>
      <w:pPr>
        <w:spacing w:after="0" w:line="3" w:lineRule="exact"/>
        <w:rPr>
          <w:rFonts w:ascii="Times New Roman" w:cs="Times New Roman" w:eastAsia="Times New Roman" w:hAnsi="Times New Roman"/>
          <w:sz w:val="18"/>
          <w:szCs w:val="18"/>
          <w:color w:val="auto"/>
        </w:rPr>
      </w:pPr>
    </w:p>
    <w:p>
      <w:pPr>
        <w:ind w:left="1260" w:right="479"/>
        <w:spacing w:after="0"/>
        <w:tabs>
          <w:tab w:leader="none" w:pos="154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directed in writing by CEG, to waive any notice of any regular or special meeting of stockholders of the Company or any other notices due in respect of the Deposited Shares, (iii) if so directed in writing by CEG, to pledge as collateral all Deposited Shares in accordance with the terms and conditions set forth in this Agreement and (iv) to exercise all other voting rights and powers pertaining to ownership of the Deposited Shares. The right to vote shall include the right to vote for the election or removal of directors of the Company and in favor of or against any resolution or proposed action of any character whatsoever, which may be presented at any meeting or require the consent of stockholders of the Company, including, but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203200</wp:posOffset>
            </wp:positionV>
            <wp:extent cx="12344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620" w:right="459" w:hanging="360"/>
        <w:spacing w:after="0" w:line="238" w:lineRule="auto"/>
        <w:tabs>
          <w:tab w:leader="none" w:pos="1620"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Number of Initial Deposited Shares to equal the number of shares of Class B Common Stock necessary to cause the total relative voting power that CEG holds in the Company as of immediately following the Class A Conversion to equal the total relative voting power that CEG holds in the Company as of immediately prior to the Class A Conversion. Based on the number of outstanding shares of each class of common stock on March 19, 2026, and assuming such number of shares equals the number of shares of each such class of common stock outstanding immediately prior to the Class A Conversion, the number of Voting Trust Shares that would be deposited into the Voting Trust would equal 41,683,815 shares of Class B common stock.</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to, any proposed Change of Control. It is expressly understood and agreed that CEG shall not have any right, either under this Agreement or under any other agreement, express or implied, or otherwise, to vote the Deposited Shares or to take part in or consent to any corporate action of the Company, in each case solely with respect to the Deposited Shares.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the Trustee shall have no authority to Transfer or otherwise dispose of, convey any interest in or encumber any Deposited Shares. During the term hereof, CEG shall not have legal title to any part of the Deposited Shares and, except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shall not be entitled to Transfer any Deposited Shares. For the avoidance of doubt, the Trustee has no equitable, beneficial, reversionary, or contingent interest in the Deposited Shares, and no right to possess, use, encumber, pledge, or dispose of the Deposited Shares, except as expressly directed in writing by CEG or as otherwise set forth in this Agreement. As between the parties, all equitable and beneficial ownership of the Deposited Shares resides at all times in CEG. For the further avoidance of doubt, the Trustee’s creditors shall have recourse only to the Trustee’s own assets and not to the Deposited Shares; the Deposited Shares shall not be subject to attachment, levy, execution, or other process for the Trustee’s debts. The Trustee hereby subordinates any security interest, lien or other encumbrance against the Deposited Shares to the Secured Parties’ security interest and agrees not to exercise any right of recoupment, setoff or debit against the Deposited Shares.</w:t>
      </w:r>
    </w:p>
    <w:p>
      <w:pPr>
        <w:spacing w:after="0" w:line="325" w:lineRule="exact"/>
        <w:rPr>
          <w:sz w:val="20"/>
          <w:szCs w:val="20"/>
          <w:color w:val="auto"/>
        </w:rPr>
      </w:pPr>
    </w:p>
    <w:p>
      <w:pPr>
        <w:ind w:left="1900" w:hanging="280"/>
        <w:spacing w:after="0"/>
        <w:tabs>
          <w:tab w:leader="none" w:pos="1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Voting</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matter presented to the holders of the Voting Securities of the Company for a vote, including, without limitation, the election or removal of directors and any corporate action, whether ordinary or extraordinary (including any proposed Change of Control), the Trustee shall (i) in the case of a matter presented at any regular or special meeting of stockholders, be present, represented by proxy, at such meeting so that all Deposited Shares may be counted for purposes of determining the presence of a quorum at such meeting and (ii) vote the Deposited Shares in the same proportion as the votes cast by all holders of Voting Securities of the Company entitled to vote thereon (including, for the avoidance of doubt, CEG with respect to any Non-Trust CEG Shares), and the Trustee shall not exercise any voting discretion over the Deposited Shares. For purposes of this section, a “vote” shall include, with respect to the election of directors, a vote “for” and a vote to “withhold authority,” and with respect to any other matter, a vote “for”, “against” or “abstain.” For the avoidance of doubt, the Trustee shall not be required to attend any regular or special meeting of stockholders in person.</w:t>
      </w:r>
    </w:p>
    <w:p>
      <w:pPr>
        <w:spacing w:after="0" w:line="124"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34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action by written consent or consent solicitation in lieu of a meeting of stockholders, the Trustee shall execute and deliver to the Company a written consent with respect to the percentage of Deposited Shares in the same proportion as the consents received with respect to all outstanding Voting Securities of the Company (including, for the avoidance of doubt, any Non-Trust CEG Shares), and the Trustee shall not exercise any consent discretion over the Deposited Shares.</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3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such vote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written consent referred to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the Trustee shall in good faith consult with the Company to confirm the proportional allocation of votes or consents (including votes or consents “for,” “against,” “withhold authority” and “abstain,” as applicable) to be cast or delivered with respect to the Deposited Shares, as close in time to the applicable vote or consent as is reasonably practicable. Notwithstanding anything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to the contrary, the Trustee shall not be required to cast any vote or deliver any written consent with respect to the Deposited Shares until, following such consultation with the Company, the Company has provided the Trustee with a Written Direction setting forth the proportional allocation of votes or consents to be cast or delivered with respect to the Deposited Shares consistent with this Agreement. The Trustee (i) shall be entitled to conclusively rely on any such Written Direction from the Company that the Trustee reasonably and in good faith believes to be genuine and to have been signed by an authorized representative of the Company set forth on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as such exhibit may be updated from time to time (an “</w:t>
      </w:r>
      <w:r>
        <w:rPr>
          <w:rFonts w:ascii="Times New Roman" w:cs="Times New Roman" w:eastAsia="Times New Roman" w:hAnsi="Times New Roman"/>
          <w:sz w:val="18"/>
          <w:szCs w:val="18"/>
          <w:b w:val="1"/>
          <w:bCs w:val="1"/>
          <w:i w:val="1"/>
          <w:iCs w:val="1"/>
          <w:color w:val="auto"/>
        </w:rPr>
        <w:t>Authorized Representative of the Company</w:t>
      </w:r>
      <w:r>
        <w:rPr>
          <w:rFonts w:ascii="Times New Roman" w:cs="Times New Roman" w:eastAsia="Times New Roman" w:hAnsi="Times New Roman"/>
          <w:sz w:val="18"/>
          <w:szCs w:val="18"/>
          <w:color w:val="auto"/>
        </w:rPr>
        <w:t>”) and (ii) shall cast or deliver such votes or consents in accordance with such Written Direction.</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6" w:lineRule="auto"/>
        <w:tabs>
          <w:tab w:leader="none" w:pos="234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for any matter subject to a vote of, or an action by written consent or consent solicitation in lieu of a meeting of, the holders of the same class or series of Voting Securities as any Deposited Shares, voting separately as a class (and not together with one or more other classes or series of Voting Securities of the Company), the Trustee shall (x) vote (including a vote of “withhold” or “abstain” that may not constitute a “vote” under the applicable voting standard</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7" w:lineRule="auto"/>
        <w:rPr>
          <w:sz w:val="20"/>
          <w:szCs w:val="20"/>
          <w:color w:val="auto"/>
        </w:rPr>
      </w:pPr>
      <w:r>
        <w:rPr>
          <w:rFonts w:ascii="Times New Roman" w:cs="Times New Roman" w:eastAsia="Times New Roman" w:hAnsi="Times New Roman"/>
          <w:sz w:val="18"/>
          <w:szCs w:val="18"/>
          <w:color w:val="auto"/>
        </w:rPr>
        <w:t>required to approve the matter or elect the director nominee) the Deposited Shares corresponding to such class or series of Voting Securities, and shall take all necessary and appropriate action in order to ensure that such Deposited Shares are voted, or (y) deliver consent or not deliver consent, as the case may be, to such action with respect to the Deposited Shares corresponding to such class or series of Voting Securities, in each case, as a whole, in accordance with the corresponding Written Direction of the Company.</w:t>
      </w:r>
    </w:p>
    <w:p>
      <w:pPr>
        <w:spacing w:after="0" w:line="336" w:lineRule="exact"/>
        <w:rPr>
          <w:sz w:val="20"/>
          <w:szCs w:val="20"/>
          <w:color w:val="auto"/>
        </w:rPr>
      </w:pPr>
    </w:p>
    <w:p>
      <w:pPr>
        <w:ind w:left="1900" w:hanging="280"/>
        <w:spacing w:after="0"/>
        <w:tabs>
          <w:tab w:leader="none" w:pos="1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55" w:lineRule="exact"/>
        <w:rPr>
          <w:rFonts w:ascii="Times New Roman" w:cs="Times New Roman" w:eastAsia="Times New Roman" w:hAnsi="Times New Roman"/>
          <w:sz w:val="18"/>
          <w:szCs w:val="18"/>
          <w:color w:val="auto"/>
        </w:rPr>
      </w:pPr>
    </w:p>
    <w:p>
      <w:pPr>
        <w:ind w:left="1620" w:right="459" w:firstLine="360"/>
        <w:spacing w:after="0" w:line="257" w:lineRule="auto"/>
        <w:tabs>
          <w:tab w:leader="none" w:pos="233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Securities. </w:t>
      </w:r>
      <w:r>
        <w:rPr>
          <w:rFonts w:ascii="Times New Roman" w:cs="Times New Roman" w:eastAsia="Times New Roman" w:hAnsi="Times New Roman"/>
          <w:sz w:val="18"/>
          <w:szCs w:val="18"/>
          <w:color w:val="auto"/>
        </w:rPr>
        <w:t>Upon the declaration by the Company of any dividend or distribution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Deposited Shares that is paid in Voting Securities of the Company (including as a result of any stock dividend, stock split or similar event),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w:t>
      </w:r>
    </w:p>
    <w:p>
      <w:pPr>
        <w:spacing w:after="0" w:line="101" w:lineRule="exact"/>
        <w:rPr>
          <w:rFonts w:ascii="Times New Roman" w:cs="Times New Roman" w:eastAsia="Times New Roman" w:hAnsi="Times New Roman"/>
          <w:sz w:val="18"/>
          <w:szCs w:val="18"/>
          <w:color w:val="auto"/>
        </w:rPr>
      </w:pPr>
    </w:p>
    <w:p>
      <w:pPr>
        <w:ind w:left="1620" w:right="479" w:firstLine="360"/>
        <w:spacing w:after="0" w:line="255" w:lineRule="auto"/>
        <w:tabs>
          <w:tab w:leader="none" w:pos="234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Non-Voting Securities; Other Property. </w:t>
      </w:r>
      <w:r>
        <w:rPr>
          <w:rFonts w:ascii="Times New Roman" w:cs="Times New Roman" w:eastAsia="Times New Roman" w:hAnsi="Times New Roman"/>
          <w:sz w:val="18"/>
          <w:szCs w:val="18"/>
          <w:color w:val="auto"/>
        </w:rPr>
        <w:t>Upon the declaration by the Company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or distribution with respect to any Deposited Shares that is paid in cash, Non-Voting Securities or other property (other than Voting Securities), the Trustee shall take all reasonable actions, including instructing the Company and its transfer agent, to cause all such cash dividends, cash distributions, Non-Voting Securities or other property, as applicable, to be paid or delivered directly to CEG, in each case as if CEG itself held the Deposited Shares. CEG shall provide the Trustee with appropriate delivery instructions for such cash dividends, cash distributions, Non-Voting Securities or other property.</w:t>
      </w:r>
    </w:p>
    <w:p>
      <w:pPr>
        <w:spacing w:after="0" w:line="339" w:lineRule="exact"/>
        <w:rPr>
          <w:rFonts w:ascii="Times New Roman" w:cs="Times New Roman" w:eastAsia="Times New Roman" w:hAnsi="Times New Roman"/>
          <w:sz w:val="18"/>
          <w:szCs w:val="18"/>
          <w:color w:val="auto"/>
        </w:rPr>
      </w:pPr>
    </w:p>
    <w:p>
      <w:pPr>
        <w:ind w:left="1260" w:right="499" w:firstLine="360"/>
        <w:spacing w:after="0" w:line="254" w:lineRule="auto"/>
        <w:tabs>
          <w:tab w:leader="none" w:pos="19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of the Company</w:t>
      </w:r>
      <w:r>
        <w:rPr>
          <w:rFonts w:ascii="Times New Roman" w:cs="Times New Roman" w:eastAsia="Times New Roman" w:hAnsi="Times New Roman"/>
          <w:sz w:val="18"/>
          <w:szCs w:val="18"/>
          <w:color w:val="auto"/>
        </w:rPr>
        <w:t>. In the event of the dissolution or liquidation of the Company during the term of this Agreement in such manner as to entitle any holder of Deposited Shares to liquidating dividends or distributions, (i) the Trustee shall take all reasonable actions, including instructing the Company, its transfer agent, the liquidator or any other Person responsible for administering such dissolution or liquidation, to cause all such liquidating dividends or distributions to be paid or delivered directly to CEG as if CEG itself held such Deposited Shares and (ii) this Agreement shall thereafter automatically terminate and the Voting Trust shall cease and come to an end. CEG shall provide the Trustee with appropriate delivery instructions for such liquidating dividends or distributions.</w:t>
      </w:r>
    </w:p>
    <w:p>
      <w:pPr>
        <w:spacing w:after="0" w:line="124"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19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xml:space="preserve">. If in the case of any merger, consolidation, reorganization or other business combination involving the Company, the Trustee receives (a) any Non-Voting Securities, cash or other property in exchange for any Deposited Shares, the Trustee shall take all reasonable actions, including instructing the Company and its transfer agent, to cause all such Non-Voting Securities, cash or other property, as applicable, to be paid or delivered directly to CEG, in each case as if CEG itself held the Deposited Shares; or (b) Voting Securities in exchange for the Deposited Shares, CEG agrees that such Voting Securities shall, upon receipt thereof, (i) be retained by the Trustee in the Voting Trust for the benefit of CEG on the same terms as the Initial Deposited Shares and (ii) constitute “Deposited Shares” subject to all of the terms, rights, restrictions and obligations set forth in this Agreement applicable to Deposited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merger, consolidation, reorganization or business combination constitutes a Change of Control, then this Agreement shall terminate (and the Voting Trust shall cease and terminate) in accordance with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and the Trustee shall take all reasonable actions, including instructing the Company and its transfer agent, to cause all such Voting Securities to be delivered directly to CEG as if CEG itself held the Deposited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foregoing clause (b) shall not limit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CEG shall provide the Trustee with appropriate delivery instructions for such Non-Voting Securities, cash or other property.</w:t>
      </w:r>
    </w:p>
    <w:p>
      <w:pPr>
        <w:spacing w:after="0" w:line="330"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3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automatically terminate (and the Voting Trust shall cease and come to an end) upon the earliest of:</w:t>
      </w:r>
    </w:p>
    <w:p>
      <w:pPr>
        <w:spacing w:after="0" w:line="94"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w:t>
      </w:r>
    </w:p>
    <w:p>
      <w:pPr>
        <w:spacing w:after="0" w:line="144"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dissolution or liquidation of the Company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firstLine="360"/>
        <w:spacing w:after="0" w:line="258" w:lineRule="auto"/>
        <w:tabs>
          <w:tab w:leader="none" w:pos="2773"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Deposited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in which case this Agreement shall terminate (and the Voting Trust shall cease and come to an end) only with respect to the Deposited Shares so Transferred; or</w:t>
      </w:r>
    </w:p>
    <w:p>
      <w:pPr>
        <w:spacing w:after="0" w:line="101"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no Deposited Shares remain in the Voting Trust.</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CEG (or an Authorized Representative of CEG (as defined below)) shall provide the Trustee with written notice of the occurrence of any termination event described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 xml:space="preserve">. Upon termination of this Agreement and the Voting Trust (in whole or in part), the Trustee (i) shall take all actions necessary, and shall deliver all such instructions, instruments and documents as may be required, to cause any Deposited Shares remaining in the Voting Trust as of the effective time of such termination (or, in the case of a partial termination pursuant to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 xml:space="preserve">, any Deposited Shares that are Transferred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to be promptly registered in book-entry form in the name of CEG (or its nominee) on the stockholder register of the Company, free and clear of any legend or other notation referencing the Voting Trust or this Agreement, and (ii) shall use its reasonable best efforts to cooperate with CEG and the Company to ensure the prompt removal of any such legend or other notation from the records of the Company and its transfer agent. CEG shall provide the Trustee with appropriate registration instructions necessary for the Trustee to carry out its obligations under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Deposited Shares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subject to</w:t>
      </w:r>
    </w:p>
    <w:p>
      <w:pPr>
        <w:spacing w:after="0" w:line="27" w:lineRule="exact"/>
        <w:rPr>
          <w:sz w:val="20"/>
          <w:szCs w:val="20"/>
          <w:color w:val="auto"/>
        </w:rPr>
      </w:pPr>
    </w:p>
    <w:p>
      <w:pPr>
        <w:jc w:val="both"/>
        <w:ind w:left="1620" w:right="499"/>
        <w:spacing w:after="0" w:line="243" w:lineRule="auto"/>
        <w:rPr>
          <w:sz w:val="20"/>
          <w:szCs w:val="20"/>
          <w:color w:val="auto"/>
        </w:rPr>
      </w:pP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any other restrictions on transfer applicable to the Deposited Shares contained in the Amended Certificate, the Bylaws, or under applicable securities laws or otherwise, CEG shall have the right to cause the Trustee to Transfer Deposited Shares, for the benefit of CEG, if any of the following conditions are satisfied:</w:t>
      </w:r>
    </w:p>
    <w:p>
      <w:pPr>
        <w:spacing w:after="0" w:line="102" w:lineRule="exact"/>
        <w:rPr>
          <w:sz w:val="20"/>
          <w:szCs w:val="20"/>
          <w:color w:val="auto"/>
        </w:rPr>
      </w:pPr>
    </w:p>
    <w:p>
      <w:pPr>
        <w:ind w:left="1980" w:right="519" w:firstLine="360"/>
        <w:spacing w:after="0" w:line="245" w:lineRule="auto"/>
        <w:tabs>
          <w:tab w:leader="none" w:pos="26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Deposited Shares are being Transferred (x) in a bona fide transaction to any Person that is not a CEG Related Person, (y) as collateral securing a bona-fide debt financing of CEG or any of its Affiliates (a “</w:t>
      </w:r>
      <w:r>
        <w:rPr>
          <w:rFonts w:ascii="Times New Roman" w:cs="Times New Roman" w:eastAsia="Times New Roman" w:hAnsi="Times New Roman"/>
          <w:sz w:val="18"/>
          <w:szCs w:val="18"/>
          <w:b w:val="1"/>
          <w:bCs w:val="1"/>
          <w:i w:val="1"/>
          <w:iCs w:val="1"/>
          <w:color w:val="auto"/>
        </w:rPr>
        <w:t>Permitted Financing Transfer</w:t>
      </w:r>
      <w:r>
        <w:rPr>
          <w:rFonts w:ascii="Times New Roman" w:cs="Times New Roman" w:eastAsia="Times New Roman" w:hAnsi="Times New Roman"/>
          <w:sz w:val="18"/>
          <w:szCs w:val="18"/>
          <w:color w:val="auto"/>
        </w:rPr>
        <w:t>”) or (z) pursuant to any foreclosure or other process as a result of which any lender or agent in respect of any Permitted Financing Transfer takes or Transfers title to or otherwise acquires (or effects the Transfer of) ownership of, directly or indirectly, any Deposited Shares pledged pursuant to a Permitted Financing Transfer, including through a bankruptcy or other operation of law;</w:t>
      </w:r>
    </w:p>
    <w:p>
      <w:pPr>
        <w:spacing w:after="0" w:line="111" w:lineRule="exact"/>
        <w:rPr>
          <w:rFonts w:ascii="Times New Roman" w:cs="Times New Roman" w:eastAsia="Times New Roman" w:hAnsi="Times New Roman"/>
          <w:sz w:val="18"/>
          <w:szCs w:val="18"/>
          <w:color w:val="auto"/>
        </w:rPr>
      </w:pPr>
    </w:p>
    <w:p>
      <w:pPr>
        <w:ind w:left="1980" w:right="539" w:firstLine="360"/>
        <w:spacing w:after="0" w:line="243" w:lineRule="auto"/>
        <w:tabs>
          <w:tab w:leader="none" w:pos="2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Deposited Shares are being Transferred to a CEG Related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such Deposited Shares (A) shall be retained by the Trustee in the Voting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benefit of such CEG Related Person and (B) shall continue to constitute “Deposited Shares” subject to all of the terms, rights, restrictions and obligations set forth in this Agreement applicable to Deposited Shares, (y) such CEG Related Person shall, as a condition to such Transfer, execute and deliver to the Trustee a counterpart of this Agreement or a joinder or other written instrument in form and substance reasonably satisfactory to the Trustee pursuant to which such CEG Related Person agrees to be bound by all of the terms, rights, restrictions and obligations set forth in this Agreement as though it had been originally a party to this Agreement as a beneficiary of such Deposited Shares and (z) all other actions necessary to effectuate the substitution of such CEG Related Person for CEG as the beneficiary of such Deposited Shares under this Agreement and the Voting Trust shall have been taken;</w:t>
      </w:r>
    </w:p>
    <w:p>
      <w:pPr>
        <w:spacing w:after="0" w:line="119" w:lineRule="exact"/>
        <w:rPr>
          <w:rFonts w:ascii="Times New Roman" w:cs="Times New Roman" w:eastAsia="Times New Roman" w:hAnsi="Times New Roman"/>
          <w:sz w:val="18"/>
          <w:szCs w:val="18"/>
          <w:color w:val="auto"/>
        </w:rPr>
      </w:pPr>
    </w:p>
    <w:p>
      <w:pPr>
        <w:jc w:val="both"/>
        <w:ind w:left="1980" w:right="559" w:firstLine="360"/>
        <w:spacing w:after="0" w:line="258" w:lineRule="auto"/>
        <w:tabs>
          <w:tab w:leader="none" w:pos="27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tender offer made to all holders of the same class or series of securities as any Deposited Shares, CEG elects to tender any or all of such Deposited Shares in accordance with the terms of such tender offer;</w:t>
      </w:r>
    </w:p>
    <w:p>
      <w:pPr>
        <w:spacing w:after="0" w:line="101" w:lineRule="exact"/>
        <w:rPr>
          <w:rFonts w:ascii="Times New Roman" w:cs="Times New Roman" w:eastAsia="Times New Roman" w:hAnsi="Times New Roman"/>
          <w:sz w:val="18"/>
          <w:szCs w:val="18"/>
          <w:color w:val="auto"/>
        </w:rPr>
      </w:pPr>
    </w:p>
    <w:p>
      <w:pPr>
        <w:ind w:left="1980" w:right="719" w:firstLine="360"/>
        <w:spacing w:after="0" w:line="244" w:lineRule="auto"/>
        <w:tabs>
          <w:tab w:leader="none" w:pos="2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exchange offer made to all holders of the same class or series of securities as any Deposited Shares, CEG elects to tender any or all of such Deposited Shares in accordance with the terms of such exchange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Voting Securities of the Company received in such exchange offer as consideration for such tendered Deposited Shares shall, upon receipt thereof, (x) be retained by the Trustee in the Voting Trust for the benefit of CEG on</w:t>
      </w: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the same terms as the Initial Deposited Shares and (y) constitute “Deposited Shares” subject to all of the terms, rights, restrictions and obligations set forth in this Agreement applicable to Deposited Shares);</w:t>
      </w:r>
    </w:p>
    <w:p>
      <w:pPr>
        <w:spacing w:after="0" w:line="102" w:lineRule="exact"/>
        <w:rPr>
          <w:sz w:val="20"/>
          <w:szCs w:val="20"/>
          <w:color w:val="auto"/>
        </w:rPr>
      </w:pPr>
    </w:p>
    <w:p>
      <w:pPr>
        <w:ind w:left="1980" w:right="459" w:firstLine="360"/>
        <w:spacing w:after="0" w:line="244" w:lineRule="auto"/>
        <w:tabs>
          <w:tab w:leader="none" w:pos="270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 delivers to the Company and Clearway LLC an Election of Exchange (as defined in the Exchange Agreement) exercising its right, pursuant to the Exchange Agreement, to surrender Class B units of Clearway LLC (“</w:t>
      </w:r>
      <w:r>
        <w:rPr>
          <w:rFonts w:ascii="Times New Roman" w:cs="Times New Roman" w:eastAsia="Times New Roman" w:hAnsi="Times New Roman"/>
          <w:sz w:val="18"/>
          <w:szCs w:val="18"/>
          <w:b w:val="1"/>
          <w:bCs w:val="1"/>
          <w:i w:val="1"/>
          <w:iCs w:val="1"/>
          <w:color w:val="auto"/>
        </w:rPr>
        <w:t>Class B Units</w:t>
      </w:r>
      <w:r>
        <w:rPr>
          <w:rFonts w:ascii="Times New Roman" w:cs="Times New Roman" w:eastAsia="Times New Roman" w:hAnsi="Times New Roman"/>
          <w:sz w:val="18"/>
          <w:szCs w:val="18"/>
          <w:color w:val="auto"/>
        </w:rPr>
        <w:t>”) to Clearway LLC in exchange for the delivery to CEG of shares of Class C Common Stock (such exchange, a “</w:t>
      </w:r>
      <w:r>
        <w:rPr>
          <w:rFonts w:ascii="Times New Roman" w:cs="Times New Roman" w:eastAsia="Times New Roman" w:hAnsi="Times New Roman"/>
          <w:sz w:val="18"/>
          <w:szCs w:val="18"/>
          <w:b w:val="1"/>
          <w:bCs w:val="1"/>
          <w:i w:val="1"/>
          <w:iCs w:val="1"/>
          <w:color w:val="auto"/>
        </w:rPr>
        <w:t>Specified Exchange</w:t>
      </w:r>
      <w:r>
        <w:rPr>
          <w:rFonts w:ascii="Times New Roman" w:cs="Times New Roman" w:eastAsia="Times New Roman" w:hAnsi="Times New Roman"/>
          <w:sz w:val="18"/>
          <w:szCs w:val="18"/>
          <w:color w:val="auto"/>
        </w:rPr>
        <w:t>”), in which case,</w:t>
      </w:r>
    </w:p>
    <w:p>
      <w:pPr>
        <w:spacing w:after="0" w:line="1"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surrender by CEG of such Class B Units, the Trustee shall Transfer to</w:t>
      </w:r>
    </w:p>
    <w:p>
      <w:pPr>
        <w:spacing w:after="0" w:line="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Company a number of Deposited Shares equal to the number of Class B Units so surrendered,</w:t>
      </w:r>
    </w:p>
    <w:p>
      <w:pPr>
        <w:ind w:left="1980" w:right="419"/>
        <w:spacing w:after="0"/>
        <w:tabs>
          <w:tab w:leader="none" w:pos="2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Deposited Shares shall be subsequently cancelled in accordance with the terms of the Exchange Agreement and (z) the Trustee shall take all reasonable actions, including instructing the Company and its transfer agent, to cause all shares of Class C Common Stock issued in such Specified Exchange to be paid or delivered directly to CEG, in each case as if CEG itself held the Deposited Shares;</w:t>
      </w:r>
    </w:p>
    <w:p>
      <w:pPr>
        <w:spacing w:after="0" w:line="119"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acquisition of Deposited Shares by the Company or Clearway</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or</w:t>
      </w:r>
    </w:p>
    <w:p>
      <w:pPr>
        <w:spacing w:after="0" w:line="125"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Deposited Share Release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conditions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are satisfied, CEG may provide a Written Direction and notice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Transfer Notice</w:t>
      </w:r>
      <w:r>
        <w:rPr>
          <w:rFonts w:ascii="Times New Roman" w:cs="Times New Roman" w:eastAsia="Times New Roman" w:hAnsi="Times New Roman"/>
          <w:sz w:val="18"/>
          <w:szCs w:val="18"/>
          <w:color w:val="auto"/>
        </w:rPr>
        <w:t xml:space="preserve">”) to the Trustee certifying the applicable conditions to Transfer that have been satisfied and directing it to Transfer the Deposited Shares, in each case in accordance with the written instructions of CEG contained in the Transfer Notice. The Transfer Notice shall be determinative as to all matters of fact, including whether the conditions to Transfer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are satisfied, and the Trustee shall be entitled to conclusively rely without investigation on the Transfer Notice and any other written notice, document, instruction or request delivered by CEG with respect to such Transfer that the Trustee reasonably and in good faith believes to be genuine and to have been signed by an authorized representative of CEG set forth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as such exhibit may be updated from time to time (an “</w:t>
      </w:r>
      <w:r>
        <w:rPr>
          <w:rFonts w:ascii="Times New Roman" w:cs="Times New Roman" w:eastAsia="Times New Roman" w:hAnsi="Times New Roman"/>
          <w:sz w:val="18"/>
          <w:szCs w:val="18"/>
          <w:b w:val="1"/>
          <w:bCs w:val="1"/>
          <w:i w:val="1"/>
          <w:iCs w:val="1"/>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Representative of CEG</w:t>
      </w:r>
      <w:r>
        <w:rPr>
          <w:rFonts w:ascii="Times New Roman" w:cs="Times New Roman" w:eastAsia="Times New Roman" w:hAnsi="Times New Roman"/>
          <w:sz w:val="18"/>
          <w:szCs w:val="18"/>
          <w:color w:val="auto"/>
        </w:rPr>
        <w:t>”). Upon the delivery of a Transfer Notice, the Trustee shall take all 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necessary, and shall deliver all such instructions, instruments and documents as may be required, to promptly (but in no event later than two (2) Business Days following delivery of the Transfer Notice) cause such Transfer of such Deposited Shares in accordance with the written instructions contained in the Transfer Notice and to promptly transfer legal title to such Deposited Shares to the transferee, including, if applicable, by causing such Deposited Shares to be registered in book-entry form in the name of the transferee on the stockholder register of the Company, in each case (other than with respect to a Transfer effected pursuant to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free and clear of any legend or other notation referencing the Voting Trust or this Agreement. CEG shall provide the Trustee with appropriate registration instructions for the Transfer of any Deposited Shares. Upon completion of any Transfer of Deposited Shares permitted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38"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the proviso in </w:t>
      </w:r>
      <w:r>
        <w:rPr>
          <w:rFonts w:ascii="Times New Roman" w:cs="Times New Roman" w:eastAsia="Times New Roman" w:hAnsi="Times New Roman"/>
          <w:sz w:val="18"/>
          <w:szCs w:val="18"/>
          <w:u w:val="single" w:color="auto"/>
          <w:color w:val="auto"/>
        </w:rPr>
        <w:t>Section 11(a)(iv)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11(a)(v)</w:t>
      </w:r>
    </w:p>
    <w:p>
      <w:pPr>
        <w:spacing w:after="0" w:line="15" w:lineRule="exact"/>
        <w:rPr>
          <w:rFonts w:ascii="Times New Roman" w:cs="Times New Roman" w:eastAsia="Times New Roman" w:hAnsi="Times New Roman"/>
          <w:sz w:val="18"/>
          <w:szCs w:val="18"/>
          <w:color w:val="auto"/>
        </w:rPr>
      </w:pPr>
    </w:p>
    <w:p>
      <w:pPr>
        <w:ind w:left="2200" w:hanging="220"/>
        <w:spacing w:after="0"/>
        <w:tabs>
          <w:tab w:leader="none" w:pos="2200" w:val="left"/>
        </w:tabs>
        <w:numPr>
          <w:ilvl w:val="1"/>
          <w:numId w:val="1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the Trustee shall pay promptly the net proceeds from such Transfer to CEG;</w:t>
      </w:r>
    </w:p>
    <w:p>
      <w:pPr>
        <w:spacing w:after="0" w:line="124" w:lineRule="exact"/>
        <w:rPr>
          <w:rFonts w:ascii="Times New Roman" w:cs="Times New Roman" w:eastAsia="Times New Roman" w:hAnsi="Times New Roman"/>
          <w:sz w:val="18"/>
          <w:szCs w:val="18"/>
          <w:u w:val="single" w:color="auto"/>
          <w:color w:val="auto"/>
        </w:rPr>
      </w:pPr>
    </w:p>
    <w:p>
      <w:pPr>
        <w:ind w:left="2720" w:hanging="380"/>
        <w:spacing w:after="0"/>
        <w:tabs>
          <w:tab w:leader="none" w:pos="272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promptly notify the Company of such Transfer, if not previously</w:t>
      </w:r>
    </w:p>
    <w:p>
      <w:pPr>
        <w:spacing w:after="0" w:line="1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w:t>
      </w:r>
    </w:p>
    <w:p>
      <w:pPr>
        <w:spacing w:after="0" w:line="124" w:lineRule="exact"/>
        <w:rPr>
          <w:rFonts w:ascii="Times New Roman" w:cs="Times New Roman" w:eastAsia="Times New Roman" w:hAnsi="Times New Roman"/>
          <w:sz w:val="18"/>
          <w:szCs w:val="18"/>
          <w:color w:val="auto"/>
        </w:rPr>
      </w:pPr>
    </w:p>
    <w:p>
      <w:pPr>
        <w:ind w:left="1980" w:right="599" w:firstLine="360"/>
        <w:spacing w:after="0" w:line="282" w:lineRule="auto"/>
        <w:tabs>
          <w:tab w:leader="none" w:pos="2773"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immediately refrain from exercising any voting rights with respect to such Deposited Shares; and</w:t>
      </w:r>
    </w:p>
    <w:p>
      <w:pPr>
        <w:spacing w:after="0" w:line="80" w:lineRule="exact"/>
        <w:rPr>
          <w:rFonts w:ascii="Times New Roman" w:cs="Times New Roman" w:eastAsia="Times New Roman" w:hAnsi="Times New Roman"/>
          <w:sz w:val="18"/>
          <w:szCs w:val="18"/>
          <w:color w:val="auto"/>
        </w:rPr>
      </w:pPr>
    </w:p>
    <w:p>
      <w:pPr>
        <w:jc w:val="both"/>
        <w:ind w:left="1980" w:right="519" w:firstLine="360"/>
        <w:spacing w:after="0" w:line="250" w:lineRule="auto"/>
        <w:tabs>
          <w:tab w:leader="none" w:pos="27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such Deposited Shares shall no longer constitute “Deposited Shares” or be subject to any of the terms, rights, restrictions or obligations set forth in this Agreement applicable to Deposited Shares.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3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and subject to any other restrictions on transfer applicable to the Deposited Shares contained in the Amended Certificate, the Bylaws, or under applicable securities laws or otherwise, CEG shall not Transfer any Deposited</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 xml:space="preserve">Shares to any Person to the extent (but solely to the extent) that such Transfer, together with any other Transfers of Voting Securities of the Company by CEG or any CEG Related Person to such Person (but disregarding any other acquisitions of Voting Securities of the Company by such Person) in the same or a related series of transactions, would result in such Person (and any “group,” as that term is used in Rule 13d-3, of which such Person is then a party) being Transferred in such transaction(s) by CEG (including after giving effect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90% or more of the total voting power of the outstanding Voting Securities of the Company (such number of Voting Securities that would otherwise be so Transferred by CEG equal to the number of Voting Securities representing 90% or more of the total voting power of the outstanding Voting Securities of the Company, the “</w:t>
      </w:r>
      <w:r>
        <w:rPr>
          <w:rFonts w:ascii="Times New Roman" w:cs="Times New Roman" w:eastAsia="Times New Roman" w:hAnsi="Times New Roman"/>
          <w:sz w:val="18"/>
          <w:szCs w:val="18"/>
          <w:b w:val="1"/>
          <w:bCs w:val="1"/>
          <w:i w:val="1"/>
          <w:iCs w:val="1"/>
          <w:color w:val="auto"/>
        </w:rPr>
        <w:t>Excess Voting Securities</w:t>
      </w:r>
      <w:r>
        <w:rPr>
          <w:rFonts w:ascii="Times New Roman" w:cs="Times New Roman" w:eastAsia="Times New Roman" w:hAnsi="Times New Roman"/>
          <w:sz w:val="18"/>
          <w:szCs w:val="18"/>
          <w:color w:val="auto"/>
        </w:rPr>
        <w:t xml:space="preserve">”) that would permit such Person to effect a merger pursuant to Section 253 of the DGCL; provided, however, that the foregoing restriction on Transfers of Deposited Shares by CEG shall not apply if the applicable transferee either (a) agrees to enter into an agreement substantially on the same terms and conditions as set forth herein with respect to the Excess Voting Securities (substituting the transferee for CEG in respect of such Excess Voting Securities) or (b) otherwise agrees with the Company to not cause a merger of the Company pursuant to Section 253 of the DGCL using and in reliance on the Excess Voting Securities. Any Transfer or attempted Transfer of Deposited Shares in violation of this paragraph (c)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620" w:right="539" w:firstLine="360"/>
        <w:spacing w:after="0" w:line="245" w:lineRule="auto"/>
        <w:tabs>
          <w:tab w:leader="none" w:pos="234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in connection with any Transfer of Deposited Shares permitted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would otherwise be free and clear of any legend or other notation referencing the Voting Trust, CEG may elect, in its sole and absolute discretion, by prior written notice to the Trustee and the Company, to instead Transfer such Deposited Shares subject to the Voting Trust, in which case, the Trustee and the transferee shall enter into an agreement on substantially the same terms and conditions as set forth herein with respect to such Deposited Shares (substituting the transferee for CEG in respect of such Deposited Shares).</w:t>
      </w:r>
    </w:p>
    <w:p>
      <w:pPr>
        <w:spacing w:after="0" w:line="113"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Issuances; Deposited Share Release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33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issues one or more shares of Class C Common Stock (other than to CEG or a CEG Related Person) following the Effective Time (each such issuance, a “</w:t>
      </w:r>
      <w:r>
        <w:rPr>
          <w:rFonts w:ascii="Times New Roman" w:cs="Times New Roman" w:eastAsia="Times New Roman" w:hAnsi="Times New Roman"/>
          <w:sz w:val="18"/>
          <w:szCs w:val="18"/>
          <w:b w:val="1"/>
          <w:bCs w:val="1"/>
          <w:i w:val="1"/>
          <w:iCs w:val="1"/>
          <w:color w:val="auto"/>
        </w:rPr>
        <w:t>Specified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Issuance</w:t>
      </w:r>
      <w:r>
        <w:rPr>
          <w:rFonts w:ascii="Times New Roman" w:cs="Times New Roman" w:eastAsia="Times New Roman" w:hAnsi="Times New Roman"/>
          <w:sz w:val="18"/>
          <w:szCs w:val="18"/>
          <w:color w:val="auto"/>
        </w:rPr>
        <w:t>”), CEG may provide a written notice to the Trustee in the form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such notice, an “</w:t>
      </w:r>
      <w:r>
        <w:rPr>
          <w:rFonts w:ascii="Times New Roman" w:cs="Times New Roman" w:eastAsia="Times New Roman" w:hAnsi="Times New Roman"/>
          <w:sz w:val="18"/>
          <w:szCs w:val="18"/>
          <w:b w:val="1"/>
          <w:bCs w:val="1"/>
          <w:i w:val="1"/>
          <w:iCs w:val="1"/>
          <w:color w:val="auto"/>
        </w:rPr>
        <w:t>SSI Release Notice</w:t>
      </w:r>
      <w:r>
        <w:rPr>
          <w:rFonts w:ascii="Times New Roman" w:cs="Times New Roman" w:eastAsia="Times New Roman" w:hAnsi="Times New Roman"/>
          <w:sz w:val="18"/>
          <w:szCs w:val="18"/>
          <w:color w:val="auto"/>
        </w:rPr>
        <w:t>”) that (i) advises the Trustee of such Specified Share Issuance and the number of shares of Class C Common Stock issued in such Specified Share Issuance,</w:t>
      </w:r>
    </w:p>
    <w:p>
      <w:pPr>
        <w:spacing w:after="0" w:line="3" w:lineRule="exact"/>
        <w:rPr>
          <w:rFonts w:ascii="Times New Roman" w:cs="Times New Roman" w:eastAsia="Times New Roman" w:hAnsi="Times New Roman"/>
          <w:sz w:val="18"/>
          <w:szCs w:val="18"/>
          <w:color w:val="auto"/>
        </w:rPr>
      </w:pPr>
    </w:p>
    <w:p>
      <w:pPr>
        <w:ind w:left="1620" w:right="5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directs the Trustee to effect an SSI Deposited Share Release (as defined below) in accordance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The Trustee shall, as soon as reasonably practicable following receipt of an SSI Release Notice, cause Deposited Shares to be released from the Voting Trust to CEG (each such release, an “</w:t>
      </w:r>
      <w:r>
        <w:rPr>
          <w:rFonts w:ascii="Times New Roman" w:cs="Times New Roman" w:eastAsia="Times New Roman" w:hAnsi="Times New Roman"/>
          <w:sz w:val="18"/>
          <w:szCs w:val="18"/>
          <w:b w:val="1"/>
          <w:bCs w:val="1"/>
          <w:i w:val="1"/>
          <w:iCs w:val="1"/>
          <w:color w:val="auto"/>
        </w:rPr>
        <w:t>SSI Deposited Share Release</w:t>
      </w:r>
      <w:r>
        <w:rPr>
          <w:rFonts w:ascii="Times New Roman" w:cs="Times New Roman" w:eastAsia="Times New Roman" w:hAnsi="Times New Roman"/>
          <w:sz w:val="18"/>
          <w:szCs w:val="18"/>
          <w:color w:val="auto"/>
        </w:rPr>
        <w:t xml:space="preserve">”) in an amount calculated by CEG pursuant to the formula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which calculation is intended to cause the total voting power that CEG holds with respect to the outstanding Voting Securities of the Company as of immediately following such Specified Share Issuance and SSI Deposited Share Release to equal the Hypothetical Baseline Voting Power.</w:t>
      </w:r>
    </w:p>
    <w:p>
      <w:pPr>
        <w:spacing w:after="0" w:line="125"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following the Effective Time, the Company issues one or more shares of Voting Securities (other than Class C Common Stock) (other than to CEG or a CEG Related Person), or takes any other corporate action affecting the total voting power of CEG relative to the other stockholders of the Company (each such issuance or corporate action, a “</w:t>
      </w:r>
      <w:r>
        <w:rPr>
          <w:rFonts w:ascii="Times New Roman" w:cs="Times New Roman" w:eastAsia="Times New Roman" w:hAnsi="Times New Roman"/>
          <w:sz w:val="18"/>
          <w:szCs w:val="18"/>
          <w:b w:val="1"/>
          <w:bCs w:val="1"/>
          <w:i w:val="1"/>
          <w:iCs w:val="1"/>
          <w:color w:val="auto"/>
        </w:rPr>
        <w:t>Specified Corporate Action</w:t>
      </w:r>
      <w:r>
        <w:rPr>
          <w:rFonts w:ascii="Times New Roman" w:cs="Times New Roman" w:eastAsia="Times New Roman" w:hAnsi="Times New Roman"/>
          <w:sz w:val="18"/>
          <w:szCs w:val="18"/>
          <w:color w:val="auto"/>
        </w:rPr>
        <w:t xml:space="preserve">”), CEG may provide a written notice to the Trustee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such notice, an “</w:t>
      </w:r>
      <w:r>
        <w:rPr>
          <w:rFonts w:ascii="Times New Roman" w:cs="Times New Roman" w:eastAsia="Times New Roman" w:hAnsi="Times New Roman"/>
          <w:sz w:val="18"/>
          <w:szCs w:val="18"/>
          <w:b w:val="1"/>
          <w:bCs w:val="1"/>
          <w:i w:val="1"/>
          <w:iCs w:val="1"/>
          <w:color w:val="auto"/>
        </w:rPr>
        <w:t>SCA Release Notice</w:t>
      </w:r>
      <w:r>
        <w:rPr>
          <w:rFonts w:ascii="Times New Roman" w:cs="Times New Roman" w:eastAsia="Times New Roman" w:hAnsi="Times New Roman"/>
          <w:sz w:val="18"/>
          <w:szCs w:val="18"/>
          <w:color w:val="auto"/>
        </w:rPr>
        <w:t>”) that (i) advises the Trustee of such Specified Corporate Action,</w:t>
      </w:r>
    </w:p>
    <w:p>
      <w:pPr>
        <w:spacing w:after="0" w:line="5" w:lineRule="exact"/>
        <w:rPr>
          <w:rFonts w:ascii="Times New Roman" w:cs="Times New Roman" w:eastAsia="Times New Roman" w:hAnsi="Times New Roman"/>
          <w:sz w:val="18"/>
          <w:szCs w:val="18"/>
          <w:color w:val="auto"/>
        </w:rPr>
      </w:pPr>
    </w:p>
    <w:p>
      <w:pPr>
        <w:ind w:left="162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directs the Trustee to effect an SCA Deposited Share Release (as defined below) in accordance with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The Trustee shall, as soon as reasonably practicable following receipt of an SCA Release Notice, cause Deposited Shares to be released from the Voting Trust to CEG (each such release, an “</w:t>
      </w:r>
      <w:r>
        <w:rPr>
          <w:rFonts w:ascii="Times New Roman" w:cs="Times New Roman" w:eastAsia="Times New Roman" w:hAnsi="Times New Roman"/>
          <w:sz w:val="18"/>
          <w:szCs w:val="18"/>
          <w:b w:val="1"/>
          <w:bCs w:val="1"/>
          <w:i w:val="1"/>
          <w:iCs w:val="1"/>
          <w:color w:val="auto"/>
        </w:rPr>
        <w:t>SCA Deposited Share Release</w:t>
      </w:r>
      <w:r>
        <w:rPr>
          <w:rFonts w:ascii="Times New Roman" w:cs="Times New Roman" w:eastAsia="Times New Roman" w:hAnsi="Times New Roman"/>
          <w:sz w:val="18"/>
          <w:szCs w:val="18"/>
          <w:color w:val="auto"/>
        </w:rPr>
        <w:t>”) in an amount calculated by CEG that would cause the total voting power that CEG holds with respect to the outstanding Voting Securities of the Company as of immediately following such Specified Corporate Action and SCA Deposited Share Release to equal the Hypothetical Baseline Voting Power.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47" w:lineRule="auto"/>
        <w:tabs>
          <w:tab w:leader="none" w:pos="233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following the Effective Time, CEG effects a Specified Exchange, CEG may provide a written notice to the Trustee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such notice, a “</w:t>
      </w:r>
      <w:r>
        <w:rPr>
          <w:rFonts w:ascii="Times New Roman" w:cs="Times New Roman" w:eastAsia="Times New Roman" w:hAnsi="Times New Roman"/>
          <w:sz w:val="18"/>
          <w:szCs w:val="18"/>
          <w:b w:val="1"/>
          <w:bCs w:val="1"/>
          <w:i w:val="1"/>
          <w:iCs w:val="1"/>
          <w:color w:val="auto"/>
        </w:rPr>
        <w:t>Specified Exchange Release Notice</w:t>
      </w:r>
      <w:r>
        <w:rPr>
          <w:rFonts w:ascii="Times New Roman" w:cs="Times New Roman" w:eastAsia="Times New Roman" w:hAnsi="Times New Roman"/>
          <w:sz w:val="18"/>
          <w:szCs w:val="18"/>
          <w:color w:val="auto"/>
        </w:rPr>
        <w:t>”, and together with an SSI Release Notice and SCA Release Notice, each a “</w:t>
      </w:r>
      <w:r>
        <w:rPr>
          <w:rFonts w:ascii="Times New Roman" w:cs="Times New Roman" w:eastAsia="Times New Roman" w:hAnsi="Times New Roman"/>
          <w:sz w:val="18"/>
          <w:szCs w:val="18"/>
          <w:b w:val="1"/>
          <w:bCs w:val="1"/>
          <w:i w:val="1"/>
          <w:iCs w:val="1"/>
          <w:color w:val="auto"/>
        </w:rPr>
        <w:t>Deposited Share Release Notice</w:t>
      </w:r>
      <w:r>
        <w:rPr>
          <w:rFonts w:ascii="Times New Roman" w:cs="Times New Roman" w:eastAsia="Times New Roman" w:hAnsi="Times New Roman"/>
          <w:sz w:val="18"/>
          <w:szCs w:val="18"/>
          <w:color w:val="auto"/>
        </w:rPr>
        <w:t>”) that (i) advises the Trustee of such Specified Exchange,</w:t>
      </w:r>
    </w:p>
    <w:p>
      <w:pPr>
        <w:spacing w:after="0" w:line="3" w:lineRule="exact"/>
        <w:rPr>
          <w:rFonts w:ascii="Times New Roman" w:cs="Times New Roman" w:eastAsia="Times New Roman" w:hAnsi="Times New Roman"/>
          <w:sz w:val="18"/>
          <w:szCs w:val="18"/>
          <w:color w:val="auto"/>
        </w:rPr>
      </w:pPr>
    </w:p>
    <w:p>
      <w:pPr>
        <w:ind w:left="1620" w:right="419"/>
        <w:spacing w:after="0" w:line="241" w:lineRule="auto"/>
        <w:tabs>
          <w:tab w:leader="none" w:pos="19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directs the Trustee to effect a Specified Exchange Deposited Share Release (as defined below) in accordance with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and (iii) sets forth the calculation of the number of Deposited Shares to be released in accordance with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The Trustee shall, as soon as reasonably practicable following receipt of a Specified Exchange Release Notice, cause Deposited Shares to be released from the Voting Trust to CEG (each such release, a “</w:t>
      </w:r>
      <w:r>
        <w:rPr>
          <w:rFonts w:ascii="Times New Roman" w:cs="Times New Roman" w:eastAsia="Times New Roman" w:hAnsi="Times New Roman"/>
          <w:sz w:val="18"/>
          <w:szCs w:val="18"/>
          <w:b w:val="1"/>
          <w:bCs w:val="1"/>
          <w:i w:val="1"/>
          <w:iCs w:val="1"/>
          <w:color w:val="auto"/>
        </w:rPr>
        <w:t>Specified Exchange Deposited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together with an SSI Deposited Share Release and SCA Deposited Share Release, each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Deposited Share Release</w:t>
      </w:r>
      <w:r>
        <w:rPr>
          <w:rFonts w:ascii="Times New Roman" w:cs="Times New Roman" w:eastAsia="Times New Roman" w:hAnsi="Times New Roman"/>
          <w:sz w:val="18"/>
          <w:szCs w:val="18"/>
          <w:color w:val="auto"/>
        </w:rPr>
        <w:t>”) in an amount calculated by CEG that would cause the total voting power that CEG holds with respect to the outstanding Voting Securities of the Company as of immediately following such Specified Exchange and Specified Exchange Deposited Share Release to equal the Hypothetical Baseline Voting Power.</w:t>
      </w:r>
    </w:p>
    <w:p>
      <w:pPr>
        <w:spacing w:after="0" w:line="117"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4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Deposited Share Release Notice shall be determinative as to all matters of fact, including with respect to the number of shares of Class C Common Stock or other Voting Securities issued in any Specified Share Issuance or Specified Corporate Action, as applicable, and the calculation of the number of Deposited Shares to be released, and the Trustee shall be entitled to conclusively rely without investigation on the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The Trustee shall take all actions necessary, and shall deliver all such instructions, instruments and documents as may be required, to effect any such Deposited Share Release in accordance with the Deposited Share Release Notice and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to promptly transfer legal title to such Deposited Shares to CEG, including, if applicable, by causing such Deposited Shares to be registered in book-entry form in the name of CEG (or its nominee) on the stockholder register of the Company, in each case, free and clear of any legend or other notation referencing the Voting Trust or this Agreement. CEG shall provide the Trustee with appropriate registration instructions necessary for the Trustee to carry out its obligations under the preceding sentence. For the avoidance of doubt, the Trustee shall have no duty or obligation to make any calculations in connection with a Deposited Share Release.</w:t>
      </w:r>
    </w:p>
    <w:p>
      <w:pPr>
        <w:spacing w:after="0" w:line="332"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any Deposited Share Release, any Deposited Shares so released from the Voting Trust shall no longer constitute “Deposited Shares” or be subject to any of the terms, rights, restrictions or obligations set forth in this Agreement applicable to Deposited Shares.</w:t>
      </w:r>
    </w:p>
    <w:p>
      <w:pPr>
        <w:spacing w:after="0" w:line="95" w:lineRule="exact"/>
        <w:rPr>
          <w:sz w:val="20"/>
          <w:szCs w:val="20"/>
          <w:color w:val="auto"/>
        </w:rPr>
      </w:pPr>
    </w:p>
    <w:p>
      <w:pPr>
        <w:ind w:left="1260" w:right="419" w:firstLine="360"/>
        <w:spacing w:after="0" w:line="252" w:lineRule="auto"/>
        <w:tabs>
          <w:tab w:leader="none" w:pos="200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xml:space="preserve">. In the event any securities of the Company are offered for subscription to the Trustee in its capacity as holder of Deposited Shares, through options, rights or otherwise, the Trustee shall, as soon as reasonably practicable following its receipt of notice of such offer, deliver a copy thereof to CEG. If the subscription offer consists of Non-Voting Securities of the Company, then CEG shall be entitled to subscribe to such offer directly. If the subscription offer consists of Voting Securities of the Company, then (and without limiting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(i) upon receipt by the Trustee, on or before the last day fixed by the Company for subscription and payment, of a written request from CEG to subscribe for such securities on its behalf, accompanied by the sum of money required to pay for such securities, the Trustee shall make such subscription and payment subject to the terms and conditions of the subscription offer and (ii) all such Voting Securities issued by the Company in connection with such subscription shall, upon receipt thereof,</w:t>
      </w:r>
    </w:p>
    <w:p>
      <w:pPr>
        <w:spacing w:after="0" w:line="5" w:lineRule="exact"/>
        <w:rPr>
          <w:rFonts w:ascii="Times New Roman" w:cs="Times New Roman" w:eastAsia="Times New Roman" w:hAnsi="Times New Roman"/>
          <w:sz w:val="18"/>
          <w:szCs w:val="18"/>
          <w:color w:val="auto"/>
        </w:rPr>
      </w:pPr>
    </w:p>
    <w:p>
      <w:pPr>
        <w:ind w:left="1260" w:right="659"/>
        <w:spacing w:after="0" w:line="255" w:lineRule="auto"/>
        <w:tabs>
          <w:tab w:leader="none" w:pos="152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retained by the Trustee in the Voting Trust for the benefit of CEG on the same terms as the Initial Deposited Shares and (y) constitute “Deposited Shares” subject to all of the terms, rights, restrictions and obligations set forth in this Agreement applicable to Deposited Shares.</w:t>
      </w:r>
    </w:p>
    <w:p>
      <w:pPr>
        <w:spacing w:after="0" w:line="118" w:lineRule="exact"/>
        <w:rPr>
          <w:rFonts w:ascii="Times New Roman" w:cs="Times New Roman" w:eastAsia="Times New Roman" w:hAnsi="Times New Roman"/>
          <w:sz w:val="18"/>
          <w:szCs w:val="18"/>
          <w:color w:val="auto"/>
        </w:rPr>
      </w:pPr>
    </w:p>
    <w:p>
      <w:pPr>
        <w:ind w:left="1260" w:right="539" w:firstLine="360"/>
        <w:spacing w:after="0" w:line="256" w:lineRule="auto"/>
        <w:tabs>
          <w:tab w:leader="none" w:pos="200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Adjustments</w:t>
      </w:r>
      <w:r>
        <w:rPr>
          <w:rFonts w:ascii="Times New Roman" w:cs="Times New Roman" w:eastAsia="Times New Roman" w:hAnsi="Times New Roman"/>
          <w:sz w:val="18"/>
          <w:szCs w:val="18"/>
          <w:color w:val="auto"/>
        </w:rPr>
        <w:t>. The number and type of Deposited Shares, and the formulas set forth in this Agreement and the Exhibits attached hereto, shall be adjusted accordingly to preserve the intent of this Agreement in the event of any (i) subdivision (by any stock split, stock dividend, stock distribution, reclassification, reorganization, recapitalization or otherwise) or (ii) combination (by reverse stock split, reclassification, reorganization, recapitalization or otherwise) of any class or series of Voting Securities of the Company. CEG shall monitor whether any such adjustments to the number or type of Deposited Shares</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spacing w:after="0" w:line="258" w:lineRule="auto"/>
        <w:rPr>
          <w:sz w:val="20"/>
          <w:szCs w:val="20"/>
          <w:color w:val="auto"/>
        </w:rPr>
      </w:pPr>
      <w:r>
        <w:rPr>
          <w:rFonts w:ascii="Times New Roman" w:cs="Times New Roman" w:eastAsia="Times New Roman" w:hAnsi="Times New Roman"/>
          <w:sz w:val="18"/>
          <w:szCs w:val="18"/>
          <w:color w:val="auto"/>
        </w:rPr>
        <w:t xml:space="preserve">or the formulas set forth in this Agreement may be required and, in the event CEG determines that any such adjustment is necessary, CEG shall notify the Trustee of the required adjustment and,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provide an amendment to this Agreement addressing any such change.</w:t>
      </w:r>
    </w:p>
    <w:p>
      <w:pPr>
        <w:spacing w:after="0" w:line="102" w:lineRule="exact"/>
        <w:rPr>
          <w:sz w:val="20"/>
          <w:szCs w:val="20"/>
          <w:color w:val="auto"/>
        </w:rPr>
      </w:pPr>
    </w:p>
    <w:p>
      <w:pPr>
        <w:ind w:left="1260" w:right="479" w:firstLine="360"/>
        <w:spacing w:after="0" w:line="244" w:lineRule="auto"/>
        <w:tabs>
          <w:tab w:leader="none" w:pos="20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of the Trustee</w:t>
      </w:r>
      <w:r>
        <w:rPr>
          <w:rFonts w:ascii="Times New Roman" w:cs="Times New Roman" w:eastAsia="Times New Roman" w:hAnsi="Times New Roman"/>
          <w:sz w:val="18"/>
          <w:szCs w:val="18"/>
          <w:color w:val="auto"/>
        </w:rPr>
        <w:t xml:space="preserve">. CEG agrees to pay to the Trustee the fees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as compensation for all services rendered by the Trustee under this Agreement. The Trustee shall have the right to incur and pay such reasonable expenses and charges and to employ and pay such agents, attorneys and counsel as it may deem necessary and proper in connection with the performance of the services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prior written approval of CEG, the Trustee shall not incur expenses and charges in excess of $50,000 in the aggregate. CEG shall reimburse any such reasonable, documented expenses or charges incurred by and due to the Trustee, except any expense or charge as may be attributable to the Trustee’s gross negligence or willful misconduct. The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the termination of this Agreement and the resignation or removal of the Trustee.</w:t>
      </w:r>
    </w:p>
    <w:p>
      <w:pPr>
        <w:spacing w:after="0" w:line="117"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Removal; Successor Trustee</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620" w:right="479" w:firstLine="360"/>
        <w:spacing w:after="0" w:line="246" w:lineRule="auto"/>
        <w:tabs>
          <w:tab w:leader="none" w:pos="233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(and any Successor Trustee (as defined below)) may at any time resign by notifying CEG in writing of such resignation, which shall take effect 30 days thereafter or upon the earlier acceptance thereof by CEG;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resignation shall become effective until a Successor Trustee has been appointed and has accepted such appointment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CEG may also, at any time upon (i) 30 days’ prior written notice or (ii) the liquidation, dissolution, winding-up, suspension or incapacity of the Trustee, cause the removal and replacement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or replacement shall become effective until a Successor Trustee has been appointed and has accepted such appointment in accordance with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4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upon the resignation, removal, replacement, liquidation, dissolution, winding-up, suspension, incapacity or disqualification (as described below) of any Trustee, CEG shall promptly appoint a successor Trustee at a firm nationally recognized for providing trustee services (a “</w:t>
      </w:r>
      <w:r>
        <w:rPr>
          <w:rFonts w:ascii="Times New Roman" w:cs="Times New Roman" w:eastAsia="Times New Roman" w:hAnsi="Times New Roman"/>
          <w:sz w:val="18"/>
          <w:szCs w:val="18"/>
          <w:b w:val="1"/>
          <w:bCs w:val="1"/>
          <w:i w:val="1"/>
          <w:iCs w:val="1"/>
          <w:color w:val="auto"/>
        </w:rPr>
        <w:t>Successor Trustee</w:t>
      </w:r>
      <w:r>
        <w:rPr>
          <w:rFonts w:ascii="Times New Roman" w:cs="Times New Roman" w:eastAsia="Times New Roman" w:hAnsi="Times New Roman"/>
          <w:sz w:val="18"/>
          <w:szCs w:val="18"/>
          <w:color w:val="auto"/>
        </w:rPr>
        <w:t>”). If no Successor Trustee shall have been appointed and shall have accepted such appointment within 30 days of such resignation, removal, replacement, liquidation, dissolution, winding-up, suspension or incapacity, the Trustee to resign or to be removed or replaced may, at the expense of CEG, petition any court of competent jurisdiction for the appointment of a Successor Trustee.</w:t>
      </w:r>
    </w:p>
    <w:p>
      <w:pPr>
        <w:spacing w:after="0" w:line="328"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(i) files or has filed against it a petition under any bankruptcy or insolvency law; (ii) makes a general assignment for the benefit of creditors; (iii) has a receiver, interim trustee, or similar officer appointed for substantially all of its assets; or (iv) admits in writing an inability to pay its debts as they become due (each, a “</w:t>
      </w:r>
      <w:r>
        <w:rPr>
          <w:rFonts w:ascii="Times New Roman" w:cs="Times New Roman" w:eastAsia="Times New Roman" w:hAnsi="Times New Roman"/>
          <w:sz w:val="18"/>
          <w:szCs w:val="18"/>
          <w:b w:val="1"/>
          <w:bCs w:val="1"/>
          <w:i w:val="1"/>
          <w:iCs w:val="1"/>
          <w:color w:val="auto"/>
        </w:rPr>
        <w:t>Trustee Insolvency Event</w:t>
      </w:r>
      <w:r>
        <w:rPr>
          <w:rFonts w:ascii="Times New Roman" w:cs="Times New Roman" w:eastAsia="Times New Roman" w:hAnsi="Times New Roman"/>
          <w:sz w:val="18"/>
          <w:szCs w:val="18"/>
          <w:color w:val="auto"/>
        </w:rPr>
        <w:t>”), then, effective immediately upon the occurrence of such Trustee Insolvency Event and without the requirement for any further act by the Trustee or CEG: (A) the Trustee’s fiduciary office shall terminate; and (B) legal title to the Deposited Shares as trust property shall automatically vest in a Successor Trustee, subject only to CEG’s equitable ownership and free of any claim of the Trustee’s estate or creditors, to the fullest extent permitted by 11 U.S.C. § 541(d) and applicable law. The parties intend that, for all purposes under 11 U.S.C. § 541(d) and similar state and/or federal law, the Trustee holds only bare legal title to the Deposited Shares, and the Trustee’s bankruptcy estate shall acquire no equitable interest therein. Without limiting the foregoing, if any court of competent jurisdiction determines that the Trustee’s estate acquired any interest in the Deposited Shares, such interest shall be held in constructive trust for a Successor Trustee and promptly conveyed to the Successor Trustee. Upon any Trustee Insolvency Event, to the extent necessary, the Trustee shall promptly execute and deliver all instruments reasonably requested by a Successor Trustee or CEG, as applicable, to evidence, perfect, or record vesting of legal title to the Deposited Shares in the Successor Trustee, including deeds, assignments, and UCC filings. To ensure effectiveness if the Trustee fails or is unable to act, the Trustee hereby grants CEG an irrevocable power of attorney, coupled-with-an-interest, to execute, acknowledge, and deliver, in the name and stead of the Trustee, any instrument necessary to effect or evidence such transfer or perfection of the Deposited Shares.</w:t>
      </w:r>
    </w:p>
    <w:p>
      <w:pPr>
        <w:spacing w:after="0" w:line="325" w:lineRule="exact"/>
        <w:rPr>
          <w:rFonts w:ascii="Times New Roman" w:cs="Times New Roman" w:eastAsia="Times New Roman" w:hAnsi="Times New Roman"/>
          <w:sz w:val="18"/>
          <w:szCs w:val="18"/>
          <w:color w:val="auto"/>
        </w:rPr>
      </w:pPr>
    </w:p>
    <w:p>
      <w:pPr>
        <w:ind w:left="1620" w:right="479" w:firstLine="360"/>
        <w:spacing w:after="0" w:line="251" w:lineRule="auto"/>
        <w:tabs>
          <w:tab w:leader="none" w:pos="234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appointed as a Successor Trustee if such Person is CEG or a CEG Related Person. In addition, any Person shall be disqualified from serving as a Trustee effective immediately upon the occurrence of any event causing such Trustee to be a CEG Related Person. Upon the disqualification of the Trustee or any Successor Trustee, such Trustee shall immediately cease to be a Trustee.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19" w:firstLine="360"/>
        <w:spacing w:after="0" w:line="258" w:lineRule="auto"/>
        <w:tabs>
          <w:tab w:leader="none" w:pos="232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as herein provided shall indicate its acceptance of such appointment by signing a counterpart of this Agreement and upon the filing by the Trustee of such counterpart at the principal business office of the Company, such successor shall be vested with all the rights, powers, duties and immunities herein conferred upon the Trustee as though such successor had been originally a party to this Agreement as a Trustee.</w:t>
      </w:r>
    </w:p>
    <w:p>
      <w:pPr>
        <w:spacing w:after="0" w:line="115"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and Indemnification of the Trustee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519" w:firstLine="360"/>
        <w:spacing w:after="0" w:line="256" w:lineRule="auto"/>
        <w:tabs>
          <w:tab w:leader="none" w:pos="233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 or omission as Trustee hereunder taken or omitted in good faith and without gross negligence or willful misconduct, including acting upon any signature, instrument, notice, resolution, request, consent, order or certificate or other written documentation reasonably and in good faith believed by the Trustee to be genuine and signed by the proper party or parties thereto. The Trustee shall not be responsible for any act or omission by any predecessor or successor Trustee.</w:t>
      </w:r>
    </w:p>
    <w:p>
      <w:pPr>
        <w:spacing w:after="0" w:line="106" w:lineRule="exact"/>
        <w:rPr>
          <w:rFonts w:ascii="Times New Roman" w:cs="Times New Roman" w:eastAsia="Times New Roman" w:hAnsi="Times New Roman"/>
          <w:sz w:val="18"/>
          <w:szCs w:val="18"/>
          <w:color w:val="auto"/>
        </w:rPr>
      </w:pPr>
    </w:p>
    <w:p>
      <w:pPr>
        <w:ind w:left="1620" w:right="439" w:firstLine="360"/>
        <w:spacing w:after="0" w:line="254" w:lineRule="auto"/>
        <w:tabs>
          <w:tab w:leader="none" w:pos="234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 shall indemnify, defend and hold harmless the Trustee and its Affiliates and their respective directors, officers, employees and agents (collectively,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from and against all costs, charges, losses, liabilities, actions, suits, damages and expenses (including reasonable attorneys’ fees and attorneys’ fees and expenses incurred in connection with enforcement of its rights hereunder) and disbursements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incurred by the Indemnified Parties relating to or arising from (i) the administration of this Voting Trust in accordance with this Agreement, (ii) the exercise of any power conferred upon the Trustee by this Agreement or (iii) CEG’s failure to perform any of its obligations under this Agreement, in each case, except to the extent any such Losses arise out of or result from an Indemnified Party’s gross negligence or willful misconduct.</w:t>
      </w:r>
    </w:p>
    <w:p>
      <w:pPr>
        <w:spacing w:after="0" w:line="120" w:lineRule="exact"/>
        <w:rPr>
          <w:rFonts w:ascii="Times New Roman" w:cs="Times New Roman" w:eastAsia="Times New Roman" w:hAnsi="Times New Roman"/>
          <w:sz w:val="18"/>
          <w:szCs w:val="18"/>
          <w:color w:val="auto"/>
        </w:rPr>
      </w:pPr>
    </w:p>
    <w:p>
      <w:pPr>
        <w:ind w:left="1620" w:right="939" w:firstLine="360"/>
        <w:spacing w:after="0" w:line="282" w:lineRule="auto"/>
        <w:tabs>
          <w:tab w:leader="none" w:pos="233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survive the termination of this Agreement or the resignation, removal or replacement of the Trustee.</w:t>
      </w:r>
    </w:p>
    <w:p>
      <w:pPr>
        <w:spacing w:after="0" w:line="9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Concerning Trustee</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jc w:val="both"/>
        <w:ind w:left="1620" w:right="539" w:firstLine="360"/>
        <w:spacing w:after="0" w:line="267" w:lineRule="auto"/>
        <w:tabs>
          <w:tab w:leader="none" w:pos="233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Records</w:t>
      </w:r>
      <w:r>
        <w:rPr>
          <w:rFonts w:ascii="Times New Roman" w:cs="Times New Roman" w:eastAsia="Times New Roman" w:hAnsi="Times New Roman"/>
          <w:sz w:val="18"/>
          <w:szCs w:val="18"/>
          <w:color w:val="auto"/>
        </w:rPr>
        <w:t>. The Trustee shall cause proper records to be kept of the assets of the Voting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receipts and disbursements of the Voting Trust, and other records necessary and appropriate for the administration of the Voting Trust.</w:t>
      </w:r>
    </w:p>
    <w:p>
      <w:pPr>
        <w:spacing w:after="0" w:line="105" w:lineRule="exact"/>
        <w:rPr>
          <w:rFonts w:ascii="Times New Roman" w:cs="Times New Roman" w:eastAsia="Times New Roman" w:hAnsi="Times New Roman"/>
          <w:sz w:val="18"/>
          <w:szCs w:val="18"/>
          <w:color w:val="auto"/>
        </w:rPr>
      </w:pPr>
    </w:p>
    <w:p>
      <w:pPr>
        <w:ind w:left="1620" w:right="559" w:firstLine="360"/>
        <w:spacing w:after="0" w:line="284" w:lineRule="auto"/>
        <w:tabs>
          <w:tab w:leader="none" w:pos="234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Communications with CEG</w:t>
      </w:r>
      <w:r>
        <w:rPr>
          <w:rFonts w:ascii="Times New Roman" w:cs="Times New Roman" w:eastAsia="Times New Roman" w:hAnsi="Times New Roman"/>
          <w:sz w:val="18"/>
          <w:szCs w:val="18"/>
          <w:color w:val="auto"/>
        </w:rPr>
        <w:t>. The Trustee shall promptly transmit all communications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receive in respect of Deposited Shares held in the Voting Trust to CEG.</w:t>
      </w:r>
    </w:p>
    <w:p>
      <w:pPr>
        <w:spacing w:after="0" w:line="90" w:lineRule="exact"/>
        <w:rPr>
          <w:rFonts w:ascii="Times New Roman" w:cs="Times New Roman" w:eastAsia="Times New Roman" w:hAnsi="Times New Roman"/>
          <w:sz w:val="18"/>
          <w:szCs w:val="18"/>
          <w:color w:val="auto"/>
        </w:rPr>
      </w:pPr>
    </w:p>
    <w:p>
      <w:pPr>
        <w:ind w:left="1620" w:right="619" w:firstLine="360"/>
        <w:spacing w:after="0" w:line="267" w:lineRule="auto"/>
        <w:tabs>
          <w:tab w:leader="none" w:pos="233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CEG’s Right to Inspection</w:t>
      </w:r>
      <w:r>
        <w:rPr>
          <w:rFonts w:ascii="Times New Roman" w:cs="Times New Roman" w:eastAsia="Times New Roman" w:hAnsi="Times New Roman"/>
          <w:sz w:val="18"/>
          <w:szCs w:val="18"/>
          <w:color w:val="auto"/>
        </w:rPr>
        <w:t>. CEG may inspect the books and records of the Voting Trust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proper purpose upon at least five (5) Business Days prior notice and at reasonable times during business hours.</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agrees to perform its duties under this Agreement for the benefit of CEG and in the best interests of the Voting Trust, but only upon the express terms of this Agreement or at the Written Direction of CEG or the Company. To the fullest extent permitted by law, neither the Trustee nor any of its officers, directors, employees, agents or Affiliates shall have any implied duties (including fiduciary duties) or liabilities otherwise existing at law or in equity with respect to the Voting Trust, which implied duties (including fiduciary duties) and liabilities are hereby eliminated. To the extent that the Trustee has any duties (including fiduciary duties) and liabilities at law or in equity, such duties and liabilities are hereby eliminated and replaced with the express duties and obligations set forth herein. For the avoidance of doubt, the Trustee shall not be required to cast any vote or deliver any written consent with respect to the Deposited Shares except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Every provision of this Agreement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18(d)</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3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action that the Trustee is authorized or required to take pursuant to this Agreement, the Trustee shall not be liable for anything done, suffered or omitted to be done in good faith by, or in accordance with the written opinion or the advice of, counsel, accountants or other skilled Persons obtained pursuant to the terms of this Agreement.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58" w:lineRule="auto"/>
        <w:tabs>
          <w:tab w:leader="none" w:pos="23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(unless such error of judgment constitutes gross negligence or willful misconduct) made by any officer or employee of the Trustee.</w:t>
      </w:r>
    </w:p>
    <w:p>
      <w:pPr>
        <w:spacing w:after="0" w:line="101"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Trustee to expend or risk its own funds or otherwise incur any financial liability in the performance of any of its rights or powers hereunder if the Trustee shall have reasonable grounds for believing that repayment of such funds or satisfactory indemnity against such risk or liability is not reasonably assured or provided to it.</w:t>
      </w:r>
    </w:p>
    <w:p>
      <w:pPr>
        <w:spacing w:after="0" w:line="109" w:lineRule="exact"/>
        <w:rPr>
          <w:rFonts w:ascii="Times New Roman" w:cs="Times New Roman" w:eastAsia="Times New Roman" w:hAnsi="Times New Roman"/>
          <w:sz w:val="18"/>
          <w:szCs w:val="18"/>
          <w:color w:val="auto"/>
        </w:rPr>
      </w:pPr>
    </w:p>
    <w:p>
      <w:pPr>
        <w:ind w:left="1620" w:right="719" w:firstLine="360"/>
        <w:spacing w:after="0" w:line="250" w:lineRule="auto"/>
        <w:tabs>
          <w:tab w:leader="none" w:pos="23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responsible for or in respect of the validity or sufficiency of this Agreement or for the form, character, genuineness, sufficiency, value or validity of the Deposited Shares, other than the signature of the Trustee on this Agreement and the Trustee shall in no event assume or incur any liability, duty or obligation to CEG other than as expressly provided for herein.</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45" w:lineRule="auto"/>
        <w:tabs>
          <w:tab w:leader="none" w:pos="23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(1) not be liable for any action, inaction, default or misconduct of CEG or any other Person with respect to the Voting Trust or the Deposited Shares, (2) have no duty to supervise CEG or any other Person not appointed by the Trustee and shall have no liability for the failure of CEG or any other Person to perform its obligations or duties under this Agreement or with respect to the Deposited Shares, and (3) have no obligation or liability to perform the obligations of CEG under this Agreement or the obligations of any other Person that are required to be performed by other Persons, including, without limitation, under this Agreement or with respect to the Deposited Shares.</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in accepting the trust hereby created the Trustee is acting solely as trustee hereunder and not in its individual capacity, and all Persons having any claim against the Trustee by reason of the transactions contemplated by this Agreement shall look only to the Voting Trust’s property for payment or satisfaction thereof, except, in the case of any claim made against the Trustee for any act or omission taken or omitted as Trustee hereunder, to the extent any such claim arises out of or results from the Trustee’s gross negligence or willful misconduct.</w:t>
      </w:r>
    </w:p>
    <w:p>
      <w:pPr>
        <w:spacing w:after="0" w:line="114"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under any obligation to exercise any of the rights or powers vested in it by this Agreement or any Deposited Shares, or to institute, conduct or defend any litigation under this Agreement or with respect to any Deposited Shares, or otherwise in relation to this Agreement or any Deposited Shares, at the request, order or direction of CEG or any other Person unless CEG or such Person has offered to the Trustee security or indemnity reasonably satisfactory to it against the costs, expenses and liabilities that may be incurred by the Trustee in connection therewith. The right of the Trustee to perform any discretionary or permissive act enumerated in this Agreement or with respect to the Deposited Shares shall not be construed as a duty, and the Trustee shall not be answerable in the performance of any such act, other than for its gross negligence or willful misconduct.</w:t>
      </w:r>
    </w:p>
    <w:p>
      <w:pPr>
        <w:spacing w:after="0" w:line="117" w:lineRule="exact"/>
        <w:rPr>
          <w:rFonts w:ascii="Times New Roman" w:cs="Times New Roman" w:eastAsia="Times New Roman" w:hAnsi="Times New Roman"/>
          <w:sz w:val="18"/>
          <w:szCs w:val="18"/>
          <w:color w:val="auto"/>
        </w:rPr>
      </w:pPr>
    </w:p>
    <w:p>
      <w:pPr>
        <w:ind w:left="1620" w:right="459" w:firstLine="360"/>
        <w:spacing w:after="0" w:line="247" w:lineRule="auto"/>
        <w:tabs>
          <w:tab w:leader="none" w:pos="230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indirect, incidental, consequential, punitive or special damages (including, without limitation, lost profits) or acts or omissions of any nominee, correspondent, clearing agency or securities depository through which it holds the Voting Trust’s assets or securities of any form incurred by any Person, whether or not foreseeable and regardless of the form or type of action in which such claim may be brought, with respect to the Voting Trust, the Trustee’s performance under this Agreement or its role as Trustee or otherwise.</w:t>
      </w:r>
    </w:p>
    <w:p>
      <w:pPr>
        <w:spacing w:after="0" w:line="112" w:lineRule="exact"/>
        <w:rPr>
          <w:rFonts w:ascii="Times New Roman" w:cs="Times New Roman" w:eastAsia="Times New Roman" w:hAnsi="Times New Roman"/>
          <w:sz w:val="18"/>
          <w:szCs w:val="18"/>
          <w:color w:val="auto"/>
        </w:rPr>
      </w:pPr>
    </w:p>
    <w:p>
      <w:pPr>
        <w:ind w:left="1620" w:right="679" w:firstLine="360"/>
        <w:spacing w:after="0" w:line="266" w:lineRule="auto"/>
        <w:tabs>
          <w:tab w:leader="none" w:pos="23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funds deposited with the Trustee hereunder may be held in a non-interest-bearing trust account and the Trustee shall not be liable for any interest thereon.</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46" w:lineRule="auto"/>
        <w:tabs>
          <w:tab w:leader="none" w:pos="23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any reports, information or other documents to the Trustee hereunder and the existence of any publicly available information does not constitute notice and the Trustee shall not be deemed to have actual or constructive knowledge of any information contained therein or determinable from information contained therein unless and until the Trustee has received written notice thereof in accordance with this Agreement.</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CEG’s duty and responsibility, and not the Trustee’s duty or responsibility, to cause the Voting Trust to comply with, respond to, defend, participate in or otherwise act in connection with any regulatory, administrative, governmental, investigative or other proceeding, obligation or inquiry relating in any way to the Voting Trust, its assets or this Agreement.</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firstLine="360"/>
        <w:spacing w:after="0" w:line="258" w:lineRule="auto"/>
        <w:tabs>
          <w:tab w:leader="none" w:pos="23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provide, on its own behalf, any surety bond or other kind of security in connection with the execution of any of its trusts or powers under this Agreement or any other document or the performance of its duties hereunder.</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responsibility for filing any financing statement, continuation statement or amendment, or to otherwise perfect or maintain the perfection of any security interest or lien granted by the Voting Trust hereunder or under any other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the Trustee shall, upon CEG’s reasonable request, execute and deliver any such financing statement, continuation statement or amendment or other documents reasonably necessary to perfect or maintain the perfection of any such security interest or lien), preparing or filing any licensing, qualification to do business, Securities and Exchange Commission or other regulatory body or other filing for the Voting Trust, to record this Agreement, or to monitor or enforce the satisfaction of any regulatory requirements applicable to the Voting Trust or its assets.</w:t>
      </w:r>
    </w:p>
    <w:p>
      <w:pPr>
        <w:spacing w:after="0" w:line="117" w:lineRule="exact"/>
        <w:rPr>
          <w:rFonts w:ascii="Times New Roman" w:cs="Times New Roman" w:eastAsia="Times New Roman" w:hAnsi="Times New Roman"/>
          <w:sz w:val="18"/>
          <w:szCs w:val="18"/>
          <w:color w:val="auto"/>
        </w:rPr>
      </w:pPr>
    </w:p>
    <w:p>
      <w:pPr>
        <w:ind w:left="1620" w:right="599" w:firstLine="360"/>
        <w:spacing w:after="0" w:line="250" w:lineRule="auto"/>
        <w:tabs>
          <w:tab w:leader="none" w:pos="23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the truth of statements made and correctness of any certificates, notices or direction furnished to the Trustee conforming to the requirements of this Agreement.</w:t>
      </w:r>
    </w:p>
    <w:p>
      <w:pPr>
        <w:spacing w:after="0" w:line="109"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2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obligation or duty to supervise or monitor the performance of any other Person and shall have no liability for the failure of any other Person to perform its obligations or duties under this Agreement or otherwise.</w:t>
      </w:r>
    </w:p>
    <w:p>
      <w:pPr>
        <w:spacing w:after="0" w:line="101" w:lineRule="exact"/>
        <w:rPr>
          <w:rFonts w:ascii="Times New Roman" w:cs="Times New Roman" w:eastAsia="Times New Roman" w:hAnsi="Times New Roman"/>
          <w:sz w:val="18"/>
          <w:szCs w:val="18"/>
          <w:color w:val="auto"/>
        </w:rPr>
      </w:pPr>
    </w:p>
    <w:p>
      <w:pPr>
        <w:ind w:left="1620" w:right="439" w:firstLine="360"/>
        <w:spacing w:after="0" w:line="244" w:lineRule="auto"/>
        <w:tabs>
          <w:tab w:leader="none" w:pos="230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under any obligation to exercise any of the rights or powers under this Agreement, or to institute, conduct or defend any litigation under this Agreement, at the request, order or direction of CEG unless CEG has offered to the Trustee (as such and in its individual capacity) security or indemnity satisfactory to it in its sole discretion against the costs (including any costs incurred by the Trustee in the enforcement of such indemnity right), expenses and liabilities that may be incurred by it (as such and in its individual capacity) therein or thereby.</w:t>
      </w:r>
    </w:p>
    <w:p>
      <w:pPr>
        <w:spacing w:after="0" w:line="114" w:lineRule="exact"/>
        <w:rPr>
          <w:rFonts w:ascii="Times New Roman" w:cs="Times New Roman" w:eastAsia="Times New Roman" w:hAnsi="Times New Roman"/>
          <w:sz w:val="18"/>
          <w:szCs w:val="18"/>
          <w:color w:val="auto"/>
        </w:rPr>
      </w:pPr>
    </w:p>
    <w:p>
      <w:pPr>
        <w:ind w:left="1620" w:right="479" w:firstLine="360"/>
        <w:spacing w:after="0" w:line="251" w:lineRule="auto"/>
        <w:tabs>
          <w:tab w:leader="none" w:pos="23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or notice of any fact or information unless a Responsible Officer of the Trustee has actual knowledge thereof or unless written notice of such fact or event is received by a Responsible Officer and such notice references that the fact or event has occurred.</w:t>
      </w:r>
    </w:p>
    <w:p>
      <w:pPr>
        <w:spacing w:after="0" w:line="322"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to the extent such failure or delay arises out of or is caused by, directly or indirectly, events, circumstances or forces beyond its control, including nationalization, expropriation, currency restrictions, the interruption, disruption or suspension of normal procedures and practices of any securities market, power, mechanical, communications or other technological failures or interruptions, computer viruses or the like, loss or malfunctions of utilities, communications or computer (software and hardware) services, fires, floods, earthquakes or other natural disasters, civil or military disturbance, acts of war or terrorism, riots, revolutions, acts of God, pandemics or epidemics, government-mandated closures, work stoppages, strikes, accidents, national disasters of any kind, nuclear or natural catastrophes, or other similar events or acts, errors by any other party hereto (including CEG) in its instructions to the Trustee, the failure or delay of any party hereto to fulfill its duties or obligations pursuant hereto, or changes in applicable law, regulations or orders (each, a “</w:t>
      </w:r>
      <w:r>
        <w:rPr>
          <w:rFonts w:ascii="Times New Roman" w:cs="Times New Roman" w:eastAsia="Times New Roman" w:hAnsi="Times New Roman"/>
          <w:sz w:val="18"/>
          <w:szCs w:val="18"/>
          <w:b w:val="1"/>
          <w:bCs w:val="1"/>
          <w:i w:val="1"/>
          <w:iCs w:val="1"/>
          <w:color w:val="auto"/>
        </w:rPr>
        <w:t>Force Majeure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the Trustee shall promptly notify CEG in writing of the occurrence of any Force Majeure Event that prevents or delays the Trustee’s performance of any of its obligations hereunder, (ii) the Trustee shall use reasonable efforts that are consistent with accepted practices in the banking industry to mitigate the effects of such Force Majeure Event and to resume performance of its obligations hereunder as soon as practicable under the circumstances and (iii) the Trustee’s obligations shall be suspended only for so long as the Force Majeure Event continues to prevent or delay the Trustee’s performance of such obligations. In the event a Force Majeure Event prevents or delays the Trustee’s performance of any of its obligations for a continuous period of more than sixty (60) days, CEG shall have the right, upon written notice to the Trustee, to cause the removal and replacement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removal or replacement shall become effective until a Successor Trustee has been appointed and has accepted such appointment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50" w:lineRule="auto"/>
        <w:tabs>
          <w:tab w:leader="none" w:pos="238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into, investigate or take any action to determine whether any act (including any default, event of default or breach of representation or warranty) has in fact occurred, and shall have no duty to make any determination as to the materiality or effect of any fact, matter or event (including any default, event of default or breach of representation or warranty), which duty shall be the responsibility of CEG.</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entitled to conclusively rely on, and shall incur no liability to anyone in acting in good faith upon, any signature, instrument, notice, resolution, request, consent, order, certificate, report, opinion, bond or other document or paper reasonably and in good faith believed by it to be genuine and to have been signed by the proper party or parties. The Trustee need not investigate any fact or matter stated in any such document, including verifying the correctness of any numbers or calculations. The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determination of which is not specifically prescribed herein, the Trustee may for all purposes hereof rely on a certificate, signed by the president or any vice president or by the treasurer or other authorized officers of the relevant party, as to such fact or matter, and such certificate shall constitute full protection to the Trustee, for any action taken or omitted to be taken by it in good faith in reliance thereon.</w:t>
      </w:r>
    </w:p>
    <w:p>
      <w:pPr>
        <w:spacing w:after="0" w:line="330" w:lineRule="exact"/>
        <w:rPr>
          <w:rFonts w:ascii="Times New Roman" w:cs="Times New Roman" w:eastAsia="Times New Roman" w:hAnsi="Times New Roman"/>
          <w:sz w:val="18"/>
          <w:szCs w:val="18"/>
          <w:color w:val="auto"/>
        </w:rPr>
      </w:pPr>
    </w:p>
    <w:p>
      <w:pPr>
        <w:ind w:left="1620" w:right="579" w:firstLine="360"/>
        <w:spacing w:after="0" w:line="242" w:lineRule="auto"/>
        <w:tabs>
          <w:tab w:leader="none" w:pos="234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the Trustee shall not be required to take any action in any jurisdiction other than in the State of Delaware if the taking of such action will (1) require the consent or approval or authorization or order of or the giving of notice to, or the registration with or the taking of any other action by the Trustee in respect of any state or other governmental authority or agency of any jurisdiction other than Delaware, (2) result in any fee, tax or other governmental charge under the laws of any jurisdiction or any political subdivisions thereof in existence on the date hereof other than the State of Delaware becoming payable by the Trustee, or</w:t>
      </w:r>
    </w:p>
    <w:p>
      <w:pPr>
        <w:spacing w:after="0" w:line="3" w:lineRule="exact"/>
        <w:rPr>
          <w:rFonts w:ascii="Times New Roman" w:cs="Times New Roman" w:eastAsia="Times New Roman" w:hAnsi="Times New Roman"/>
          <w:sz w:val="18"/>
          <w:szCs w:val="18"/>
          <w:color w:val="auto"/>
        </w:rPr>
      </w:pPr>
    </w:p>
    <w:p>
      <w:pPr>
        <w:ind w:left="1620" w:right="599"/>
        <w:spacing w:after="0"/>
        <w:tabs>
          <w:tab w:leader="none" w:pos="18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Trustee to personal jurisdiction in any jurisdiction other than the State of Delaware for causes of action arising from acts unrelated to the consummation of the transactions by the Trustee contemplated hereby. The Trustee shall be entitled to obtain advice of nationally recognized counsel (which reasonable and documented out-of-pocket fees of counsel shall be an expense of CEG) to determine whether any action required to be taken pursuant to this Agreement results in the consequences described in clauses (1), (2) and (3) of the preceding sentence. In the event that said counsel advises the Trustee that such action will result in such consequences, CEG shall appoint an additional trustee to proceed with such action.</w:t>
      </w:r>
    </w:p>
    <w:p>
      <w:pPr>
        <w:spacing w:after="0" w:line="119"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2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direction to be provided to the Trustee by CEG with respect to the Deposited Shares shall be provided by CEG (or an Authorized Representative of CEG) in accordance with this Agreement. If the Deposited Shares are Transferred by CEG, the Trustee shall have no obligation to take direction from any other Person with respect to such Deposited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Deposited Shares have been Transferred to a CEG Related Person in accordance with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the Trustee shall take direction with respect to such Deposited Shares from such CEG Related Person (or its authorized representative) in accordance with this Agreement.</w:t>
      </w:r>
    </w:p>
    <w:p>
      <w:pPr>
        <w:spacing w:after="0" w:line="121" w:lineRule="exact"/>
        <w:rPr>
          <w:sz w:val="20"/>
          <w:szCs w:val="20"/>
          <w:color w:val="auto"/>
        </w:rPr>
      </w:pPr>
    </w:p>
    <w:p>
      <w:pPr>
        <w:ind w:left="1620" w:right="459" w:firstLine="360"/>
        <w:spacing w:after="0" w:line="253" w:lineRule="auto"/>
        <w:tabs>
          <w:tab w:leader="none" w:pos="24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conflict, disagreement or dispute arises between, among or involving any of the parties hereto concerning the meaning or validity of any provision hereunder or concerning any other matter relating to this Agreement, or the Trustee is in doubt as to the action to be taken hereunder, the Trustee may, at its option, after sending written notice of the same to CEG, refuse to act until such time as it (a) receives a final non-appealable order of a court of competent jurisdiction directing delivery of the Deposited Shares or (b) receives a written instruction, executed by each of the parties involved in such disagreement or dispute, in a form reasonably acceptable to the Trustee, directing delivery of the Deposited Shares. The Trustee will be entitled to act on any such written instruction or final, non-appealable order of a court of competent jurisdiction without further question, inquiry or consent. The Trustee may file an interpleader action in a state or federal court, and upon the filing thereof, the Trustee will be relieved of all liability as to the Deposited Shares and will be entitled to recover reasonable and documented out-of-pocket attorneys’ fees, expenses and other costs incurred in commencing and maintaining any such interpleader action.</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6"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Voting Trust shall be treated as either (i) a grantor trust under subpart E, part I of subchapter J of the Internal Revenue Code of 1986, as amended, or (ii) a custodial arrangement that is not an entity recognized for U.S. federal tax purposes, and the provisions of this Agreement shall be interpreted in a manner consistent with such treatment. The Trustee shall have no duty or obligation with respect to the classification of the Voting Trust for tax matters or for the preparation or filing of any tax or information returns with respect to the Voting Trust.</w:t>
      </w:r>
    </w:p>
    <w:p>
      <w:pPr>
        <w:spacing w:after="0" w:line="119" w:lineRule="exact"/>
        <w:rPr>
          <w:rFonts w:ascii="Times New Roman" w:cs="Times New Roman" w:eastAsia="Times New Roman" w:hAnsi="Times New Roman"/>
          <w:sz w:val="18"/>
          <w:szCs w:val="18"/>
          <w:color w:val="auto"/>
        </w:rPr>
      </w:pPr>
    </w:p>
    <w:p>
      <w:pPr>
        <w:ind w:left="1260" w:right="1059" w:firstLine="360"/>
        <w:spacing w:after="0" w:line="266"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hereto shall execute and deliver all documents, provide all information and take or refrain from taking action as may be necessary or appropriate to achieve the purposes of this Agreement.</w:t>
      </w:r>
    </w:p>
    <w:p>
      <w:pPr>
        <w:spacing w:after="0" w:line="108" w:lineRule="exact"/>
        <w:rPr>
          <w:rFonts w:ascii="Times New Roman" w:cs="Times New Roman" w:eastAsia="Times New Roman" w:hAnsi="Times New Roman"/>
          <w:sz w:val="18"/>
          <w:szCs w:val="18"/>
          <w:color w:val="auto"/>
        </w:rPr>
      </w:pPr>
    </w:p>
    <w:p>
      <w:pPr>
        <w:ind w:left="1260" w:right="639" w:firstLine="360"/>
        <w:spacing w:after="0" w:line="266"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Rounding of Shares</w:t>
      </w:r>
      <w:r>
        <w:rPr>
          <w:rFonts w:ascii="Times New Roman" w:cs="Times New Roman" w:eastAsia="Times New Roman" w:hAnsi="Times New Roman"/>
          <w:sz w:val="18"/>
          <w:szCs w:val="18"/>
          <w:color w:val="auto"/>
        </w:rPr>
        <w:t>. Unless otherwise expressly provided herein, any reference to a number of shares in this Agreement or any Exhibit attached hereto that would result in a fractional share shall be rounded to the nearest whole share (with one-half (0.5) rounded up).</w:t>
      </w:r>
    </w:p>
    <w:p>
      <w:pPr>
        <w:spacing w:after="0" w:line="94" w:lineRule="exact"/>
        <w:rPr>
          <w:rFonts w:ascii="Times New Roman" w:cs="Times New Roman" w:eastAsia="Times New Roman" w:hAnsi="Times New Roman"/>
          <w:sz w:val="18"/>
          <w:szCs w:val="18"/>
          <w:color w:val="auto"/>
        </w:rPr>
      </w:pPr>
    </w:p>
    <w:p>
      <w:pPr>
        <w:ind w:left="1260" w:right="839" w:firstLine="360"/>
        <w:spacing w:after="0" w:line="282"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respective heirs, executors, administrators and permitted successors and assigns.</w:t>
      </w:r>
    </w:p>
    <w:p>
      <w:pPr>
        <w:spacing w:after="0" w:line="94" w:lineRule="exact"/>
        <w:rPr>
          <w:rFonts w:ascii="Times New Roman" w:cs="Times New Roman" w:eastAsia="Times New Roman" w:hAnsi="Times New Roman"/>
          <w:sz w:val="18"/>
          <w:szCs w:val="18"/>
          <w:color w:val="auto"/>
        </w:rPr>
      </w:pPr>
    </w:p>
    <w:p>
      <w:pPr>
        <w:ind w:left="1260" w:right="459" w:firstLine="360"/>
        <w:spacing w:after="0" w:line="261"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party may assign this Agreement without the prior written consent of the other party, except that (i) CEG may assign its rights and obligations with respect to any Deposited Shares Transferred to a CEG Related Person in accordance with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 xml:space="preserve"> and (ii) the Trustee may assign its rights and obligations to a Successor Trustee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260" w:right="499" w:firstLine="360"/>
        <w:spacing w:after="0" w:line="266"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hereto) constitutes the entire agreement, and supersedes all prior and contemporaneous agreements and understandings, oral and written, among the parties hereto with respect to the subject matter hereof.</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54"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1260" w:right="579" w:firstLine="360"/>
        <w:spacing w:after="0" w:line="258"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 nor shall any single or partial exercise thereof preclude any other or further exercise thereof or the exercise of any other right, power or privilege.</w:t>
      </w:r>
    </w:p>
    <w:p>
      <w:pPr>
        <w:spacing w:after="0" w:line="115" w:lineRule="exact"/>
        <w:rPr>
          <w:rFonts w:ascii="Times New Roman" w:cs="Times New Roman" w:eastAsia="Times New Roman" w:hAnsi="Times New Roman"/>
          <w:sz w:val="18"/>
          <w:szCs w:val="18"/>
          <w:color w:val="auto"/>
        </w:rPr>
      </w:pPr>
    </w:p>
    <w:p>
      <w:pPr>
        <w:ind w:left="1260" w:right="519" w:firstLine="360"/>
        <w:spacing w:after="0" w:line="259"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and delivered in any number of counterparts, each of which shall be deemed an original, but all of which together shall constitute one and the same document. Copies of executed counterparts transmitted by e-mail delivery of a “.pdf” format data file or other electronic transmission service shall be considered original executed counterparts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321" w:lineRule="exact"/>
        <w:rPr>
          <w:rFonts w:ascii="Times New Roman" w:cs="Times New Roman" w:eastAsia="Times New Roman" w:hAnsi="Times New Roman"/>
          <w:sz w:val="18"/>
          <w:szCs w:val="18"/>
          <w:color w:val="auto"/>
        </w:rPr>
      </w:pPr>
    </w:p>
    <w:p>
      <w:pPr>
        <w:ind w:left="1260" w:right="439" w:firstLine="360"/>
        <w:spacing w:after="0" w:line="259"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instruction or other communication that may be given under this Agreement shall be in writing and be deemed given when delivered by hand, by nationally recognized overnight courier or by e-mail or, if mailed, one day after mailing by registered or certified mail, return receipt requested, to the respective parties at the following addresses (or at such other address as any of them may by similar notice designate):</w:t>
      </w:r>
    </w:p>
    <w:p>
      <w:pPr>
        <w:spacing w:after="0" w:line="33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CEG, to:</w:t>
      </w:r>
    </w:p>
    <w:p>
      <w:pPr>
        <w:spacing w:after="0" w:line="157" w:lineRule="exact"/>
        <w:rPr>
          <w:rFonts w:ascii="Times New Roman" w:cs="Times New Roman" w:eastAsia="Times New Roman" w:hAnsi="Times New Roman"/>
          <w:sz w:val="18"/>
          <w:szCs w:val="18"/>
          <w:color w:val="auto"/>
        </w:rPr>
      </w:pPr>
    </w:p>
    <w:p>
      <w:pPr>
        <w:ind w:left="2340" w:right="51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Energy Group LLC 100 California Street, Suite 650 San Francisco, California 94111</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legal@clearwayenergy.com</w:t>
      </w:r>
    </w:p>
    <w:p>
      <w:pPr>
        <w:spacing w:after="0" w:line="12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300 Carnegie Center, Suite 300</w:t>
      </w:r>
    </w:p>
    <w:p>
      <w:pPr>
        <w:ind w:left="2340"/>
        <w:spacing w:after="0" w:line="234" w:lineRule="auto"/>
        <w:rPr>
          <w:sz w:val="20"/>
          <w:szCs w:val="20"/>
          <w:color w:val="auto"/>
        </w:rPr>
      </w:pPr>
      <w:r>
        <w:rPr>
          <w:rFonts w:ascii="Times New Roman" w:cs="Times New Roman" w:eastAsia="Times New Roman" w:hAnsi="Times New Roman"/>
          <w:sz w:val="18"/>
          <w:szCs w:val="18"/>
          <w:color w:val="auto"/>
        </w:rPr>
        <w:t>Princeton, New Jersey 08540</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112" w:lineRule="exact"/>
        <w:rPr>
          <w:sz w:val="20"/>
          <w:szCs w:val="20"/>
          <w:color w:val="auto"/>
        </w:rPr>
      </w:pPr>
    </w:p>
    <w:p>
      <w:pPr>
        <w:ind w:left="2340" w:hanging="360"/>
        <w:spacing w:after="0"/>
        <w:tabs>
          <w:tab w:leader="none" w:pos="2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Trustee, to:</w:t>
      </w:r>
    </w:p>
    <w:p>
      <w:pPr>
        <w:spacing w:after="0" w:line="157" w:lineRule="exact"/>
        <w:rPr>
          <w:rFonts w:ascii="Times New Roman" w:cs="Times New Roman" w:eastAsia="Times New Roman" w:hAnsi="Times New Roman"/>
          <w:sz w:val="18"/>
          <w:szCs w:val="18"/>
          <w:color w:val="auto"/>
        </w:rPr>
      </w:pPr>
    </w:p>
    <w:p>
      <w:pPr>
        <w:ind w:left="2340" w:right="45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National Association 1100 North Market Street Wilmington, Delaware 19890</w:t>
      </w:r>
    </w:p>
    <w:p>
      <w:pPr>
        <w:spacing w:after="0" w:line="1" w:lineRule="exact"/>
        <w:rPr>
          <w:rFonts w:ascii="Times New Roman" w:cs="Times New Roman" w:eastAsia="Times New Roman" w:hAnsi="Times New Roman"/>
          <w:sz w:val="18"/>
          <w:szCs w:val="18"/>
          <w:color w:val="auto"/>
        </w:rPr>
      </w:pPr>
    </w:p>
    <w:p>
      <w:pPr>
        <w:ind w:left="234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Trust Administration — CEG Voting Trust</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w:t>
      </w:r>
    </w:p>
    <w:p>
      <w:pPr>
        <w:spacing w:after="0" w:line="12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Trustee shall send to CEG a copy of all notices, announcements, proxies and other communications furnished to it by the Company with respect to the Deposited Shares.</w:t>
      </w:r>
    </w:p>
    <w:p>
      <w:pPr>
        <w:spacing w:after="0" w:line="81" w:lineRule="exact"/>
        <w:rPr>
          <w:sz w:val="20"/>
          <w:szCs w:val="20"/>
          <w:color w:val="auto"/>
        </w:rPr>
      </w:pPr>
    </w:p>
    <w:p>
      <w:pPr>
        <w:ind w:left="1260" w:right="459" w:firstLine="360"/>
        <w:spacing w:after="0" w:line="244" w:lineRule="auto"/>
        <w:tabs>
          <w:tab w:leader="none" w:pos="20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or modified by a written instrument executed by CEG and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prior written consent of the Company shall be required for any such amendment that would reasonably be expected to cause the Company to violate the NYSE Voting Rights Policy. The parties hereto acknowledge and agree that the Company and the Secured Parties are intended third-party beneficiaries of, and shall be entitled to enforce, the proviso in the immediately preceding sentence and shall be entitled to enforce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260" w:right="439" w:firstLine="360"/>
        <w:spacing w:after="0" w:line="243" w:lineRule="auto"/>
        <w:tabs>
          <w:tab w:leader="none" w:pos="20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This Agreement shall be governed by, and construed and enforced in accordance with, the internal laws of the State of Delaware without giving effect to conflicts of laws (whether of the State of Delaware or any other jurisdiction). Each party hereto irrevocably and unconditionally submits to the exclusive jurisdiction of the Court of Chancery of the State of Delaware (or, if such court declines jurisdiction, the United States District Court for the District of Delaware), in each case, sitting in the city of Wilmington, Delaware, and appellate courts thereof, for any actions, suits or proceedings arising out of or relating to this Agreement or the transactions contemplated hereby. The parties hereby waive, to the fullest extent permitted by applicable law, any objection which they now or hereafter may have to personal jurisdiction or to the laying of venue of any such action suit or proceeding brought in any such court, and such parties agree not to plead or claim the same, and agree that service of process upon such party in any such action, suit or proceeding shall be effective if notice is given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260" w:right="559" w:firstLine="360"/>
        <w:spacing w:after="0" w:line="250" w:lineRule="auto"/>
        <w:tabs>
          <w:tab w:leader="none" w:pos="20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IRREVOCABLY WAIVES, TO THE FULLEST EXTENT PERMITTED BY APPLICABLE LAW, ANY AND ALL RIGHT TO TRIAL BY JURY IN ANY LEGAL PROCEEDING ARISING OUT OF OR RELATING TO THIS AGREEMENT OR THE TRANSACTIONS CONTEMPLATED HEREBY.</w:t>
      </w:r>
    </w:p>
    <w:p>
      <w:pPr>
        <w:spacing w:after="0" w:line="109" w:lineRule="exact"/>
        <w:rPr>
          <w:rFonts w:ascii="Times New Roman" w:cs="Times New Roman" w:eastAsia="Times New Roman" w:hAnsi="Times New Roman"/>
          <w:sz w:val="18"/>
          <w:szCs w:val="18"/>
          <w:color w:val="auto"/>
        </w:rPr>
      </w:pPr>
    </w:p>
    <w:p>
      <w:pPr>
        <w:ind w:left="1260" w:right="459" w:firstLine="360"/>
        <w:spacing w:after="0" w:line="241" w:lineRule="auto"/>
        <w:tabs>
          <w:tab w:leader="none" w:pos="200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each party hereto shall be entitled to an injunction or injunctions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such party is entitled at law or in equity. The parties further agree not to assert that a remedy of specific enforcement is an unenforceable, invalid, contrary to applicable law or inequitable remedy for any reason, and not to assert that a remedy of monetary damages would provide an adequate remedy for any such breach or that any party hereto otherwise has an adequate remedy at law.</w:t>
      </w: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5" w:lineRule="auto"/>
        <w:tabs>
          <w:tab w:leader="none" w:pos="20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This Agreement shall inure solely to the benefit of each party hereto and, except as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is not intended to, and does not, confer upon any Person other than the parties hereto any rights or remedies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parties hereto acknowledge and agree that the Company is an intended third-party beneficiary of, and shall be entitled to enforce,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any provisions hereof the enforcement of which would be reasonably necessary to ensure compliance by the Company with the NYSE Voting Rights Policy, as if it were a party hereto (for the avoidance of doubt, subject to the terms hereof).</w:t>
      </w:r>
    </w:p>
    <w:p>
      <w:pPr>
        <w:spacing w:after="0" w:line="121" w:lineRule="exact"/>
        <w:rPr>
          <w:rFonts w:ascii="Times New Roman" w:cs="Times New Roman" w:eastAsia="Times New Roman" w:hAnsi="Times New Roman"/>
          <w:sz w:val="18"/>
          <w:szCs w:val="18"/>
          <w:color w:val="auto"/>
        </w:rPr>
      </w:pPr>
    </w:p>
    <w:p>
      <w:pPr>
        <w:ind w:left="1260" w:right="619" w:firstLine="360"/>
        <w:spacing w:after="0" w:line="257" w:lineRule="auto"/>
        <w:tabs>
          <w:tab w:leader="none" w:pos="20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The Voting Trust created by this Agreement is established as a trust under Delaware law and is not intended to be, and shall not be deemed to be, and shall not be treated, as a general partnership, limited partnership, joint venture, corporation or joint stock company or association. The relationship of CEG to the Trustee shall be solely that of stockholder and beneficiary of the Voting Trust created by this Agreement and their rights shall be limited to those conferred upon it by this Agreement.</w:t>
      </w:r>
    </w:p>
    <w:p>
      <w:pPr>
        <w:spacing w:after="0" w:line="336"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20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xml:space="preserve">. This Agreement is subject to the terms and provisions of the Security Agreement. In the event of a conflict between the terms hereof and the terms of the Security Agreement, the terms of the Security Agreement shall govern and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 respect to any conflict relating to the Trustee’s duties, obligations, liabilities or indemnities hereunder, the terms of this Agreement shall govern and control.</w:t>
      </w:r>
    </w:p>
    <w:p>
      <w:pPr>
        <w:spacing w:after="0" w:line="1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date first written above.</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1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WILMINGTON TRUST, NATIONAL ASSOCIATION,</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1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Transfer Notice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Corporate Trust Administration — CEG Voting Trust]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Re: Transfer Notice pursuant to Voting Trust Agreement dated as of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0"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but not defined herein shall have the meanings ascribed to them in the Agreement. This notice constitutes a Transfer Notice pursuant to Section 11(b) of the Agreement.</w:t>
      </w:r>
    </w:p>
    <w:p>
      <w:pPr>
        <w:spacing w:after="0" w:line="183" w:lineRule="exact"/>
        <w:rPr>
          <w:sz w:val="20"/>
          <w:szCs w:val="20"/>
          <w:color w:val="auto"/>
        </w:rPr>
      </w:pPr>
    </w:p>
    <w:p>
      <w:pPr>
        <w:ind w:left="1260"/>
        <w:spacing w:after="0"/>
        <w:tabs>
          <w:tab w:leader="none" w:pos="1500" w:val="left"/>
        </w:tabs>
        <w:rPr>
          <w:sz w:val="20"/>
          <w:szCs w:val="20"/>
          <w:color w:val="auto"/>
        </w:rPr>
      </w:pPr>
      <w:r>
        <w:rPr>
          <w:rFonts w:ascii="Times New Roman" w:cs="Times New Roman" w:eastAsia="Times New Roman" w:hAnsi="Times New Roman"/>
          <w:sz w:val="18"/>
          <w:szCs w:val="18"/>
          <w:u w:val="single" w:color="auto"/>
          <w:color w:val="auto"/>
        </w:rPr>
        <w:t>I.</w:t>
        <w:tab/>
        <w:t>Transfer Details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CEG hereby directs the Trustee to Transfer the following Deposited Shares in accordance with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318"/>
        </w:trPr>
        <w:tc>
          <w:tcPr>
            <w:tcW w:w="41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Deposited Shares to be Transferred:</w:t>
            </w:r>
          </w:p>
        </w:tc>
        <w:tc>
          <w:tcPr>
            <w:tcW w:w="41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 shares of [Class B Common Stock]</w:t>
            </w: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Transferee Name:</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Transferee Address:</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Transfer Date:</w:t>
            </w:r>
          </w:p>
        </w:tc>
        <w:tc>
          <w:tcPr>
            <w:tcW w:w="4100" w:type="dxa"/>
            <w:vAlign w:val="bottom"/>
            <w:tcBorders>
              <w:bottom w:val="single" w:sz="8" w:color="auto"/>
              <w:right w:val="single" w:sz="8" w:color="auto"/>
            </w:tcBorders>
          </w:tcPr>
          <w:p>
            <w:pPr>
              <w:spacing w:after="0"/>
              <w:rPr>
                <w:sz w:val="21"/>
                <w:szCs w:val="21"/>
                <w:color w:val="auto"/>
              </w:rPr>
            </w:pPr>
          </w:p>
        </w:tc>
      </w:tr>
    </w:tbl>
    <w:p>
      <w:pPr>
        <w:spacing w:after="0" w:line="211" w:lineRule="exact"/>
        <w:rPr>
          <w:sz w:val="20"/>
          <w:szCs w:val="20"/>
          <w:color w:val="auto"/>
        </w:rPr>
      </w:pPr>
    </w:p>
    <w:p>
      <w:pPr>
        <w:ind w:left="1260"/>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II.</w:t>
        <w:tab/>
        <w:t>Certification of Applicable Transfer Condition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CEG hereby certifies that the following condition(s) to Transfer set forth in Section 11(a)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have been satisfied (check all that apply):</w:t>
      </w:r>
    </w:p>
    <w:p>
      <w:pPr>
        <w:spacing w:after="0" w:line="135" w:lineRule="exact"/>
        <w:rPr>
          <w:sz w:val="20"/>
          <w:szCs w:val="20"/>
          <w:color w:val="auto"/>
        </w:rPr>
      </w:pPr>
    </w:p>
    <w:p>
      <w:pPr>
        <w:ind w:left="1980" w:right="899" w:hanging="360"/>
        <w:spacing w:after="0" w:line="286" w:lineRule="auto"/>
        <w:tabs>
          <w:tab w:leader="none" w:pos="198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11(a)(i)(x)</w:t>
      </w:r>
      <w:r>
        <w:rPr>
          <w:rFonts w:ascii="Times New Roman" w:cs="Times New Roman" w:eastAsia="Times New Roman" w:hAnsi="Times New Roman"/>
          <w:sz w:val="18"/>
          <w:szCs w:val="18"/>
          <w:color w:val="auto"/>
        </w:rPr>
        <w:t>: The Deposited Shares are being Transferred in a bona fide transaction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that is not a CEG Related Person.</w:t>
      </w:r>
    </w:p>
    <w:p>
      <w:pPr>
        <w:spacing w:after="0" w:line="87"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11(a)(i)(y)</w:t>
      </w:r>
      <w:r>
        <w:rPr>
          <w:rFonts w:ascii="Times New Roman" w:cs="Times New Roman" w:eastAsia="Times New Roman" w:hAnsi="Times New Roman"/>
          <w:sz w:val="18"/>
          <w:szCs w:val="18"/>
          <w:color w:val="auto"/>
        </w:rPr>
        <w:t>: The Deposited Shares are being Transferred in a Permitted Financing Transfer.</w:t>
      </w:r>
    </w:p>
    <w:p>
      <w:pPr>
        <w:spacing w:after="0" w:line="157" w:lineRule="exact"/>
        <w:rPr>
          <w:rFonts w:ascii="MS PGothic" w:cs="MS PGothic" w:eastAsia="MS PGothic" w:hAnsi="MS PGothic"/>
          <w:sz w:val="18"/>
          <w:szCs w:val="18"/>
          <w:color w:val="auto"/>
        </w:rPr>
      </w:pPr>
    </w:p>
    <w:p>
      <w:pPr>
        <w:ind w:left="1980" w:right="439" w:hanging="360"/>
        <w:spacing w:after="0" w:line="259" w:lineRule="auto"/>
        <w:tabs>
          <w:tab w:leader="none" w:pos="198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11(a)(i)(z)</w:t>
      </w:r>
      <w:r>
        <w:rPr>
          <w:rFonts w:ascii="Times New Roman" w:cs="Times New Roman" w:eastAsia="Times New Roman" w:hAnsi="Times New Roman"/>
          <w:sz w:val="18"/>
          <w:szCs w:val="18"/>
          <w:color w:val="auto"/>
        </w:rPr>
        <w:t>: The Deposited Shares are being Transferred pursuant to a foreclosure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as a result of which a lender or agent in respect of a Permitted Financing Transfer is taking or Transferring title to, or otherwise acquiring (or effecting the Transfer of) ownership of, directly or indirectly, such Deposited Shares pledged pursuant to a Permitted Financing Transfer, including through a bankruptcy or other operation of law.</w:t>
      </w:r>
    </w:p>
    <w:p>
      <w:pPr>
        <w:spacing w:after="0" w:line="80" w:lineRule="exact"/>
        <w:rPr>
          <w:rFonts w:ascii="MS PGothic" w:cs="MS PGothic" w:eastAsia="MS PGothic" w:hAnsi="MS PGothic"/>
          <w:sz w:val="18"/>
          <w:szCs w:val="18"/>
          <w:color w:val="auto"/>
        </w:rPr>
      </w:pPr>
    </w:p>
    <w:p>
      <w:pPr>
        <w:ind w:left="1980" w:hanging="360"/>
        <w:spacing w:after="0"/>
        <w:tabs>
          <w:tab w:leader="none" w:pos="198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The Deposited Shares are being Transferred to a CEG Related Person.</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12344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8" w:lineRule="exact"/>
        <w:rPr>
          <w:sz w:val="20"/>
          <w:szCs w:val="20"/>
          <w:color w:val="auto"/>
        </w:rPr>
      </w:pPr>
    </w:p>
    <w:p>
      <w:pPr>
        <w:ind w:left="1620" w:right="439" w:hanging="360"/>
        <w:spacing w:after="0" w:line="226" w:lineRule="auto"/>
        <w:tabs>
          <w:tab w:leader="none" w:pos="1620" w:val="left"/>
        </w:tabs>
        <w:numPr>
          <w:ilvl w:val="0"/>
          <w:numId w:val="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connection with such Transfer, (A) the Deposited Shares shall be retained by the Trustee in the Voting Trust for the benefit of such CEG Related Person and shall continue to constitute “Deposited Shares” subject to all terms of the Agreement, (B) such CEG Related Person shall execute and deliver to the Trustee a counterpart of the Agreement or a joinder or other written instrument in form and substance reasonably satisfactory to the Trustee pursuant to which such CEG Related Person agrees to be bound by all of the terms of the Agreement as though it had been originally a party thereto as a beneficiary of such Deposited Shares, and (C) all other actions necessary to effectuate the substitution of such CEG Related Person for CEG as the beneficiary of such Deposited Shares under the Agreement and the Voting Trust shall have been taken.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539" w:hanging="360"/>
        <w:spacing w:after="0" w:line="268" w:lineRule="auto"/>
        <w:tabs>
          <w:tab w:leader="none" w:pos="1980" w:val="left"/>
        </w:tabs>
        <w:numPr>
          <w:ilvl w:val="1"/>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11(a)(iii)</w:t>
      </w:r>
      <w:r>
        <w:rPr>
          <w:rFonts w:ascii="Times New Roman" w:cs="Times New Roman" w:eastAsia="Times New Roman" w:hAnsi="Times New Roman"/>
          <w:sz w:val="18"/>
          <w:szCs w:val="18"/>
          <w:color w:val="auto"/>
        </w:rPr>
        <w:t>: The Deposited Shares are being tendered pursuant to a tender offer made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the same class or series of securities as such Deposited Shares, and CEG has elected to tender such Deposited Shares in accordance with the terms of such tender offer.</w:t>
      </w:r>
    </w:p>
    <w:p>
      <w:pPr>
        <w:spacing w:after="0" w:line="103" w:lineRule="exact"/>
        <w:rPr>
          <w:rFonts w:ascii="MS PGothic" w:cs="MS PGothic" w:eastAsia="MS PGothic" w:hAnsi="MS PGothic"/>
          <w:sz w:val="18"/>
          <w:szCs w:val="18"/>
          <w:color w:val="auto"/>
        </w:rPr>
      </w:pPr>
    </w:p>
    <w:p>
      <w:pPr>
        <w:ind w:left="1980" w:right="499" w:hanging="360"/>
        <w:spacing w:after="0" w:line="268" w:lineRule="auto"/>
        <w:tabs>
          <w:tab w:leader="none" w:pos="1980" w:val="left"/>
        </w:tabs>
        <w:numPr>
          <w:ilvl w:val="1"/>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11(a)(iv)</w:t>
      </w:r>
      <w:r>
        <w:rPr>
          <w:rFonts w:ascii="Times New Roman" w:cs="Times New Roman" w:eastAsia="Times New Roman" w:hAnsi="Times New Roman"/>
          <w:sz w:val="18"/>
          <w:szCs w:val="18"/>
          <w:color w:val="auto"/>
        </w:rPr>
        <w:t>: The Deposited Shares are being tendered pursuant to an exchange offer made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holders of the same class or series of securities as such Deposited Shares, and CEG has elected to tender such Deposited Shares in accordance with the terms of such exchange offer.</w:t>
      </w:r>
    </w:p>
    <w:p>
      <w:pPr>
        <w:spacing w:after="0" w:line="103" w:lineRule="exact"/>
        <w:rPr>
          <w:rFonts w:ascii="MS PGothic" w:cs="MS PGothic" w:eastAsia="MS PGothic" w:hAnsi="MS PGothic"/>
          <w:sz w:val="18"/>
          <w:szCs w:val="18"/>
          <w:color w:val="auto"/>
        </w:rPr>
      </w:pPr>
    </w:p>
    <w:p>
      <w:pPr>
        <w:ind w:left="1980" w:right="459" w:hanging="360"/>
        <w:spacing w:after="0" w:line="268" w:lineRule="auto"/>
        <w:tabs>
          <w:tab w:leader="none" w:pos="1980" w:val="left"/>
        </w:tabs>
        <w:numPr>
          <w:ilvl w:val="1"/>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11(a)(v)</w:t>
      </w:r>
      <w:r>
        <w:rPr>
          <w:rFonts w:ascii="Times New Roman" w:cs="Times New Roman" w:eastAsia="Times New Roman" w:hAnsi="Times New Roman"/>
          <w:sz w:val="18"/>
          <w:szCs w:val="18"/>
          <w:color w:val="auto"/>
        </w:rPr>
        <w:t>: CEG has delivered to the Company and Clearway LLC an Election of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the Exchange Agreement) exercising its right, pursuant to the Exchange Agreement, to effect a Specified Exchange.</w:t>
      </w:r>
    </w:p>
    <w:p>
      <w:pPr>
        <w:spacing w:after="0" w:line="89" w:lineRule="exact"/>
        <w:rPr>
          <w:rFonts w:ascii="MS PGothic" w:cs="MS PGothic" w:eastAsia="MS PGothic" w:hAnsi="MS PGothic"/>
          <w:sz w:val="18"/>
          <w:szCs w:val="18"/>
          <w:color w:val="auto"/>
        </w:rPr>
      </w:pPr>
    </w:p>
    <w:p>
      <w:pPr>
        <w:ind w:left="1980" w:hanging="360"/>
        <w:spacing w:after="0"/>
        <w:tabs>
          <w:tab w:leader="none" w:pos="1980" w:val="left"/>
        </w:tabs>
        <w:numPr>
          <w:ilvl w:val="1"/>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Section 11(a)(vi)</w:t>
      </w:r>
      <w:r>
        <w:rPr>
          <w:rFonts w:ascii="Times New Roman" w:cs="Times New Roman" w:eastAsia="Times New Roman" w:hAnsi="Times New Roman"/>
          <w:sz w:val="18"/>
          <w:szCs w:val="18"/>
          <w:color w:val="auto"/>
        </w:rPr>
        <w:t>: The Deposited Shares are being acquired by [the Company][Clearway LLC].</w:t>
      </w:r>
    </w:p>
    <w:p>
      <w:pPr>
        <w:spacing w:after="0" w:line="229" w:lineRule="exact"/>
        <w:rPr>
          <w:rFonts w:ascii="MS PGothic" w:cs="MS PGothic" w:eastAsia="MS PGothic" w:hAnsi="MS PGothic"/>
          <w:sz w:val="18"/>
          <w:szCs w:val="18"/>
          <w:color w:val="auto"/>
        </w:rPr>
      </w:pPr>
    </w:p>
    <w:p>
      <w:pPr>
        <w:ind w:left="1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u w:val="single" w:color="auto"/>
          <w:color w:val="auto"/>
        </w:rPr>
        <w:t>III.  Registration and Transfer Instructions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CEG hereby instructs the Trustee to take all actions necessary, and to deliver all such instructions, instruments and documents as may be required, to promptly (but in no event later than two (2) Business Days following delivery of this Transfer Notice) cause the Transfer of the Deposited Shares identified herein in accordance with the following written instructions and to promptly transfer legal title to the Deposited Shares to the transferee, including, if applicable, by causing the Deposited Shares to be registered in book-entry form in the name of the transferee on the stockholder register of the Company, in each case (other than with respect to a Transfer effected pursuant to Section 11(a)(ii) of the Agreement), free and clear of any legend or other notation referencing the Voting Trust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107315</wp:posOffset>
            </wp:positionV>
            <wp:extent cx="5212080" cy="12426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1242695"/>
                    </a:xfrm>
                    <a:prstGeom prst="rect">
                      <a:avLst/>
                    </a:prstGeom>
                    <a:noFill/>
                  </pic:spPr>
                </pic:pic>
              </a:graphicData>
            </a:graphic>
          </wp:anchor>
        </w:drawing>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Name for Registration:</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Address:</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Contact Person:</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Contact Telephone:</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Contact Email:</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Special Instructions (if any):</w:t>
      </w:r>
    </w:p>
    <w:p>
      <w:pPr>
        <w:spacing w:after="0" w:line="25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IV.</w:t>
        <w:tab/>
        <w:t>Acknowledgments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CEG acknowledges that this Transfer Notice shall be determinative as to all matters of fact, including whether the conditions to Transfer set forth in Section 11(a) of the Agreement are satisfied, and the Trustee shall be entitled to conclusively rely without investigation on this Transfer Notice and any other written notice, document, instruction or request delivered by CEG with respect to the Transfer that the Trustee reasonably and in good faith believes to be genuine and to have been signed by an Authorized Representative of CEG.</w:t>
      </w:r>
    </w:p>
    <w:p>
      <w:pPr>
        <w:spacing w:after="0" w:line="3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Transfer Notice to be executed and delivered by an Authorized Representative of CEG as of the date first written above.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AS TO AUTHORIZED SIGNATURES OF CEG</w:t>
      </w:r>
    </w:p>
    <w:p>
      <w:pPr>
        <w:spacing w:after="0" w:line="162" w:lineRule="exact"/>
        <w:rPr>
          <w:sz w:val="20"/>
          <w:szCs w:val="20"/>
          <w:color w:val="auto"/>
        </w:rPr>
      </w:pPr>
    </w:p>
    <w:p>
      <w:pPr>
        <w:ind w:left="1260" w:right="1280" w:firstLine="360"/>
        <w:spacing w:after="0" w:line="254" w:lineRule="auto"/>
        <w:rPr>
          <w:sz w:val="20"/>
          <w:szCs w:val="20"/>
          <w:color w:val="auto"/>
        </w:rPr>
      </w:pPr>
      <w:r>
        <w:rPr>
          <w:rFonts w:ascii="Times New Roman" w:cs="Times New Roman" w:eastAsia="Times New Roman" w:hAnsi="Times New Roman"/>
          <w:sz w:val="18"/>
          <w:szCs w:val="18"/>
          <w:color w:val="auto"/>
        </w:rPr>
        <w:t>CEG hereby designates each of the following persons as an Authorized Representative of CEG for purposes of the Voting Trust Agreement, dated as of [ 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xml:space="preserve">”). Capitalized terms used but not defined herein shall have the meanings ascribed to them in the Agreement. CEG confirms that the title, contact information and specimen signature of each such person as set forth below is true and correct. Each such Authorized Representative of CEG is authorized to initiate and approve transactions of all types for the trust account established under the Agreement to which this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is attached, on behalf of CEG.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280" w:type="dxa"/>
            <w:vAlign w:val="bottom"/>
            <w:tcBorders>
              <w:right w:val="single" w:sz="8" w:color="auto"/>
            </w:tcBorders>
          </w:tcPr>
          <w:p>
            <w:pPr>
              <w:spacing w:after="0"/>
              <w:rPr>
                <w:sz w:val="24"/>
                <w:szCs w:val="24"/>
                <w:color w:val="auto"/>
              </w:rPr>
            </w:pPr>
          </w:p>
        </w:tc>
        <w:tc>
          <w:tcPr>
            <w:tcW w:w="3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4100" w:type="dxa"/>
            <w:vAlign w:val="bottom"/>
            <w:tcBorders>
              <w:top w:val="single" w:sz="8" w:color="auto"/>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1"/>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4"/>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142"/>
        </w:trPr>
        <w:tc>
          <w:tcPr>
            <w:tcW w:w="1280" w:type="dxa"/>
            <w:vAlign w:val="bottom"/>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r>
      <w:tr>
        <w:trPr>
          <w:trHeight w:val="298"/>
        </w:trPr>
        <w:tc>
          <w:tcPr>
            <w:tcW w:w="1280" w:type="dxa"/>
            <w:vAlign w:val="bottom"/>
            <w:tcBorders>
              <w:right w:val="single" w:sz="8" w:color="auto"/>
            </w:tcBorders>
          </w:tcPr>
          <w:p>
            <w:pPr>
              <w:spacing w:after="0"/>
              <w:rPr>
                <w:sz w:val="24"/>
                <w:szCs w:val="24"/>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142"/>
        </w:trPr>
        <w:tc>
          <w:tcPr>
            <w:tcW w:w="1280" w:type="dxa"/>
            <w:vAlign w:val="bottom"/>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r>
      <w:tr>
        <w:trPr>
          <w:trHeight w:val="298"/>
        </w:trPr>
        <w:tc>
          <w:tcPr>
            <w:tcW w:w="1280" w:type="dxa"/>
            <w:vAlign w:val="bottom"/>
            <w:tcBorders>
              <w:right w:val="single" w:sz="8" w:color="auto"/>
            </w:tcBorders>
          </w:tcPr>
          <w:p>
            <w:pPr>
              <w:spacing w:after="0"/>
              <w:rPr>
                <w:sz w:val="24"/>
                <w:szCs w:val="24"/>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601"/>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C-23</w:t>
            </w: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COMPLETE BELOW TO UPDATE </w:t>
      </w:r>
      <w:r>
        <w:rPr>
          <w:rFonts w:ascii="Times New Roman" w:cs="Times New Roman" w:eastAsia="Times New Roman" w:hAnsi="Times New Roman"/>
          <w:sz w:val="18"/>
          <w:szCs w:val="18"/>
          <w:b w:val="1"/>
          <w:bCs w:val="1"/>
          <w:u w:val="single" w:color="auto"/>
          <w:color w:val="auto"/>
        </w:rPr>
        <w:t>EXHIBIT B-1</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If CEG wishes to change the names or details of any of the Authorized Representatives of CEG, CEG must complete, sign and send to Trustee an updated copy of this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with such changes. Any updated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shall be effective once signed by CEG and Trustee and shall entirely supersede and replace any prior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to the Agreement or submitted to Trustee.</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CLEARWAY ENERGY GROUP LLC</w:t>
            </w:r>
          </w:p>
        </w:tc>
        <w:tc>
          <w:tcPr>
            <w:tcW w:w="4040" w:type="dxa"/>
            <w:vAlign w:val="bottom"/>
          </w:tcPr>
          <w:p>
            <w:pPr>
              <w:spacing w:after="0"/>
              <w:rPr>
                <w:sz w:val="20"/>
                <w:szCs w:val="20"/>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3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40" w:type="dxa"/>
            <w:vAlign w:val="bottom"/>
          </w:tcPr>
          <w:p>
            <w:pPr>
              <w:spacing w:after="0"/>
              <w:rPr>
                <w:sz w:val="4"/>
                <w:szCs w:val="4"/>
                <w:color w:val="auto"/>
              </w:rPr>
            </w:pPr>
          </w:p>
        </w:tc>
      </w:tr>
      <w:tr>
        <w:trPr>
          <w:trHeight w:val="218"/>
        </w:trPr>
        <w:tc>
          <w:tcPr>
            <w:tcW w:w="3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Craig Cornelius</w:t>
            </w:r>
          </w:p>
        </w:tc>
        <w:tc>
          <w:tcPr>
            <w:tcW w:w="40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4040" w:type="dxa"/>
            <w:vAlign w:val="bottom"/>
          </w:tcPr>
          <w:p>
            <w:pPr>
              <w:spacing w:after="0"/>
              <w:rPr>
                <w:sz w:val="20"/>
                <w:szCs w:val="20"/>
                <w:color w:val="auto"/>
              </w:rPr>
            </w:pPr>
          </w:p>
        </w:tc>
      </w:tr>
      <w:tr>
        <w:trPr>
          <w:trHeight w:val="37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WILMINGTON TRUST, NATIONAL ASSOCIATION</w:t>
            </w:r>
          </w:p>
        </w:tc>
        <w:tc>
          <w:tcPr>
            <w:tcW w:w="404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3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40" w:type="dxa"/>
            <w:vAlign w:val="bottom"/>
          </w:tcPr>
          <w:p>
            <w:pPr>
              <w:spacing w:after="0"/>
              <w:rPr>
                <w:sz w:val="4"/>
                <w:szCs w:val="4"/>
                <w:color w:val="auto"/>
              </w:rPr>
            </w:pPr>
          </w:p>
        </w:tc>
      </w:tr>
      <w:tr>
        <w:trPr>
          <w:trHeight w:val="232"/>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spacing w:after="0"/>
              <w:rPr>
                <w:sz w:val="20"/>
                <w:szCs w:val="20"/>
                <w:color w:val="auto"/>
              </w:rPr>
            </w:pPr>
          </w:p>
        </w:tc>
      </w:tr>
      <w:tr>
        <w:trPr>
          <w:trHeight w:val="37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4"/>
                <w:szCs w:val="24"/>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r>
    </w:tbl>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Internal Use Only:</w:t>
      </w:r>
    </w:p>
    <w:p>
      <w:pPr>
        <w:spacing w:after="0" w:line="160" w:lineRule="exact"/>
        <w:rPr>
          <w:sz w:val="20"/>
          <w:szCs w:val="20"/>
          <w:color w:val="auto"/>
        </w:rPr>
      </w:pPr>
    </w:p>
    <w:p>
      <w:pPr>
        <w:ind w:left="1620" w:hanging="360"/>
        <w:spacing w:after="0"/>
        <w:tabs>
          <w:tab w:leader="none" w:pos="1620" w:val="left"/>
        </w:tabs>
        <w:numPr>
          <w:ilvl w:val="0"/>
          <w:numId w:val="1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Updated details of Authorized Representatives completed in full</w:t>
      </w:r>
    </w:p>
    <w:p>
      <w:pPr>
        <w:spacing w:after="0" w:line="144" w:lineRule="exact"/>
        <w:rPr>
          <w:rFonts w:ascii="MS PGothic" w:cs="MS PGothic" w:eastAsia="MS PGothic" w:hAnsi="MS PGothic"/>
          <w:sz w:val="18"/>
          <w:szCs w:val="18"/>
          <w:color w:val="auto"/>
        </w:rPr>
      </w:pPr>
    </w:p>
    <w:p>
      <w:pPr>
        <w:ind w:left="1620" w:right="599" w:hanging="360"/>
        <w:spacing w:after="0" w:line="282" w:lineRule="auto"/>
        <w:tabs>
          <w:tab w:leader="none" w:pos="1620" w:val="left"/>
        </w:tabs>
        <w:numPr>
          <w:ilvl w:val="0"/>
          <w:numId w:val="1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Signed by a representative of CEG per relevant board resolutions/certificate of incumbency on file (if relevant).</w:t>
      </w:r>
    </w:p>
    <w:p>
      <w:pPr>
        <w:spacing w:after="0" w:line="9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Call-back performed to CEG to confirm authenticity of updated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2059"/>
        <w:spacing w:after="0" w:line="438" w:lineRule="auto"/>
        <w:rPr>
          <w:sz w:val="20"/>
          <w:szCs w:val="20"/>
          <w:color w:val="auto"/>
        </w:rPr>
      </w:pPr>
      <w:r>
        <w:rPr>
          <w:rFonts w:ascii="Times New Roman" w:cs="Times New Roman" w:eastAsia="Times New Roman" w:hAnsi="Times New Roman"/>
          <w:sz w:val="18"/>
          <w:szCs w:val="18"/>
          <w:color w:val="auto"/>
        </w:rPr>
        <w:t xml:space="preserve">Person Called:                        Date of Call:                        Time of Call:               am/pm Reviewed by (name):                   Signature: 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-356235</wp:posOffset>
            </wp:positionV>
            <wp:extent cx="6559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-356235</wp:posOffset>
            </wp:positionV>
            <wp:extent cx="6248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4840" cy="8255"/>
                    </a:xfrm>
                    <a:prstGeom prst="rect">
                      <a:avLst/>
                    </a:prstGeom>
                    <a:noFill/>
                  </pic:spPr>
                </pic:pic>
              </a:graphicData>
            </a:graphic>
          </wp:anchor>
        </w:drawing>
        <w:drawing>
          <wp:anchor simplePos="0" relativeHeight="251657728" behindDoc="1" locked="0" layoutInCell="0" allowOverlap="1">
            <wp:simplePos x="0" y="0"/>
            <wp:positionH relativeFrom="column">
              <wp:posOffset>4224020</wp:posOffset>
            </wp:positionH>
            <wp:positionV relativeFrom="paragraph">
              <wp:posOffset>-356235</wp:posOffset>
            </wp:positionV>
            <wp:extent cx="3562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6235" cy="8255"/>
                    </a:xfrm>
                    <a:prstGeom prst="rect">
                      <a:avLst/>
                    </a:prstGeom>
                    <a:noFill/>
                  </pic:spPr>
                </pic:pic>
              </a:graphicData>
            </a:graphic>
          </wp:anchor>
        </w:drawing>
        <w:drawing>
          <wp:anchor simplePos="0" relativeHeight="251657728" behindDoc="1" locked="0" layoutInCell="0" allowOverlap="1">
            <wp:simplePos x="0" y="0"/>
            <wp:positionH relativeFrom="column">
              <wp:posOffset>1826895</wp:posOffset>
            </wp:positionH>
            <wp:positionV relativeFrom="paragraph">
              <wp:posOffset>-133350</wp:posOffset>
            </wp:positionV>
            <wp:extent cx="5060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-133350</wp:posOffset>
            </wp:positionV>
            <wp:extent cx="13874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AS TO AUTHORIZED SIGNATURES OF THE COMPANY</w:t>
      </w:r>
    </w:p>
    <w:p>
      <w:pPr>
        <w:spacing w:after="0" w:line="158"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color w:val="auto"/>
        </w:rPr>
        <w:t>Clearway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designates each of the following persons as an Authorized Representative of the Company for purposes of the Voting Trust Agreement, dated as of [ 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xml:space="preserve">”). Capitalized terms used but not defined herein shall have the meanings ascribed to them in the Agreement. The Company confirms that the title, contact information and specimen signature of each such person as set forth below is true and correct. Each such Authorized Representative of the Company is authorized to provide Written Direction to the Trustee in accordance with the Agreement to which this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is attached, on behalf of the Company.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280" w:type="dxa"/>
            <w:vAlign w:val="bottom"/>
            <w:tcBorders>
              <w:right w:val="single" w:sz="8" w:color="auto"/>
            </w:tcBorders>
          </w:tcPr>
          <w:p>
            <w:pPr>
              <w:spacing w:after="0"/>
              <w:rPr>
                <w:sz w:val="24"/>
                <w:szCs w:val="24"/>
                <w:color w:val="auto"/>
              </w:rPr>
            </w:pPr>
          </w:p>
        </w:tc>
        <w:tc>
          <w:tcPr>
            <w:tcW w:w="3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4100" w:type="dxa"/>
            <w:vAlign w:val="bottom"/>
            <w:tcBorders>
              <w:top w:val="single" w:sz="8" w:color="auto"/>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1"/>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4"/>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142"/>
        </w:trPr>
        <w:tc>
          <w:tcPr>
            <w:tcW w:w="1280" w:type="dxa"/>
            <w:vAlign w:val="bottom"/>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r>
      <w:tr>
        <w:trPr>
          <w:trHeight w:val="298"/>
        </w:trPr>
        <w:tc>
          <w:tcPr>
            <w:tcW w:w="1280" w:type="dxa"/>
            <w:vAlign w:val="bottom"/>
            <w:tcBorders>
              <w:right w:val="single" w:sz="8" w:color="auto"/>
            </w:tcBorders>
          </w:tcPr>
          <w:p>
            <w:pPr>
              <w:spacing w:after="0"/>
              <w:rPr>
                <w:sz w:val="24"/>
                <w:szCs w:val="24"/>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4"/>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142"/>
        </w:trPr>
        <w:tc>
          <w:tcPr>
            <w:tcW w:w="1280" w:type="dxa"/>
            <w:vAlign w:val="bottom"/>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r>
      <w:tr>
        <w:trPr>
          <w:trHeight w:val="298"/>
        </w:trPr>
        <w:tc>
          <w:tcPr>
            <w:tcW w:w="1280" w:type="dxa"/>
            <w:vAlign w:val="bottom"/>
            <w:tcBorders>
              <w:right w:val="single" w:sz="8" w:color="auto"/>
            </w:tcBorders>
          </w:tcPr>
          <w:p>
            <w:pPr>
              <w:spacing w:after="0"/>
              <w:rPr>
                <w:sz w:val="24"/>
                <w:szCs w:val="24"/>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(print):</w:t>
            </w:r>
          </w:p>
        </w:tc>
        <w:tc>
          <w:tcPr>
            <w:tcW w:w="10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Specimen Signature:</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0"/>
        </w:trPr>
        <w:tc>
          <w:tcPr>
            <w:tcW w:w="1280" w:type="dxa"/>
            <w:vAlign w:val="bottom"/>
            <w:tcBorders>
              <w:right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1280" w:type="dxa"/>
            <w:vAlign w:val="bottom"/>
            <w:tcBorders>
              <w:right w:val="single" w:sz="8" w:color="auto"/>
            </w:tcBorders>
          </w:tcPr>
          <w:p>
            <w:pPr>
              <w:spacing w:after="0"/>
              <w:rPr>
                <w:sz w:val="21"/>
                <w:szCs w:val="21"/>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Telephone Number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Office:</w:t>
            </w:r>
          </w:p>
        </w:tc>
        <w:tc>
          <w:tcPr>
            <w:tcW w:w="1240" w:type="dxa"/>
            <w:vAlign w:val="bottom"/>
          </w:tcPr>
          <w:p>
            <w:pPr>
              <w:spacing w:after="0"/>
              <w:rPr>
                <w:sz w:val="18"/>
                <w:szCs w:val="18"/>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Cell: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Home:</w:t>
            </w: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1280" w:type="dxa"/>
            <w:vAlign w:val="bottom"/>
            <w:tcBorders>
              <w:right w:val="single" w:sz="8" w:color="auto"/>
            </w:tcBorders>
          </w:tcPr>
          <w:p>
            <w:pPr>
              <w:spacing w:after="0"/>
              <w:rPr>
                <w:sz w:val="17"/>
                <w:szCs w:val="17"/>
                <w:color w:val="auto"/>
              </w:rPr>
            </w:pPr>
          </w:p>
        </w:tc>
        <w:tc>
          <w:tcPr>
            <w:tcW w:w="3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(required):</w:t>
            </w:r>
          </w:p>
        </w:tc>
        <w:tc>
          <w:tcPr>
            <w:tcW w:w="1000" w:type="dxa"/>
            <w:vAlign w:val="bottom"/>
            <w:tcBorders>
              <w:right w:val="single" w:sz="8" w:color="auto"/>
            </w:tcBorders>
          </w:tcPr>
          <w:p>
            <w:pPr>
              <w:spacing w:after="0"/>
              <w:rPr>
                <w:sz w:val="17"/>
                <w:szCs w:val="17"/>
                <w:color w:val="auto"/>
              </w:rPr>
            </w:pPr>
          </w:p>
        </w:tc>
        <w:tc>
          <w:tcPr>
            <w:tcW w:w="41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Email 1:</w:t>
            </w:r>
          </w:p>
        </w:tc>
        <w:tc>
          <w:tcPr>
            <w:tcW w:w="1240" w:type="dxa"/>
            <w:vAlign w:val="bottom"/>
          </w:tcPr>
          <w:p>
            <w:pPr>
              <w:spacing w:after="0"/>
              <w:rPr>
                <w:sz w:val="17"/>
                <w:szCs w:val="17"/>
                <w:color w:val="auto"/>
              </w:rPr>
            </w:pPr>
          </w:p>
        </w:tc>
      </w:tr>
      <w:tr>
        <w:trPr>
          <w:trHeight w:val="236"/>
        </w:trPr>
        <w:tc>
          <w:tcPr>
            <w:tcW w:w="1280" w:type="dxa"/>
            <w:vAlign w:val="bottom"/>
            <w:tcBorders>
              <w:right w:val="single" w:sz="8" w:color="auto"/>
            </w:tcBorders>
          </w:tcPr>
          <w:p>
            <w:pPr>
              <w:spacing w:after="0"/>
              <w:rPr>
                <w:sz w:val="20"/>
                <w:szCs w:val="20"/>
                <w:color w:val="auto"/>
              </w:rPr>
            </w:pPr>
          </w:p>
        </w:tc>
        <w:tc>
          <w:tcPr>
            <w:tcW w:w="31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If more than one, list all</w:t>
            </w:r>
          </w:p>
        </w:tc>
        <w:tc>
          <w:tcPr>
            <w:tcW w:w="100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2:</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Facsimile:</w:t>
            </w:r>
          </w:p>
        </w:tc>
        <w:tc>
          <w:tcPr>
            <w:tcW w:w="10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601"/>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C-25</w:t>
            </w: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COMPLETE BELOW TO UPDATE </w:t>
      </w:r>
      <w:r>
        <w:rPr>
          <w:rFonts w:ascii="Times New Roman" w:cs="Times New Roman" w:eastAsia="Times New Roman" w:hAnsi="Times New Roman"/>
          <w:sz w:val="18"/>
          <w:szCs w:val="18"/>
          <w:b w:val="1"/>
          <w:bCs w:val="1"/>
          <w:u w:val="single" w:color="auto"/>
          <w:color w:val="auto"/>
        </w:rPr>
        <w:t>EXHIBIT B-2</w:t>
      </w:r>
    </w:p>
    <w:p>
      <w:pPr>
        <w:spacing w:after="0" w:line="162"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 xml:space="preserve">If the Company wishes to change the names or details of any of the Authorized Representatives of the Company, the Company must complete, sign and send to Trustee an updated copy of this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with such changes. Any updated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shall be effective once signed by the Company and Trustee and shall entirely supersede and replace any prior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to the Agreement or submitted to Trustee.</w:t>
      </w: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CLEARWAY ENERGY, INC.</w:t>
            </w:r>
          </w:p>
        </w:tc>
        <w:tc>
          <w:tcPr>
            <w:tcW w:w="4040" w:type="dxa"/>
            <w:vAlign w:val="bottom"/>
          </w:tcPr>
          <w:p>
            <w:pPr>
              <w:spacing w:after="0"/>
              <w:rPr>
                <w:sz w:val="20"/>
                <w:szCs w:val="20"/>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3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40" w:type="dxa"/>
            <w:vAlign w:val="bottom"/>
          </w:tcPr>
          <w:p>
            <w:pPr>
              <w:spacing w:after="0"/>
              <w:rPr>
                <w:sz w:val="4"/>
                <w:szCs w:val="4"/>
                <w:color w:val="auto"/>
              </w:rPr>
            </w:pPr>
          </w:p>
        </w:tc>
      </w:tr>
      <w:tr>
        <w:trPr>
          <w:trHeight w:val="218"/>
        </w:trPr>
        <w:tc>
          <w:tcPr>
            <w:tcW w:w="3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Craig Cornelius</w:t>
            </w:r>
          </w:p>
        </w:tc>
        <w:tc>
          <w:tcPr>
            <w:tcW w:w="40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4040" w:type="dxa"/>
            <w:vAlign w:val="bottom"/>
          </w:tcPr>
          <w:p>
            <w:pPr>
              <w:spacing w:after="0"/>
              <w:rPr>
                <w:sz w:val="20"/>
                <w:szCs w:val="20"/>
                <w:color w:val="auto"/>
              </w:rPr>
            </w:pPr>
          </w:p>
        </w:tc>
      </w:tr>
      <w:tr>
        <w:trPr>
          <w:trHeight w:val="37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WILMINGTON TRUST, NATIONAL ASSOCIATION</w:t>
            </w:r>
          </w:p>
        </w:tc>
        <w:tc>
          <w:tcPr>
            <w:tcW w:w="404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36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40" w:type="dxa"/>
            <w:vAlign w:val="bottom"/>
          </w:tcPr>
          <w:p>
            <w:pPr>
              <w:spacing w:after="0"/>
              <w:rPr>
                <w:sz w:val="4"/>
                <w:szCs w:val="4"/>
                <w:color w:val="auto"/>
              </w:rPr>
            </w:pPr>
          </w:p>
        </w:tc>
      </w:tr>
      <w:tr>
        <w:trPr>
          <w:trHeight w:val="232"/>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spacing w:after="0"/>
              <w:rPr>
                <w:sz w:val="20"/>
                <w:szCs w:val="20"/>
                <w:color w:val="auto"/>
              </w:rPr>
            </w:pPr>
          </w:p>
        </w:tc>
      </w:tr>
      <w:tr>
        <w:trPr>
          <w:trHeight w:val="378"/>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tcPr>
          <w:p>
            <w:pPr>
              <w:spacing w:after="0"/>
              <w:rPr>
                <w:sz w:val="24"/>
                <w:szCs w:val="24"/>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r>
    </w:tbl>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Internal Use Only:</w:t>
      </w:r>
    </w:p>
    <w:p>
      <w:pPr>
        <w:spacing w:after="0" w:line="160" w:lineRule="exact"/>
        <w:rPr>
          <w:sz w:val="20"/>
          <w:szCs w:val="20"/>
          <w:color w:val="auto"/>
        </w:rPr>
      </w:pPr>
    </w:p>
    <w:p>
      <w:pPr>
        <w:ind w:left="1620" w:hanging="360"/>
        <w:spacing w:after="0"/>
        <w:tabs>
          <w:tab w:leader="none" w:pos="162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Updated details of Authorized Representatives completed in full</w:t>
      </w:r>
    </w:p>
    <w:p>
      <w:pPr>
        <w:spacing w:after="0" w:line="144" w:lineRule="exact"/>
        <w:rPr>
          <w:rFonts w:ascii="MS PGothic" w:cs="MS PGothic" w:eastAsia="MS PGothic" w:hAnsi="MS PGothic"/>
          <w:sz w:val="18"/>
          <w:szCs w:val="18"/>
          <w:color w:val="auto"/>
        </w:rPr>
      </w:pPr>
    </w:p>
    <w:p>
      <w:pPr>
        <w:ind w:left="1620" w:right="499" w:hanging="360"/>
        <w:spacing w:after="0" w:line="282" w:lineRule="auto"/>
        <w:tabs>
          <w:tab w:leader="none" w:pos="162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Signed by a representative of the Company per relevant board resolutions/certificate of incumbency on file (if relevant).</w:t>
      </w:r>
    </w:p>
    <w:p>
      <w:pPr>
        <w:spacing w:after="0" w:line="9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Call-back performed to the Company to confirm authenticity of updated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 Called:                        Date of Call:               Time of Call:               am/pm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-7620</wp:posOffset>
            </wp:positionV>
            <wp:extent cx="6559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5955" cy="8255"/>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-7620</wp:posOffset>
            </wp:positionV>
            <wp:extent cx="3873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350" cy="82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-7620</wp:posOffset>
            </wp:positionV>
            <wp:extent cx="3562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6235" cy="8255"/>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Reviewed by (name):       Signature: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231775</wp:posOffset>
            </wp:positionV>
            <wp:extent cx="32918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1858010</wp:posOffset>
            </wp:positionH>
            <wp:positionV relativeFrom="paragraph">
              <wp:posOffset>-7620</wp:posOffset>
            </wp:positionV>
            <wp:extent cx="1187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B-3</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Form of Written Direction</w:t>
      </w:r>
    </w:p>
    <w:p>
      <w:pPr>
        <w:spacing w:after="0" w:line="225"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[Form to be provided by CEG or the Company, provided that any alternative form contain substantially all information in the table below]</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Example for reference purposes only:</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[Corporate Client Services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1100 N. Market Street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DE 19890]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[name]</w:t>
      </w:r>
    </w:p>
    <w:p>
      <w:pPr>
        <w:spacing w:after="0" w:line="20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Re: Trust Account No.: [##], [trust account name]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0" w:lineRule="exact"/>
        <w:rPr>
          <w:sz w:val="20"/>
          <w:szCs w:val="20"/>
          <w:color w:val="auto"/>
        </w:rPr>
      </w:pPr>
    </w:p>
    <w:p>
      <w:pPr>
        <w:jc w:val="both"/>
        <w:ind w:left="1260" w:right="779" w:firstLine="360"/>
        <w:spacing w:after="0" w:line="259"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w:t>
      </w:r>
      <w:r>
        <w:rPr>
          <w:rFonts w:ascii="Times New Roman" w:cs="Times New Roman" w:eastAsia="Times New Roman" w:hAnsi="Times New Roman"/>
          <w:sz w:val="18"/>
          <w:szCs w:val="18"/>
          <w:b w:val="1"/>
          <w:bCs w:val="1"/>
          <w:i w:val="1"/>
          <w:iCs w:val="1"/>
          <w:color w:val="auto"/>
        </w:rPr>
        <w:t>WTNA</w:t>
      </w:r>
      <w:r>
        <w:rPr>
          <w:rFonts w:ascii="Times New Roman" w:cs="Times New Roman" w:eastAsia="Times New Roman" w:hAnsi="Times New Roman"/>
          <w:sz w:val="18"/>
          <w:szCs w:val="18"/>
          <w:color w:val="auto"/>
        </w:rPr>
        <w:t>”),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defined in the Agreement shall have the same meanings when used herein. This letter is a Written Direction referred to in Section [            ] of the Agreement.</w:t>
      </w:r>
    </w:p>
    <w:p>
      <w:pPr>
        <w:spacing w:after="0" w:line="11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[Clearway Energy, Inc. hereby instructs the Trustee to vote the Deposited Shares in accordance with the following proportion as the votes cast by all holders of Voting Securities of the Company entitled to vote thereon:]</w:t>
      </w:r>
    </w:p>
    <w:p>
      <w:pPr>
        <w:spacing w:after="0" w:line="10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[CEG hereby instructs the Trustee to transfer the Deposited Shares in the amounts, and to the account(s),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44488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208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Amount:</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Bank Name: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Bank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1:</w:t>
      </w:r>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Bank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2:</w:t>
      </w:r>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Bank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3:</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ABA#:</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SWIFT#:</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Account Title:</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Account No./IBAN:</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1:</w:t>
      </w:r>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2:</w:t>
      </w:r>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Beneficiary Address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Line 3:</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[Clearway Energy, Inc.][Clearway Energy Group LLC</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49803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Delivery and Authentication of Written Direction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3" w:lineRule="auto"/>
        <w:tabs>
          <w:tab w:leader="none" w:pos="233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Direction must include the name and signature of the person delivering the disbursement request to the Trustee. The Trustee will check that the name and signature of the person identified on the Written Direction appears to be the same as the name and signature of an Authorized Representative of such party. Upon receipt of the Written Direction and verification of signature as set forth in Section 1.1(a) above, the Trustee shall follow internal policies and procedures for confirming the validity or authenticity of funds transfer instructions, which may include a telephone call to an Authorized Representative of the party purporting to deliver the Written Direction (which Authorized Representative may be the same as the Authorized Representative who delivered the Written Direction) at any telephone number for such Authorized Representative as set forth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obtain oral confirmation of delivery of the Written Direction.</w:t>
      </w:r>
    </w:p>
    <w:p>
      <w:pPr>
        <w:spacing w:after="0" w:line="126" w:lineRule="exact"/>
        <w:rPr>
          <w:rFonts w:ascii="Times New Roman" w:cs="Times New Roman" w:eastAsia="Times New Roman" w:hAnsi="Times New Roman"/>
          <w:sz w:val="18"/>
          <w:szCs w:val="18"/>
          <w:color w:val="auto"/>
        </w:rPr>
      </w:pPr>
    </w:p>
    <w:p>
      <w:pPr>
        <w:ind w:left="1620" w:right="579" w:firstLine="360"/>
        <w:spacing w:after="0" w:line="256" w:lineRule="auto"/>
        <w:tabs>
          <w:tab w:leader="none" w:pos="23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given its particular circumstances, including the nature of its business, the size, type and frequency of its instructions, transactions and files, internal procedures and systems, the alternative security procedures offered by the Trustee and the security procedures in general use by other customers and banks similarly situated, the security procedures set forth in this Section 1.1 are a commercially reasonable method of verifying the authenticity of a payment order in a Written Direction.</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3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authorized to execute, and each party expressly agrees to be bound by any payment order in a Written Direction issued in its name (and associated funds transfer) (i) that is accepted by the Trustee in accordance with the security procedures set forth in this Section 1.1, whether or not authorized by such party and/or (ii) that is authorized by or on behalf of such party or for which such party is otherwise bound under the law of agency, whether or not the security procedures set forth in this Section 1.1 were followed, and to debit the Trust Account for the amount of the payment order. Notwithstanding anything else, the Trustee shall be deemed to have acted in good faith and without gross negligence or willful misconduct if the Trustee is authorized to execute the payment order under this Section 1.1. Any action taken by the Trustee pursuant to this Section 1.1 prior to the Trustee’s actual receipt and acknowledgement of a notice of revocation, cancellation or amendment of a Written Direction shall not be affected by such notice of revocation, cancellation or amendment of a Written Direction</w:t>
      </w:r>
      <w:r>
        <w:rPr>
          <w:rFonts w:ascii="Times New Roman" w:cs="Times New Roman" w:eastAsia="Times New Roman" w:hAnsi="Times New Roman"/>
          <w:sz w:val="18"/>
          <w:szCs w:val="18"/>
          <w:b w:val="1"/>
          <w:bCs w:val="1"/>
          <w:i w:val="1"/>
          <w:iCs w:val="1"/>
          <w:color w:val="auto"/>
        </w:rPr>
        <w:t>.</w:t>
      </w:r>
    </w:p>
    <w:p>
      <w:pPr>
        <w:spacing w:after="0" w:line="340" w:lineRule="exact"/>
        <w:rPr>
          <w:rFonts w:ascii="Times New Roman" w:cs="Times New Roman" w:eastAsia="Times New Roman" w:hAnsi="Times New Roman"/>
          <w:sz w:val="18"/>
          <w:szCs w:val="18"/>
          <w:color w:val="auto"/>
        </w:rPr>
      </w:pPr>
    </w:p>
    <w:p>
      <w:pPr>
        <w:ind w:left="1620" w:right="539" w:firstLine="360"/>
        <w:spacing w:after="0" w:line="261" w:lineRule="auto"/>
        <w:tabs>
          <w:tab w:leader="none" w:pos="234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procedures set forth in this Section 1.1 are intended to verify the authenticity of payment orders provided to the Trustee and are not designed to, and do not, detect errors in the transmission or content of any payment order. The Trustee is not responsible for detecting an error in the payment order, regardless of whether either party believes the error was apparent.</w:t>
      </w:r>
    </w:p>
    <w:p>
      <w:pPr>
        <w:spacing w:after="0" w:line="112"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3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instructed to credit or pay a party by both name and a unique numeric or alpha-numeric identifier (e.g. ABA number or account number), the Trustee, and any other banks participating in the funds transfer, may rely solely on the unique identifier, even if it identifies a party different than the party named. Each party agrees to be bound by the rules of any funds transfer network used in connection with any payment order accepted by the Trustee hereunder.</w:t>
      </w:r>
    </w:p>
    <w:p>
      <w:pPr>
        <w:spacing w:after="0" w:line="102"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obliged to make any payment requested under this Agreement if it is unable to validate the authenticity of the request by the security procedures set forth in this Section 1.1. The Trustee’s inability to confirm a payment order may result in a delay or failure to act on that payment order. Notwithstanding anything else in this Agreement, the Trustee shall not be required to treat a payment order as having been received until the Trustee has authenticated it pursuant to the security procedures in this Section 1.1 and shall not be liable or responsible for any losses arising in relation to such delay or failure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Deposited Share Release Notice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Corporate Trust Administration — CEG Voting Trust]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Re: Deposited Share Release Notice pursuant to Voting Trust Agreement dated as of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Reference is made to the Voting Trust Agreement, dated as of [ 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Clearway Energy Group LLC, a Delaware limited liability company (“</w:t>
      </w:r>
      <w:r>
        <w:rPr>
          <w:rFonts w:ascii="Times New Roman" w:cs="Times New Roman" w:eastAsia="Times New Roman" w:hAnsi="Times New Roman"/>
          <w:sz w:val="18"/>
          <w:szCs w:val="18"/>
          <w:b w:val="1"/>
          <w:bCs w:val="1"/>
          <w:i w:val="1"/>
          <w:iCs w:val="1"/>
          <w:color w:val="auto"/>
        </w:rPr>
        <w:t>CEG</w:t>
      </w:r>
      <w:r>
        <w:rPr>
          <w:rFonts w:ascii="Times New Roman" w:cs="Times New Roman" w:eastAsia="Times New Roman" w:hAnsi="Times New Roman"/>
          <w:sz w:val="18"/>
          <w:szCs w:val="18"/>
          <w:color w:val="auto"/>
        </w:rPr>
        <w:t>”), and Wilmington Trust, National Association, a national banking association, as voting trustee thereunder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Capitalized terms used but not defined herein shall have the meanings ascribed to them in the Agreement. This notice constitutes [an SSI Release Notice][an SCA Release Notice][a Specified Exchange Release Notice] pursuant to Section 12[(a)][(b)][(c)] of the Agreement.</w:t>
      </w:r>
    </w:p>
    <w:p>
      <w:pPr>
        <w:spacing w:after="0" w:line="186" w:lineRule="exact"/>
        <w:rPr>
          <w:sz w:val="20"/>
          <w:szCs w:val="20"/>
          <w:color w:val="auto"/>
        </w:rPr>
      </w:pPr>
    </w:p>
    <w:p>
      <w:pPr>
        <w:ind w:left="1260"/>
        <w:spacing w:after="0"/>
        <w:tabs>
          <w:tab w:leader="none" w:pos="1500" w:val="left"/>
        </w:tabs>
        <w:rPr>
          <w:sz w:val="20"/>
          <w:szCs w:val="20"/>
          <w:color w:val="auto"/>
        </w:rPr>
      </w:pPr>
      <w:r>
        <w:rPr>
          <w:rFonts w:ascii="Times New Roman" w:cs="Times New Roman" w:eastAsia="Times New Roman" w:hAnsi="Times New Roman"/>
          <w:sz w:val="18"/>
          <w:szCs w:val="18"/>
          <w:u w:val="single" w:color="auto"/>
          <w:color w:val="auto"/>
        </w:rPr>
        <w:t>I.</w:t>
        <w:tab/>
        <w:t>Description of Triggering Event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[If an SSI Release Notice:]</w:t>
      </w:r>
    </w:p>
    <w:p>
      <w:pPr>
        <w:spacing w:after="0" w:line="16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CEG hereby advises the Trustee that the Company has issued shares of Class C Common Stock (other than to CEG or a CEG Related Person)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88265</wp:posOffset>
            </wp:positionV>
            <wp:extent cx="5212080" cy="6858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12080" cy="685800"/>
                    </a:xfrm>
                    <a:prstGeom prst="rect">
                      <a:avLst/>
                    </a:prstGeom>
                    <a:noFill/>
                  </pic:spPr>
                </pic:pic>
              </a:graphicData>
            </a:graphic>
          </wp:anchor>
        </w:drawing>
      </w:r>
    </w:p>
    <w:p>
      <w:pPr>
        <w:spacing w:after="0" w:line="1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Specified Share Issuance:</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of Class C Common Stock</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issued:</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Description of Specified Share Issuance:</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[If an SCA Release Notice:]</w:t>
      </w:r>
    </w:p>
    <w:p>
      <w:pPr>
        <w:spacing w:after="0" w:line="146"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CEG hereby advises the Trustee that the Company has [issued shares of Voting Securities (other than Class C Common Stock) (other than to CEG or a CEG Related Person)][taken a corporate action affecting the total voting power of CEG relative to the other stockholders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106045</wp:posOffset>
            </wp:positionV>
            <wp:extent cx="5212080" cy="7029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702945"/>
                    </a:xfrm>
                    <a:prstGeom prst="rect">
                      <a:avLst/>
                    </a:prstGeom>
                    <a:noFill/>
                  </pic:spPr>
                </pic:pic>
              </a:graphicData>
            </a:graphic>
          </wp:anchor>
        </w:drawing>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Specified Corporate Action:</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Description of Specified Corporate Action:</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and class of Voting Securities issued (if</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applicable):</w:t>
      </w:r>
    </w:p>
    <w:p>
      <w:pPr>
        <w:spacing w:after="0" w:line="2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[If a Specified Exchange Release Notice:]</w:t>
      </w:r>
    </w:p>
    <w:p>
      <w:pPr>
        <w:spacing w:after="0" w:line="160"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CEG hereby advises the Trustee that CEG has effected a Specified Exchange pursuant to the Exchange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88265</wp:posOffset>
            </wp:positionV>
            <wp:extent cx="5212080" cy="6940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694055"/>
                    </a:xfrm>
                    <a:prstGeom prst="rect">
                      <a:avLst/>
                    </a:prstGeom>
                    <a:noFill/>
                  </pic:spPr>
                </pic:pic>
              </a:graphicData>
            </a:graphic>
          </wp:anchor>
        </w:drawing>
      </w:r>
    </w:p>
    <w:p>
      <w:pPr>
        <w:spacing w:after="0" w:line="1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Specified Exchange:</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Class B Units surrendered by CEG:</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of Class C Common Stock to be</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delivered to CEG:</w:t>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tabs>
          <w:tab w:leader="none" w:pos="1560" w:val="left"/>
        </w:tabs>
        <w:rPr>
          <w:sz w:val="20"/>
          <w:szCs w:val="20"/>
          <w:color w:val="auto"/>
        </w:rPr>
      </w:pPr>
      <w:r>
        <w:rPr>
          <w:rFonts w:ascii="Times New Roman" w:cs="Times New Roman" w:eastAsia="Times New Roman" w:hAnsi="Times New Roman"/>
          <w:sz w:val="18"/>
          <w:szCs w:val="18"/>
          <w:u w:val="single" w:color="auto"/>
          <w:color w:val="auto"/>
        </w:rPr>
        <w:t>II.</w:t>
        <w:tab/>
        <w:t>Direction to Effect Deposited Share Release</w:t>
      </w:r>
    </w:p>
    <w:p>
      <w:pPr>
        <w:spacing w:after="0" w:line="15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CEG hereby directs the Trustee to effect the applicable Deposited Share Release in accordance with Section 12 of the Agreement. Set forth below is the number of Deposited Shares to be released to CEG, which number has been calculated by CEG in accordance with Section 12[(a)][(b)][(c)] of the Agreement:</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318"/>
        </w:trPr>
        <w:tc>
          <w:tcPr>
            <w:tcW w:w="41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of Deposited Shares to be released:</w:t>
            </w:r>
          </w:p>
        </w:tc>
        <w:tc>
          <w:tcPr>
            <w:tcW w:w="41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 B Common Stock]</w:t>
            </w: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Deposited Shares to be released:</w:t>
            </w:r>
          </w:p>
        </w:tc>
        <w:tc>
          <w:tcPr>
            <w:tcW w:w="4100" w:type="dxa"/>
            <w:vAlign w:val="bottom"/>
            <w:tcBorders>
              <w:bottom w:val="single" w:sz="8" w:color="auto"/>
              <w:right w:val="single" w:sz="8" w:color="auto"/>
            </w:tcBorders>
          </w:tcPr>
          <w:p>
            <w:pPr>
              <w:spacing w:after="0"/>
              <w:rPr>
                <w:sz w:val="21"/>
                <w:szCs w:val="21"/>
                <w:color w:val="auto"/>
              </w:rPr>
            </w:pPr>
          </w:p>
        </w:tc>
      </w:tr>
    </w:tbl>
    <w:p>
      <w:pPr>
        <w:spacing w:after="0" w:line="198" w:lineRule="exact"/>
        <w:rPr>
          <w:sz w:val="20"/>
          <w:szCs w:val="20"/>
          <w:color w:val="auto"/>
        </w:rPr>
      </w:pPr>
    </w:p>
    <w:p>
      <w:pPr>
        <w:ind w:left="1260"/>
        <w:spacing w:after="0"/>
        <w:tabs>
          <w:tab w:leader="none" w:pos="1620" w:val="left"/>
        </w:tabs>
        <w:rPr>
          <w:sz w:val="20"/>
          <w:szCs w:val="20"/>
          <w:color w:val="auto"/>
        </w:rPr>
      </w:pPr>
      <w:r>
        <w:rPr>
          <w:rFonts w:ascii="Times New Roman" w:cs="Times New Roman" w:eastAsia="Times New Roman" w:hAnsi="Times New Roman"/>
          <w:sz w:val="18"/>
          <w:szCs w:val="18"/>
          <w:u w:val="single" w:color="auto"/>
          <w:color w:val="auto"/>
        </w:rPr>
        <w:t>III.</w:t>
        <w:tab/>
        <w:t>Registration Instructions</w:t>
      </w:r>
    </w:p>
    <w:p>
      <w:pPr>
        <w:spacing w:after="0" w:line="158"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CEG hereby instructs the Trustee to take all actions necessary, and to deliver all such instructions, instruments and documents as may be required, to effect the Deposited Share Release in accordance with this Deposited Share Release Notice and Section 12 of the Agreement, including causing the Deposited Shares to be released to be registered in book-entry form in the name of CEG (or its nominee) on the stockholder register of the Company, free and clear of any legend or other notation referencing the Voting Trust or the Agreement, as follows:</w:t>
      </w:r>
    </w:p>
    <w:p>
      <w:pPr>
        <w:spacing w:after="0" w:line="145" w:lineRule="exact"/>
        <w:rPr>
          <w:sz w:val="20"/>
          <w:szCs w:val="20"/>
          <w:color w:val="auto"/>
        </w:rPr>
      </w:pPr>
    </w:p>
    <w:tbl>
      <w:tblPr>
        <w:tblLayout w:type="fixed"/>
        <w:tblInd w:w="1270" w:type="dxa"/>
        <w:tblCellMar>
          <w:top w:w="0" w:type="dxa"/>
          <w:left w:w="0" w:type="dxa"/>
          <w:bottom w:w="0" w:type="dxa"/>
          <w:right w:w="0" w:type="dxa"/>
        </w:tblCellMar>
      </w:tblPr>
      <w:tr>
        <w:trPr>
          <w:trHeight w:val="318"/>
        </w:trPr>
        <w:tc>
          <w:tcPr>
            <w:tcW w:w="41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for Registration:</w:t>
            </w:r>
          </w:p>
        </w:tc>
        <w:tc>
          <w:tcPr>
            <w:tcW w:w="41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[Clearway Energy Group LLC]</w:t>
            </w: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Address:</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Tax Identification Number:</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Contact Person:</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Contact Telephone:</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Contact Email:</w:t>
            </w:r>
          </w:p>
        </w:tc>
        <w:tc>
          <w:tcPr>
            <w:tcW w:w="4100" w:type="dxa"/>
            <w:vAlign w:val="bottom"/>
            <w:tcBorders>
              <w:bottom w:val="single" w:sz="8" w:color="auto"/>
              <w:right w:val="single" w:sz="8" w:color="auto"/>
            </w:tcBorders>
          </w:tcPr>
          <w:p>
            <w:pPr>
              <w:spacing w:after="0"/>
              <w:rPr>
                <w:sz w:val="21"/>
                <w:szCs w:val="21"/>
                <w:color w:val="auto"/>
              </w:rPr>
            </w:pPr>
          </w:p>
        </w:tc>
      </w:tr>
      <w:tr>
        <w:trPr>
          <w:trHeight w:val="25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Special Instructions (if any):</w:t>
            </w:r>
          </w:p>
        </w:tc>
        <w:tc>
          <w:tcPr>
            <w:tcW w:w="4100" w:type="dxa"/>
            <w:vAlign w:val="bottom"/>
            <w:tcBorders>
              <w:bottom w:val="single" w:sz="8" w:color="auto"/>
              <w:right w:val="single" w:sz="8" w:color="auto"/>
            </w:tcBorders>
          </w:tcPr>
          <w:p>
            <w:pPr>
              <w:spacing w:after="0"/>
              <w:rPr>
                <w:sz w:val="21"/>
                <w:szCs w:val="21"/>
                <w:color w:val="auto"/>
              </w:rPr>
            </w:pPr>
          </w:p>
        </w:tc>
      </w:tr>
    </w:tbl>
    <w:p>
      <w:pPr>
        <w:spacing w:after="0" w:line="19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IV.</w:t>
        <w:tab/>
        <w:t>Acknowledgments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CEG acknowledges that (i) this Deposited Share Release Notice shall be determinative as to all matters of fact, including with respect to the calculation of the number of Deposited Shares to be released, (ii) the Trustee shall be entitled to conclusively rely without investigation on this Deposited Share Release Notice and any other written notice, document, instruction or request delivered by CEG with respect to such Deposited Share Release that the Trustee reasonably and in good faith believes to be genuine and to have been signed by an Authorized Representative of CEG and (iii) the Trustee shall have no duty or obligation to make any calculations in connection with the Deposited Share Release contemplated by this Deposited Share Release Notice.</w:t>
      </w:r>
    </w:p>
    <w:p>
      <w:pPr>
        <w:spacing w:after="0" w:line="3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Deposited Share Release Notice to be executed and delivered by an Authorized Representative of CEG as of the date first written above.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SSI Deposited Share Releases</w:t>
      </w:r>
    </w:p>
    <w:p>
      <w:pPr>
        <w:spacing w:after="0" w:line="16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aggregate number of Deposited Shares, if any, to be released from the Voting Trust to CEG in connection with all SSI Deposited Share Releases shall equal the number of shares calculated from the following formula, a worked example of which is attached hereto as Annex A:</w:t>
      </w:r>
    </w:p>
    <w:p>
      <w:pPr>
        <w:spacing w:after="0" w:line="135" w:lineRule="exact"/>
        <w:rPr>
          <w:sz w:val="20"/>
          <w:szCs w:val="20"/>
          <w:color w:val="auto"/>
        </w:rPr>
      </w:pPr>
    </w:p>
    <w:p>
      <w:pPr>
        <w:ind w:left="1260"/>
        <w:spacing w:after="0"/>
        <w:tabs>
          <w:tab w:leader="none" w:pos="5280" w:val="left"/>
          <w:tab w:leader="none" w:pos="6200" w:val="left"/>
        </w:tabs>
        <w:rPr>
          <w:sz w:val="20"/>
          <w:szCs w:val="20"/>
          <w:color w:val="auto"/>
        </w:rPr>
      </w:pPr>
      <w:r>
        <w:rPr>
          <w:rFonts w:ascii="Times New Roman" w:cs="Times New Roman" w:eastAsia="Times New Roman" w:hAnsi="Times New Roman"/>
          <w:sz w:val="18"/>
          <w:szCs w:val="18"/>
          <w:color w:val="auto"/>
        </w:rPr>
        <w:t>Aggregate Number of Deposited Shares Released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(0.0099 x (B + (0.01 x D))) x A 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51435</wp:posOffset>
            </wp:positionV>
            <wp:extent cx="24345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 (0.01 x C)) x ((A + (0.01* C)) + 0.01* I)</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where:</w:t>
      </w:r>
    </w:p>
    <w:p>
      <w:pPr>
        <w:spacing w:after="0" w:line="154" w:lineRule="exact"/>
        <w:rPr>
          <w:sz w:val="20"/>
          <w:szCs w:val="20"/>
          <w:color w:val="auto"/>
        </w:rPr>
      </w:pPr>
    </w:p>
    <w:p>
      <w:pPr>
        <w:ind w:left="1620" w:right="10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is the aggregate number of shares of Class C Common Stock issued in Specified Share Issuances;</w:t>
      </w:r>
    </w:p>
    <w:p>
      <w:pPr>
        <w:spacing w:after="0" w:line="74" w:lineRule="exact"/>
        <w:rPr>
          <w:sz w:val="20"/>
          <w:szCs w:val="20"/>
          <w:color w:val="auto"/>
        </w:rPr>
      </w:pPr>
    </w:p>
    <w:p>
      <w:pPr>
        <w:ind w:left="162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is the number of shares of Class A Common Stock outstanding as of immediately prior to the Effective Time;</w:t>
      </w:r>
    </w:p>
    <w:p>
      <w:pPr>
        <w:spacing w:after="0" w:line="87" w:lineRule="exact"/>
        <w:rPr>
          <w:sz w:val="20"/>
          <w:szCs w:val="20"/>
          <w:color w:val="auto"/>
        </w:rPr>
      </w:pPr>
    </w:p>
    <w:p>
      <w:pPr>
        <w:ind w:left="162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is the number of shares of Class B Common Stock outstanding as of immediately prior to the Effective Time;</w:t>
      </w:r>
    </w:p>
    <w:p>
      <w:pPr>
        <w:spacing w:after="0" w:line="87" w:lineRule="exact"/>
        <w:rPr>
          <w:sz w:val="20"/>
          <w:szCs w:val="20"/>
          <w:color w:val="auto"/>
        </w:rPr>
      </w:pPr>
    </w:p>
    <w:p>
      <w:pPr>
        <w:ind w:left="162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is the number of shares of Class C Common Stock outstanding as of immediately prior to the Effective Time; and</w:t>
      </w:r>
    </w:p>
    <w:p>
      <w:pPr>
        <w:spacing w:after="0" w:line="74" w:lineRule="exact"/>
        <w:rPr>
          <w:sz w:val="20"/>
          <w:szCs w:val="20"/>
          <w:color w:val="auto"/>
        </w:rPr>
      </w:pPr>
    </w:p>
    <w:p>
      <w:pPr>
        <w:ind w:left="1620" w:right="5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t>
      </w:r>
      <w:r>
        <w:rPr>
          <w:rFonts w:ascii="Times New Roman" w:cs="Times New Roman" w:eastAsia="Times New Roman" w:hAnsi="Times New Roman"/>
          <w:sz w:val="18"/>
          <w:szCs w:val="18"/>
          <w:color w:val="auto"/>
        </w:rPr>
        <w:t>” is the number of shares of Class D Common Stock outstanding as of immediately prior to the Effective Time.</w:t>
      </w:r>
    </w:p>
    <w:p>
      <w:pPr>
        <w:spacing w:after="0" w:line="9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the number of Deposited Shares to be released from the Voting Trust to CEG in connection with any given SSI Deposited Share Release shall equal (i) the number of shares calculated pursuant to the foregoing formula,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number of shares released from the Voting Trust to CEG in connection with all prior SSI Deposited Share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150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025005" cy="91509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423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1."/>
      <w:numFmt w:val="decimal"/>
      <w:start w:val="1"/>
    </w:lvl>
    <w:lvl w:ilvl="1">
      <w:lvlJc w:val="left"/>
      <w:lvlText w:val="(%2)"/>
      <w:numFmt w:val="lowerRoman"/>
      <w:start w:val="2"/>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1)"/>
      <w:numFmt w:val="decimal"/>
      <w:start w:val="1"/>
    </w:lvl>
  </w:abstractNum>
  <w:abstractNum w:abstractNumId="17">
    <w:nsid w:val="6EB5BD4"/>
    <w:multiLevelType w:val="hybridMultilevel"/>
    <w:lvl w:ilvl="0">
      <w:lvlJc w:val="left"/>
      <w:lvlText w:val="(%1)"/>
      <w:numFmt w:val="decimal"/>
      <w:start w:val="6"/>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1)"/>
      <w:numFmt w:val="decimal"/>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1)"/>
      <w:numFmt w:val="decimal"/>
      <w:start w:val="1"/>
    </w:lvl>
  </w:abstractNum>
  <w:abstractNum w:abstractNumId="22">
    <w:nsid w:val="4C04A8AF"/>
    <w:multiLevelType w:val="hybridMultilevel"/>
    <w:lvl w:ilvl="0">
      <w:lvlJc w:val="left"/>
      <w:lvlText w:val="(%1)"/>
      <w:numFmt w:val="decimal"/>
      <w:start w:val="9"/>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1)"/>
      <w:numFmt w:val="decimal"/>
      <w:start w:val="1"/>
    </w:lvl>
  </w:abstractNum>
  <w:abstractNum w:abstractNumId="25">
    <w:nsid w:val="3222E7CD"/>
    <w:multiLevelType w:val="hybridMultilevel"/>
    <w:lvl w:ilvl="0">
      <w:lvlJc w:val="left"/>
      <w:lvlText w:val="(%1)"/>
      <w:numFmt w:val="decimal"/>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1)"/>
      <w:numFmt w:val="lowerRoman"/>
      <w:start w:val="1"/>
    </w:lvl>
  </w:abstractNum>
  <w:abstractNum w:abstractNumId="30">
    <w:nsid w:val="4A2AC315"/>
    <w:multiLevelType w:val="hybridMultilevel"/>
    <w:lvl w:ilvl="0">
      <w:lvlJc w:val="left"/>
      <w:lvlText w:val="(%1)"/>
      <w:numFmt w:val="lowerRoman"/>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1)"/>
      <w:numFmt w:val="decimal"/>
      <w:start w:val="4"/>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1)"/>
      <w:numFmt w:val="decimal"/>
      <w:start w:val="5"/>
    </w:lvl>
  </w:abstractNum>
  <w:abstractNum w:abstractNumId="38">
    <w:nsid w:val="49DA307D"/>
    <w:multiLevelType w:val="hybridMultilevel"/>
    <w:lvl w:ilvl="0">
      <w:lvlJc w:val="left"/>
      <w:lvlText w:val="(%1)"/>
      <w:numFmt w:val="decimal"/>
      <w:start w:val="10"/>
    </w:lvl>
  </w:abstractNum>
  <w:abstractNum w:abstractNumId="39">
    <w:nsid w:val="7055A5F5"/>
    <w:multiLevelType w:val="hybridMultilevel"/>
    <w:lvl w:ilvl="0">
      <w:lvlJc w:val="left"/>
      <w:lvlText w:val="(%1)"/>
      <w:numFmt w:val="lowerLetter"/>
      <w:start w:val="1"/>
    </w:lvl>
  </w:abstractNum>
  <w:abstractNum w:abstractNumId="40">
    <w:nsid w:val="5FB8370B"/>
    <w:multiLevelType w:val="hybridMultilevel"/>
    <w:lvl w:ilvl="0">
      <w:lvlJc w:val="left"/>
      <w:lvlText w:val="(%1)"/>
      <w:numFmt w:val="lowerLetter"/>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1)"/>
      <w:numFmt w:val="decimal"/>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1)"/>
      <w:numFmt w:val="lowerRoman"/>
      <w:start w:val="2"/>
    </w:lvl>
  </w:abstractNum>
  <w:abstractNum w:abstractNumId="49">
    <w:nsid w:val="5F3534A4"/>
    <w:multiLevelType w:val="hybridMultilevel"/>
    <w:lvl w:ilvl="0">
      <w:lvlJc w:val="left"/>
      <w:lvlText w:val="(%1)"/>
      <w:numFmt w:val="decimal"/>
      <w:start w:val="1"/>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decimal"/>
      <w:start w:val="1"/>
    </w:lvl>
    <w:lvl w:ilvl="1">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1)"/>
      <w:numFmt w:val="decimal"/>
      <w:start w:val="1"/>
    </w:lvl>
  </w:abstractNum>
  <w:abstractNum w:abstractNumId="54">
    <w:nsid w:val="14FCE74E"/>
    <w:multiLevelType w:val="hybridMultilevel"/>
    <w:lvl w:ilvl="0">
      <w:lvlJc w:val="left"/>
      <w:lvlText w:val="(%1)"/>
      <w:numFmt w:val="decimal"/>
      <w:start w:val="1"/>
    </w:lvl>
  </w:abstractNum>
  <w:abstractNum w:abstractNumId="55">
    <w:nsid w:val="6A3DD3E8"/>
    <w:multiLevelType w:val="hybridMultilevel"/>
    <w:lvl w:ilvl="0">
      <w:lvlJc w:val="left"/>
      <w:lvlText w:val="(%1)"/>
      <w:numFmt w:val="decimal"/>
      <w:start w:val="1"/>
    </w:lvl>
  </w:abstractNum>
  <w:abstractNum w:abstractNumId="56">
    <w:nsid w:val="71C91298"/>
    <w:multiLevelType w:val="hybridMultilevel"/>
    <w:lvl w:ilvl="0">
      <w:lvlJc w:val="left"/>
      <w:lvlText w:val="(%1)"/>
      <w:numFmt w:val="decimal"/>
      <w:start w:val="5"/>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1)"/>
      <w:numFmt w:val="decimal"/>
      <w:start w:val="4"/>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8"/>
    </w:lvl>
  </w:abstractNum>
  <w:abstractNum w:abstractNumId="61">
    <w:nsid w:val="1D545C4D"/>
    <w:multiLevelType w:val="hybridMultilevel"/>
    <w:lvl w:ilvl="0">
      <w:lvlJc w:val="left"/>
      <w:lvlText w:val="(%1)"/>
      <w:numFmt w:val="decimal"/>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1)"/>
      <w:numFmt w:val="lowerRoman"/>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lvl w:ilvl="1">
      <w:lvlJc w:val="left"/>
      <w:lvlText w:val="(%2)"/>
      <w:numFmt w:val="lowerRoman"/>
      <w:start w:val="2"/>
    </w:lvl>
  </w:abstractNum>
  <w:abstractNum w:abstractNumId="70">
    <w:nsid w:val="415E286C"/>
    <w:multiLevelType w:val="hybridMultilevel"/>
    <w:lvl w:ilvl="0">
      <w:lvlJc w:val="left"/>
      <w:lvlText w:val="•"/>
      <w:numFmt w:val="bullet"/>
      <w:start w:val="1"/>
    </w:lvl>
    <w:lvl w:ilvl="1">
      <w:lvlJc w:val="left"/>
      <w:lvlText w:val="(%2)"/>
      <w:numFmt w:val="lowerRoman"/>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1)"/>
      <w:numFmt w:val="decimal"/>
      <w:start w:val="1"/>
    </w:lvl>
  </w:abstractNum>
  <w:abstractNum w:abstractNumId="74">
    <w:nsid w:val="5C10FE21"/>
    <w:multiLevelType w:val="hybridMultilevel"/>
    <w:lvl w:ilvl="0">
      <w:lvlJc w:val="left"/>
      <w:lvlText w:val="(%1)"/>
      <w:numFmt w:val="decimal"/>
      <w:start w:val="2"/>
    </w:lvl>
  </w:abstractNum>
  <w:abstractNum w:abstractNumId="75">
    <w:nsid w:val="E7FFA2B"/>
    <w:multiLevelType w:val="hybridMultilevel"/>
    <w:lvl w:ilvl="0">
      <w:lvlJc w:val="left"/>
      <w:lvlText w:val="(%1)"/>
      <w:numFmt w:val="decimal"/>
      <w:start w:val="4"/>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a"/>
      <w:numFmt w:val="bullet"/>
      <w:start w:val="1"/>
    </w:lvl>
  </w:abstractNum>
  <w:abstractNum w:abstractNumId="78">
    <w:nsid w:val="78DF6A55"/>
    <w:multiLevelType w:val="hybridMultilevel"/>
    <w:lvl w:ilvl="0">
      <w:lvlJc w:val="left"/>
      <w:lvlText w:val="%1."/>
      <w:numFmt w:val="decimal"/>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1."/>
      <w:numFmt w:val="decimal"/>
      <w:start w:val="2"/>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1."/>
      <w:numFmt w:val="decimal"/>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1."/>
      <w:numFmt w:val="upperLetter"/>
      <w:start w:val="1"/>
    </w:lvl>
  </w:abstractNum>
  <w:abstractNum w:abstractNumId="85">
    <w:nsid w:val="4C9B0904"/>
    <w:multiLevelType w:val="hybridMultilevel"/>
    <w:lvl w:ilvl="0">
      <w:lvlJc w:val="left"/>
      <w:lvlText w:val="(%1)"/>
      <w:numFmt w:val="lowerLetter"/>
      <w:start w:val="1"/>
    </w:lvl>
  </w:abstractNum>
  <w:abstractNum w:abstractNumId="86">
    <w:nsid w:val="6AA7B75C"/>
    <w:multiLevelType w:val="hybridMultilevel"/>
    <w:lvl w:ilvl="0">
      <w:lvlJc w:val="left"/>
      <w:lvlText w:val="(%1)"/>
      <w:numFmt w:val="lowerLetter"/>
      <w:start w:val="1"/>
    </w:lvl>
  </w:abstractNum>
  <w:abstractNum w:abstractNumId="87">
    <w:nsid w:val="1DF029D3"/>
    <w:multiLevelType w:val="hybridMultilevel"/>
    <w:lvl w:ilvl="0">
      <w:lvlJc w:val="left"/>
      <w:lvlText w:val="(%1)"/>
      <w:numFmt w:val="lowerLetter"/>
      <w:start w:val="1"/>
    </w:lvl>
  </w:abstractNum>
  <w:abstractNum w:abstractNumId="88">
    <w:nsid w:val="5675FF36"/>
    <w:multiLevelType w:val="hybridMultilevel"/>
    <w:lvl w:ilvl="0">
      <w:lvlJc w:val="left"/>
      <w:lvlText w:val="(%1)"/>
      <w:numFmt w:val="lowerLetter"/>
      <w:start w:val="2"/>
    </w:lvl>
    <w:lvl w:ilvl="1">
      <w:lvlJc w:val="left"/>
      <w:lvlText w:val="(%2)"/>
      <w:numFmt w:val="lowerRoman"/>
      <w:start w:val="1"/>
    </w:lvl>
  </w:abstractNum>
  <w:abstractNum w:abstractNumId="89">
    <w:nsid w:val="3DD15094"/>
    <w:multiLevelType w:val="hybridMultilevel"/>
    <w:lvl w:ilvl="0">
      <w:lvlJc w:val="left"/>
      <w:lvlText w:val="(%1)"/>
      <w:numFmt w:val="lowerRoman"/>
      <w:start w:val="10"/>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lowerRoman"/>
      <w:start w:val="4"/>
    </w:lvl>
  </w:abstractNum>
  <w:abstractNum w:abstractNumId="92">
    <w:nsid w:val="5B25ACE2"/>
    <w:multiLevelType w:val="hybridMultilevel"/>
    <w:lvl w:ilvl="0">
      <w:lvlJc w:val="left"/>
      <w:lvlText w:val="(%1)"/>
      <w:numFmt w:val="lowerLetter"/>
      <w:start w:val="1"/>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Roman"/>
      <w:start w:val="2"/>
    </w:lvl>
  </w:abstractNum>
  <w:abstractNum w:abstractNumId="95">
    <w:nsid w:val="53B0A9E"/>
    <w:multiLevelType w:val="hybridMultilevel"/>
    <w:lvl w:ilvl="0">
      <w:lvlJc w:val="left"/>
      <w:lvlText w:val="%1."/>
      <w:numFmt w:val="upperLetter"/>
      <w:start w:val="1"/>
    </w:lvl>
  </w:abstractNum>
  <w:abstractNum w:abstractNumId="96">
    <w:nsid w:val="34FD6B4F"/>
    <w:multiLevelType w:val="hybridMultilevel"/>
    <w:lvl w:ilvl="0">
      <w:lvlJc w:val="left"/>
      <w:lvlText w:val="(%1)"/>
      <w:numFmt w:val="lowerLetter"/>
      <w:start w:val="1"/>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1)"/>
      <w:numFmt w:val="lowerLetter"/>
      <w:start w:val="2"/>
    </w:lvl>
    <w:lvl w:ilvl="1">
      <w:lvlJc w:val="left"/>
      <w:lvlText w:val="(%2)"/>
      <w:numFmt w:val="lowerRoman"/>
      <w:start w:val="1"/>
    </w:lvl>
  </w:abstractNum>
  <w:abstractNum w:abstractNumId="100">
    <w:nsid w:val="2C6E4AFD"/>
    <w:multiLevelType w:val="hybridMultilevel"/>
    <w:lvl w:ilvl="0">
      <w:lvlJc w:val="left"/>
      <w:lvlText w:val="%1"/>
      <w:numFmt w:val="lowerLetter"/>
      <w:start w:val="1"/>
    </w:lvl>
    <w:lvl w:ilvl="1">
      <w:lvlJc w:val="left"/>
      <w:lvlText w:val="(%2)"/>
      <w:numFmt w:val="lowerLetter"/>
      <w:start w:val="6"/>
    </w:lvl>
  </w:abstractNum>
  <w:abstractNum w:abstractNumId="101">
    <w:nsid w:val="17A1B582"/>
    <w:multiLevelType w:val="hybridMultilevel"/>
    <w:lvl w:ilvl="0">
      <w:lvlJc w:val="left"/>
      <w:lvlText w:val="(%1)"/>
      <w:numFmt w:val="lowerLetter"/>
      <w:start w:val="24"/>
    </w:lvl>
    <w:lvl w:ilvl="1">
      <w:lvlJc w:val="left"/>
      <w:lvlText w:val="%2"/>
      <w:numFmt w:val="lowerLetter"/>
      <w:start w:val="1"/>
    </w:lvl>
  </w:abstractNum>
  <w:abstractNum w:abstractNumId="102">
    <w:nsid w:val="4DF72E4E"/>
    <w:multiLevelType w:val="hybridMultilevel"/>
    <w:lvl w:ilvl="0">
      <w:lvlJc w:val="left"/>
      <w:lvlText w:val="(%1)"/>
      <w:numFmt w:val="lowerLetter"/>
      <w:start w:val="6"/>
    </w:lvl>
  </w:abstractNum>
  <w:abstractNum w:abstractNumId="103">
    <w:nsid w:val="5046B5A9"/>
    <w:multiLevelType w:val="hybridMultilevel"/>
    <w:lvl w:ilvl="0">
      <w:lvlJc w:val="left"/>
      <w:lvlText w:val="(%1)"/>
      <w:numFmt w:val="lowerLetter"/>
      <w:start w:val="1"/>
    </w:lvl>
  </w:abstractNum>
  <w:abstractNum w:abstractNumId="104">
    <w:nsid w:val="5D888A08"/>
    <w:multiLevelType w:val="hybridMultilevel"/>
    <w:lvl w:ilvl="0">
      <w:lvlJc w:val="left"/>
      <w:lvlText w:val="(%1)"/>
      <w:numFmt w:val="lowerRoman"/>
      <w:start w:val="4"/>
    </w:lvl>
  </w:abstractNum>
  <w:abstractNum w:abstractNumId="105">
    <w:nsid w:val="2A082C70"/>
    <w:multiLevelType w:val="hybridMultilevel"/>
    <w:lvl w:ilvl="0">
      <w:lvlJc w:val="left"/>
      <w:lvlText w:val="(%1)"/>
      <w:numFmt w:val="lowerLetter"/>
      <w:start w:val="1"/>
    </w:lvl>
  </w:abstractNum>
  <w:abstractNum w:abstractNumId="106">
    <w:nsid w:val="5EC6AFD4"/>
    <w:multiLevelType w:val="hybridMultilevel"/>
    <w:lvl w:ilvl="0">
      <w:lvlJc w:val="left"/>
      <w:lvlText w:val="(%1)"/>
      <w:numFmt w:val="lowerRoman"/>
      <w:start w:val="1"/>
    </w:lvl>
  </w:abstractNum>
  <w:abstractNum w:abstractNumId="107">
    <w:nsid w:val="19E21BB2"/>
    <w:multiLevelType w:val="hybridMultilevel"/>
    <w:lvl w:ilvl="0">
      <w:lvlJc w:val="left"/>
      <w:lvlText w:val="(%1)"/>
      <w:numFmt w:val="lowerLetter"/>
      <w:start w:val="1"/>
    </w:lvl>
  </w:abstractNum>
  <w:abstractNum w:abstractNumId="108">
    <w:nsid w:val="75E0858A"/>
    <w:multiLevelType w:val="hybridMultilevel"/>
    <w:lvl w:ilvl="0">
      <w:lvlJc w:val="left"/>
      <w:lvlText w:val="%1."/>
      <w:numFmt w:val="decimal"/>
      <w:start w:val="1"/>
    </w:lvl>
    <w:lvl w:ilvl="1">
      <w:lvlJc w:val="left"/>
      <w:lvlText w:val="(%2)"/>
      <w:numFmt w:val="lowerLetter"/>
      <w:start w:val="1"/>
    </w:lvl>
  </w:abstractNum>
  <w:abstractNum w:abstractNumId="109">
    <w:nsid w:val="57A61A29"/>
    <w:multiLevelType w:val="hybridMultilevel"/>
    <w:lvl w:ilvl="0">
      <w:lvlJc w:val="left"/>
      <w:lvlText w:val="(%1)"/>
      <w:numFmt w:val="lowerLetter"/>
      <w:start w:val="3"/>
    </w:lvl>
    <w:lvl w:ilvl="1">
      <w:lvlJc w:val="left"/>
      <w:lvlText w:val="(%2)"/>
      <w:numFmt w:val="lowerRoman"/>
      <w:start w:val="1"/>
    </w:lvl>
  </w:abstractNum>
  <w:abstractNum w:abstractNumId="110">
    <w:nsid w:val="5399C654"/>
    <w:multiLevelType w:val="hybridMultilevel"/>
    <w:lvl w:ilvl="0">
      <w:lvlJc w:val="left"/>
      <w:lvlText w:val="(%1)"/>
      <w:numFmt w:val="lowerLetter"/>
      <w:start w:val="9"/>
    </w:lvl>
    <w:lvl w:ilvl="1">
      <w:lvlJc w:val="left"/>
      <w:lvlText w:val="(%2)"/>
      <w:numFmt w:val="lowerLetter"/>
      <w:start w:val="12"/>
    </w:lvl>
  </w:abstractNum>
  <w:abstractNum w:abstractNumId="111">
    <w:nsid w:val="20EE1348"/>
    <w:multiLevelType w:val="hybridMultilevel"/>
    <w:lvl w:ilvl="0">
      <w:lvlJc w:val="left"/>
      <w:lvlText w:val="%1."/>
      <w:numFmt w:val="decimal"/>
      <w:start w:val="2"/>
    </w:lvl>
    <w:lvl w:ilvl="1">
      <w:lvlJc w:val="left"/>
      <w:lvlText w:val="(%2)"/>
      <w:numFmt w:val="lowerLetter"/>
      <w:start w:val="1"/>
    </w:lvl>
  </w:abstractNum>
  <w:abstractNum w:abstractNumId="112">
    <w:nsid w:val="4427069A"/>
    <w:multiLevelType w:val="hybridMultilevel"/>
    <w:lvl w:ilvl="0">
      <w:lvlJc w:val="left"/>
      <w:lvlText w:val="(%1)"/>
      <w:numFmt w:val="lowerLetter"/>
      <w:start w:val="35"/>
    </w:lvl>
    <w:lvl w:ilvl="1">
      <w:lvlJc w:val="left"/>
      <w:lvlText w:val="(%2)"/>
      <w:numFmt w:val="lowerLetter"/>
      <w:start w:val="2"/>
    </w:lvl>
  </w:abstractNum>
  <w:abstractNum w:abstractNumId="113">
    <w:nsid w:val="B37E80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4">
    <w:nsid w:val="2157F6B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15">
    <w:nsid w:val="704E1DD5"/>
    <w:multiLevelType w:val="hybridMultilevel"/>
    <w:lvl w:ilvl="0">
      <w:lvlJc w:val="left"/>
      <w:lvlText w:val="1"/>
      <w:numFmt w:val="bullet"/>
      <w:start w:val="1"/>
    </w:lvl>
  </w:abstractNum>
  <w:abstractNum w:abstractNumId="116">
    <w:nsid w:val="57D2F10E"/>
    <w:multiLevelType w:val="hybridMultilevel"/>
    <w:lvl w:ilvl="0">
      <w:lvlJc w:val="left"/>
      <w:lvlText w:val="%1."/>
      <w:numFmt w:val="decimal"/>
      <w:start w:val="6"/>
    </w:lvl>
    <w:lvl w:ilvl="1">
      <w:lvlJc w:val="left"/>
      <w:lvlText w:val="(%2)"/>
      <w:numFmt w:val="lowerLetter"/>
      <w:start w:val="1"/>
    </w:lvl>
  </w:abstractNum>
  <w:abstractNum w:abstractNumId="117">
    <w:nsid w:val="BFFAE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18">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9">
    <w:nsid w:val="2E48F04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0">
    <w:nsid w:val="49D0FEA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21">
    <w:nsid w:val="4BEE5A5B"/>
    <w:multiLevelType w:val="hybridMultilevel"/>
    <w:lvl w:ilvl="0">
      <w:lvlJc w:val="left"/>
      <w:lvlText w:val="(%1)"/>
      <w:numFmt w:val="lowerRoman"/>
      <w:start w:val="1"/>
    </w:lvl>
  </w:abstractNum>
  <w:abstractNum w:abstractNumId="122">
    <w:nsid w:val="5551B9F3"/>
    <w:multiLevelType w:val="hybridMultilevel"/>
    <w:lvl w:ilvl="0">
      <w:lvlJc w:val="left"/>
      <w:lvlText w:val="%1"/>
      <w:numFmt w:val="lowerRoman"/>
      <w:start w:val="1"/>
    </w:lvl>
    <w:lvl w:ilvl="1">
      <w:lvlJc w:val="left"/>
      <w:lvlText w:val="(%2)"/>
      <w:numFmt w:val="lowerRoman"/>
      <w:start w:val="5"/>
    </w:lvl>
  </w:abstractNum>
  <w:abstractNum w:abstractNumId="123">
    <w:nsid w:val="24F6AB8E"/>
    <w:multiLevelType w:val="hybridMultilevel"/>
    <w:lvl w:ilvl="0">
      <w:lvlJc w:val="left"/>
      <w:lvlText w:val="(%1)"/>
      <w:numFmt w:val="lowerRoman"/>
      <w:start w:val="10"/>
    </w:lvl>
    <w:lvl w:ilvl="1">
      <w:lvlJc w:val="left"/>
      <w:lvlText w:val="%2"/>
      <w:numFmt w:val="lowerRoman"/>
      <w:start w:val="1"/>
    </w:lvl>
  </w:abstractNum>
  <w:abstractNum w:abstractNumId="124">
    <w:nsid w:val="634C574C"/>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6"/>
    </w:lvl>
  </w:abstractNum>
  <w:abstractNum w:abstractNumId="125">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6">
    <w:nsid w:val="2A31B62D"/>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2"/>
    </w:lvl>
  </w:abstractNum>
  <w:abstractNum w:abstractNumId="127">
    <w:nsid w:val="1849C29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8">
    <w:nsid w:val="7DFF9D09"/>
    <w:multiLevelType w:val="hybridMultilevel"/>
    <w:lvl w:ilvl="0">
      <w:lvlJc w:val="left"/>
      <w:lvlText w:val="%1"/>
      <w:numFmt w:val="decimal"/>
      <w:start w:val="1"/>
    </w:lvl>
    <w:lvl w:ilvl="1">
      <w:lvlJc w:val="left"/>
      <w:lvlText w:val="(%2)"/>
      <w:numFmt w:val="lowerLetter"/>
      <w:start w:val="4"/>
    </w:lvl>
  </w:abstractNum>
  <w:abstractNum w:abstractNumId="129">
    <w:nsid w:val="754342"/>
    <w:multiLevelType w:val="hybridMultilevel"/>
    <w:lvl w:ilvl="0">
      <w:lvlJc w:val="left"/>
      <w:lvlText w:val="%1."/>
      <w:numFmt w:val="decimal"/>
      <w:start w:val="12"/>
    </w:lvl>
    <w:lvl w:ilvl="1">
      <w:lvlJc w:val="left"/>
      <w:lvlText w:val="(%2)"/>
      <w:numFmt w:val="lowerLetter"/>
      <w:start w:val="1"/>
    </w:lvl>
  </w:abstractNum>
  <w:abstractNum w:abstractNumId="130">
    <w:nsid w:val="69E7F3E5"/>
    <w:multiLevelType w:val="hybridMultilevel"/>
    <w:lvl w:ilvl="0">
      <w:lvlJc w:val="left"/>
      <w:lvlText w:val="%1"/>
      <w:numFmt w:val="lowerLetter"/>
      <w:start w:val="1"/>
    </w:lvl>
    <w:lvl w:ilvl="1">
      <w:lvlJc w:val="left"/>
      <w:lvlText w:val="(%2)"/>
      <w:numFmt w:val="lowerLetter"/>
      <w:start w:val="3"/>
    </w:lvl>
  </w:abstractNum>
  <w:abstractNum w:abstractNumId="131">
    <w:nsid w:val="2A6DE806"/>
    <w:multiLevelType w:val="hybridMultilevel"/>
    <w:lvl w:ilvl="0">
      <w:lvlJc w:val="left"/>
      <w:lvlText w:val="(%1)"/>
      <w:numFmt w:val="lowerLetter"/>
      <w:start w:val="35"/>
    </w:lvl>
    <w:lvl w:ilvl="1">
      <w:lvlJc w:val="left"/>
      <w:lvlText w:val="(%2)"/>
      <w:numFmt w:val="lowerLetter"/>
      <w:start w:val="4"/>
    </w:lvl>
  </w:abstractNum>
  <w:abstractNum w:abstractNumId="132">
    <w:nsid w:val="1816F8C4"/>
    <w:multiLevelType w:val="hybridMultilevel"/>
    <w:lvl w:ilvl="0">
      <w:lvlJc w:val="left"/>
      <w:lvlText w:val="%1"/>
      <w:numFmt w:val="lowerRoman"/>
      <w:start w:val="1"/>
    </w:lvl>
    <w:lvl w:ilvl="1">
      <w:lvlJc w:val="left"/>
      <w:lvlText w:val="%2."/>
      <w:numFmt w:val="decimal"/>
      <w:start w:val="13"/>
    </w:lvl>
  </w:abstractNum>
  <w:abstractNum w:abstractNumId="133">
    <w:nsid w:val="37DF2233"/>
    <w:multiLevelType w:val="hybridMultilevel"/>
    <w:lvl w:ilvl="0">
      <w:lvlJc w:val="left"/>
      <w:lvlText w:val="(%1)"/>
      <w:numFmt w:val="lowerRoman"/>
      <w:start w:val="10"/>
    </w:lvl>
    <w:lvl w:ilvl="1">
      <w:lvlJc w:val="left"/>
      <w:lvlText w:val="%2."/>
      <w:numFmt w:val="decimal"/>
      <w:start w:val="14"/>
    </w:lvl>
  </w:abstractNum>
  <w:abstractNum w:abstractNumId="134">
    <w:nsid w:val="7AB49DAF"/>
    <w:multiLevelType w:val="hybridMultilevel"/>
    <w:lvl w:ilvl="0">
      <w:lvlJc w:val="left"/>
      <w:lvlText w:val="%1."/>
      <w:numFmt w:val="decimal"/>
      <w:start w:val="15"/>
    </w:lvl>
    <w:lvl w:ilvl="1">
      <w:lvlJc w:val="left"/>
      <w:lvlText w:val="(%2)"/>
      <w:numFmt w:val="lowerLetter"/>
      <w:start w:val="1"/>
    </w:lvl>
  </w:abstractNum>
  <w:abstractNum w:abstractNumId="135">
    <w:nsid w:val="759F82CD"/>
    <w:multiLevelType w:val="hybridMultilevel"/>
    <w:lvl w:ilvl="0">
      <w:lvlJc w:val="left"/>
      <w:lvlText w:val="%1"/>
      <w:numFmt w:val="decimal"/>
      <w:start w:val="1"/>
    </w:lvl>
    <w:lvl w:ilvl="1">
      <w:lvlJc w:val="left"/>
      <w:lvlText w:val="(%2)"/>
      <w:numFmt w:val="lowerLetter"/>
      <w:start w:val="5"/>
    </w:lvl>
  </w:abstractNum>
  <w:abstractNum w:abstractNumId="136">
    <w:nsid w:val="61E74EA3"/>
    <w:multiLevelType w:val="hybridMultilevel"/>
    <w:lvl w:ilvl="0">
      <w:lvlJc w:val="left"/>
      <w:lvlText w:val="%1."/>
      <w:numFmt w:val="decimal"/>
      <w:start w:val="17"/>
    </w:lvl>
    <w:lvl w:ilvl="1">
      <w:lvlJc w:val="left"/>
      <w:lvlText w:val="(%2)"/>
      <w:numFmt w:val="lowerLetter"/>
      <w:start w:val="1"/>
    </w:lvl>
  </w:abstractNum>
  <w:abstractNum w:abstractNumId="137">
    <w:nsid w:val="597B4D84"/>
    <w:multiLevelType w:val="hybridMultilevel"/>
    <w:lvl w:ilvl="0">
      <w:lvlJc w:val="left"/>
      <w:lvlText w:val="(%1)"/>
      <w:numFmt w:val="lowerLetter"/>
      <w:start w:val="6"/>
    </w:lvl>
  </w:abstractNum>
  <w:abstractNum w:abstractNumId="138">
    <w:nsid w:val="F819E7F"/>
    <w:multiLevelType w:val="hybridMultilevel"/>
    <w:lvl w:ilvl="0">
      <w:lvlJc w:val="left"/>
      <w:lvlText w:val="(%1)"/>
      <w:numFmt w:val="lowerLetter"/>
      <w:start w:val="16"/>
    </w:lvl>
  </w:abstractNum>
  <w:abstractNum w:abstractNumId="139">
    <w:nsid w:val="57C7D42D"/>
    <w:multiLevelType w:val="hybridMultilevel"/>
    <w:lvl w:ilvl="0">
      <w:lvlJc w:val="left"/>
      <w:lvlText w:val="%1"/>
      <w:numFmt w:val="decimal"/>
      <w:start w:val="1"/>
    </w:lvl>
    <w:lvl w:ilvl="1">
      <w:lvlJc w:val="left"/>
      <w:lvlText w:val="(%2)"/>
      <w:numFmt w:val="lowerLetter"/>
      <w:start w:val="23"/>
    </w:lvl>
  </w:abstractNum>
  <w:abstractNum w:abstractNumId="140">
    <w:nsid w:val="312167AD"/>
    <w:multiLevelType w:val="hybridMultilevel"/>
    <w:lvl w:ilvl="0">
      <w:lvlJc w:val="left"/>
      <w:lvlText w:val="(%1)"/>
      <w:numFmt w:val="decimal"/>
      <w:start w:val="3"/>
    </w:lvl>
    <w:lvl w:ilvl="1">
      <w:lvlJc w:val="left"/>
      <w:lvlText w:val="(%2)"/>
      <w:numFmt w:val="lowerLetter"/>
      <w:start w:val="26"/>
    </w:lvl>
  </w:abstractNum>
  <w:abstractNum w:abstractNumId="141">
    <w:nsid w:val="631B64D4"/>
    <w:multiLevelType w:val="hybridMultilevel"/>
    <w:lvl w:ilvl="0">
      <w:lvlJc w:val="left"/>
      <w:lvlText w:val="(%1)"/>
      <w:numFmt w:val="lowerLetter"/>
      <w:start w:val="27"/>
    </w:lvl>
  </w:abstractNum>
  <w:abstractNum w:abstractNumId="142">
    <w:nsid w:val="78B5E776"/>
    <w:multiLevelType w:val="hybridMultilevel"/>
    <w:lvl w:ilvl="0">
      <w:lvlJc w:val="left"/>
      <w:lvlText w:val="%1."/>
      <w:numFmt w:val="decimal"/>
      <w:start w:val="19"/>
    </w:lvl>
    <w:lvl w:ilvl="1">
      <w:lvlJc w:val="left"/>
      <w:lvlText w:val="(%2)"/>
      <w:numFmt w:val="lowerLetter"/>
      <w:start w:val="1"/>
    </w:lvl>
  </w:abstractNum>
  <w:abstractNum w:abstractNumId="143">
    <w:nsid w:val="75486E47"/>
    <w:multiLevelType w:val="hybridMultilevel"/>
    <w:lvl w:ilvl="0">
      <w:lvlJc w:val="left"/>
      <w:lvlText w:val="(%1)"/>
      <w:numFmt w:val="lowerLetter"/>
      <w:start w:val="2"/>
    </w:lvl>
  </w:abstractNum>
  <w:abstractNum w:abstractNumId="144">
    <w:nsid w:val="6E534CDE"/>
    <w:multiLevelType w:val="hybridMultilevel"/>
    <w:lvl w:ilvl="0">
      <w:lvlJc w:val="left"/>
      <w:lvlText w:val="%1."/>
      <w:numFmt w:val="decimal"/>
      <w:start w:val="29"/>
    </w:lvl>
  </w:abstractNum>
  <w:abstractNum w:abstractNumId="145">
    <w:nsid w:val="1A0DDE32"/>
    <w:multiLevelType w:val="hybridMultilevel"/>
    <w:lvl w:ilvl="0">
      <w:lvlJc w:val="left"/>
      <w:lvlText w:val="%1."/>
      <w:numFmt w:val="decimal"/>
      <w:start w:val="33"/>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2"/>
      <w:numFmt w:val="bullet"/>
      <w:start w:val="1"/>
    </w:lvl>
  </w:abstractNum>
  <w:abstractNum w:abstractNumId="148">
    <w:nsid w:val="260D8C4A"/>
    <w:multiLevelType w:val="hybridMultilevel"/>
    <w:lvl w:ilvl="0">
      <w:lvlJc w:val="left"/>
      <w:lvlText w:val="%1"/>
      <w:numFmt w:val="upperLetter"/>
      <w:start w:val="1"/>
    </w:lvl>
    <w:lvl w:ilvl="1">
      <w:lvlJc w:val="left"/>
      <w:lvlText w:val="☐"/>
      <w:numFmt w:val="bullet"/>
      <w:start w:val="1"/>
    </w:lvl>
  </w:abstractNum>
  <w:abstractNum w:abstractNumId="149">
    <w:nsid w:val="73D4D3C4"/>
    <w:multiLevelType w:val="hybridMultilevel"/>
    <w:lvl w:ilvl="0">
      <w:lvlJc w:val="left"/>
      <w:lvlText w:val="☐"/>
      <w:numFmt w:val="bullet"/>
      <w:start w:val="1"/>
    </w:lvl>
  </w:abstractNum>
  <w:abstractNum w:abstractNumId="150">
    <w:nsid w:val="746F2E30"/>
    <w:multiLevelType w:val="hybridMultilevel"/>
    <w:lvl w:ilvl="0">
      <w:lvlJc w:val="left"/>
      <w:lvlText w:val="☐"/>
      <w:numFmt w:val="bullet"/>
      <w:start w:val="1"/>
    </w:lvl>
  </w:abstractNum>
  <w:abstractNum w:abstractNumId="151">
    <w:nsid w:val="6FDE8AF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2026-03-24T15:59:51Z</dcterms:created>
  <dcterms:modified xsi:type="dcterms:W3CDTF">2026-03-24T15:59:51Z</dcterms:modified>
</cp:coreProperties>
</file>