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5672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672455"/>
                    </a:xfrm>
                    <a:prstGeom prst="rect">
                      <a:avLst/>
                    </a:prstGeom>
                    <a:noFill/>
                  </pic:spPr>
                </pic:pic>
              </a:graphicData>
            </a:graphic>
          </wp:anchor>
        </w:drawing>
      </w:r>
    </w:p>
    <w:p>
      <w:pPr>
        <w:spacing w:after="0" w:line="98" w:lineRule="exact"/>
        <w:rPr>
          <w:sz w:val="24"/>
          <w:szCs w:val="24"/>
          <w:color w:val="auto"/>
        </w:rPr>
      </w:pPr>
    </w:p>
    <w:p>
      <w:pPr>
        <w:sectPr>
          <w:pgSz w:w="11900" w:h="16849" w:orient="portrait"/>
          <w:cols w:equalWidth="0" w:num="2">
            <w:col w:w="2220" w:space="400"/>
            <w:col w:w="846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Sotos Christopher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CLEARWAY ENERGY,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04/15/2022</w:t>
      </w:r>
    </w:p>
    <w:p>
      <w:pPr>
        <w:spacing w:after="0" w:line="20" w:lineRule="exact"/>
        <w:rPr>
          <w:sz w:val="24"/>
          <w:szCs w:val="24"/>
          <w:color w:val="auto"/>
        </w:rPr>
      </w:pPr>
      <w:r>
        <w:rPr>
          <w:sz w:val="24"/>
          <w:szCs w:val="24"/>
          <w:color w:val="auto"/>
        </w:rPr>
        <w:br w:type="column"/>
      </w: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20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68"/>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396" w:lineRule="exact"/>
        <w:rPr>
          <w:sz w:val="24"/>
          <w:szCs w:val="24"/>
          <w:color w:val="auto"/>
        </w:rPr>
      </w:pPr>
    </w:p>
    <w:p>
      <w:pPr>
        <w:sectPr>
          <w:pgSz w:w="11900" w:h="16849" w:orient="portrait"/>
          <w:cols w:equalWidth="0" w:num="3">
            <w:col w:w="3180" w:space="720"/>
            <w:col w:w="3112" w:space="720"/>
            <w:col w:w="3348"/>
          </w:cols>
          <w:pgMar w:left="460" w:top="215" w:right="359" w:bottom="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PRINCETON</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NJ</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08540</w:t>
            </w:r>
          </w:p>
        </w:tc>
      </w:tr>
      <w:tr>
        <w:trPr>
          <w:trHeight w:val="145"/>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6"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49"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2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60" w:type="dxa"/>
            <w:vAlign w:val="bottom"/>
            <w:gridSpan w:val="2"/>
          </w:tcPr>
          <w:p>
            <w:pPr>
              <w:jc w:val="center"/>
              <w:ind w:left="29"/>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jc w:val="center"/>
              <w:ind w:right="58"/>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04/15/2022</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center"/>
              <w:ind w:left="54"/>
              <w:spacing w:after="0"/>
              <w:rPr>
                <w:sz w:val="20"/>
                <w:szCs w:val="20"/>
                <w:color w:val="auto"/>
              </w:rPr>
            </w:pPr>
            <w:r>
              <w:rPr>
                <w:rFonts w:ascii="Times New Roman" w:cs="Times New Roman" w:eastAsia="Times New Roman" w:hAnsi="Times New Roman"/>
                <w:sz w:val="16"/>
                <w:szCs w:val="16"/>
                <w:color w:val="0000FF"/>
                <w:w w:val="99"/>
              </w:rPr>
              <w:t>4,313</w:t>
            </w:r>
          </w:p>
        </w:tc>
        <w:tc>
          <w:tcPr>
            <w:tcW w:w="640" w:type="dxa"/>
            <w:vAlign w:val="bottom"/>
            <w:vMerge w:val="restart"/>
          </w:tcPr>
          <w:p>
            <w:pPr>
              <w:jc w:val="right"/>
              <w:ind w:right="158"/>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12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color w:val="0000FF"/>
              </w:rPr>
              <w:t>275,710</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04/15/2022</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center"/>
              <w:ind w:left="54"/>
              <w:spacing w:after="0"/>
              <w:rPr>
                <w:sz w:val="20"/>
                <w:szCs w:val="20"/>
                <w:color w:val="auto"/>
              </w:rPr>
            </w:pPr>
            <w:r>
              <w:rPr>
                <w:rFonts w:ascii="Times New Roman" w:cs="Times New Roman" w:eastAsia="Times New Roman" w:hAnsi="Times New Roman"/>
                <w:sz w:val="16"/>
                <w:szCs w:val="16"/>
                <w:color w:val="0000FF"/>
                <w:w w:val="99"/>
              </w:rPr>
              <w:t>2,981</w:t>
            </w:r>
          </w:p>
        </w:tc>
        <w:tc>
          <w:tcPr>
            <w:tcW w:w="640" w:type="dxa"/>
            <w:vAlign w:val="bottom"/>
            <w:vMerge w:val="restart"/>
          </w:tcPr>
          <w:p>
            <w:pPr>
              <w:jc w:val="right"/>
              <w:ind w:right="158"/>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12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color w:val="0000FF"/>
              </w:rPr>
              <w:t>272,729</w:t>
            </w:r>
            <w:r>
              <w:rPr>
                <w:rFonts w:ascii="Times New Roman" w:cs="Times New Roman" w:eastAsia="Times New Roman" w:hAnsi="Times New Roman"/>
                <w:sz w:val="21"/>
                <w:szCs w:val="21"/>
                <w:color w:val="008000"/>
                <w:vertAlign w:val="superscript"/>
              </w:rPr>
              <w:t>(4)</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60" w:type="dxa"/>
            <w:vAlign w:val="bottom"/>
            <w:gridSpan w:val="2"/>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04/15/2022</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34"/>
              <w:spacing w:after="0"/>
              <w:rPr>
                <w:sz w:val="20"/>
                <w:szCs w:val="20"/>
                <w:color w:val="auto"/>
              </w:rPr>
            </w:pPr>
            <w:r>
              <w:rPr>
                <w:rFonts w:ascii="Times New Roman" w:cs="Times New Roman" w:eastAsia="Times New Roman" w:hAnsi="Times New Roman"/>
                <w:sz w:val="16"/>
                <w:szCs w:val="16"/>
                <w:color w:val="0000FF"/>
                <w:w w:val="96"/>
              </w:rPr>
              <w:t>20,192</w:t>
            </w:r>
            <w:r>
              <w:rPr>
                <w:rFonts w:ascii="Times New Roman" w:cs="Times New Roman" w:eastAsia="Times New Roman" w:hAnsi="Times New Roman"/>
                <w:sz w:val="21"/>
                <w:szCs w:val="21"/>
                <w:color w:val="008000"/>
                <w:w w:val="96"/>
                <w:vertAlign w:val="superscript"/>
              </w:rPr>
              <w:t>(5)</w:t>
            </w:r>
          </w:p>
        </w:tc>
        <w:tc>
          <w:tcPr>
            <w:tcW w:w="640" w:type="dxa"/>
            <w:vAlign w:val="bottom"/>
            <w:vMerge w:val="restart"/>
          </w:tcPr>
          <w:p>
            <w:pPr>
              <w:jc w:val="right"/>
              <w:ind w:right="158"/>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12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color w:val="0000FF"/>
              </w:rPr>
              <w:t>292,921</w:t>
            </w:r>
            <w:r>
              <w:rPr>
                <w:rFonts w:ascii="Times New Roman" w:cs="Times New Roman" w:eastAsia="Times New Roman" w:hAnsi="Times New Roman"/>
                <w:sz w:val="21"/>
                <w:szCs w:val="21"/>
                <w:color w:val="008000"/>
                <w:vertAlign w:val="superscript"/>
              </w:rPr>
              <w:t>(7)</w:t>
            </w:r>
          </w:p>
        </w:tc>
        <w:tc>
          <w:tcPr>
            <w:tcW w:w="300" w:type="dxa"/>
            <w:vAlign w:val="bottom"/>
          </w:tcPr>
          <w:p>
            <w:pPr>
              <w:spacing w:after="0"/>
              <w:rPr>
                <w:sz w:val="20"/>
                <w:szCs w:val="20"/>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0"/>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jc w:val="center"/>
              <w:ind w:right="1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8"/>
          </w:tcPr>
          <w:p>
            <w:pPr>
              <w:jc w:val="center"/>
              <w:ind w:right="2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2"/>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2"/>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w w:val="94"/>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restart"/>
          </w:tcPr>
          <w:p>
            <w:pPr>
              <w:ind w:left="160"/>
              <w:spacing w:after="0" w:line="216" w:lineRule="exact"/>
              <w:rPr>
                <w:sz w:val="20"/>
                <w:szCs w:val="20"/>
                <w:color w:val="auto"/>
              </w:rPr>
            </w:pPr>
            <w:r>
              <w:rPr>
                <w:rFonts w:ascii="Times New Roman" w:cs="Times New Roman" w:eastAsia="Times New Roman" w:hAnsi="Times New Roman"/>
                <w:sz w:val="13"/>
                <w:szCs w:val="13"/>
                <w:color w:val="0000FF"/>
              </w:rPr>
              <w:t>39,607</w:t>
            </w:r>
            <w:r>
              <w:rPr>
                <w:rFonts w:ascii="Times New Roman" w:cs="Times New Roman" w:eastAsia="Times New Roman" w:hAnsi="Times New Roman"/>
                <w:sz w:val="21"/>
                <w:szCs w:val="21"/>
                <w:color w:val="008000"/>
                <w:vertAlign w:val="superscript"/>
              </w:rPr>
              <w:t>(8)</w:t>
            </w: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restart"/>
          </w:tcPr>
          <w:p>
            <w:pPr>
              <w:jc w:val="right"/>
              <w:ind w:right="138"/>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59,410</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200"/>
              <w:spacing w:after="0" w:line="216" w:lineRule="exact"/>
              <w:rPr>
                <w:sz w:val="20"/>
                <w:szCs w:val="20"/>
                <w:color w:val="auto"/>
              </w:rPr>
            </w:pPr>
            <w:r>
              <w:rPr>
                <w:rFonts w:ascii="Times New Roman" w:cs="Times New Roman" w:eastAsia="Times New Roman" w:hAnsi="Times New Roman"/>
                <w:sz w:val="13"/>
                <w:szCs w:val="13"/>
                <w:color w:val="0000FF"/>
              </w:rPr>
              <w:t>39,607</w:t>
            </w:r>
            <w:r>
              <w:rPr>
                <w:rFonts w:ascii="Times New Roman" w:cs="Times New Roman" w:eastAsia="Times New Roman" w:hAnsi="Times New Roman"/>
                <w:sz w:val="21"/>
                <w:szCs w:val="21"/>
                <w:color w:val="008000"/>
                <w:vertAlign w:val="superscript"/>
              </w:rPr>
              <w:t>(9)</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6"/>
                <w:szCs w:val="6"/>
                <w:color w:val="auto"/>
              </w:rPr>
            </w:pPr>
          </w:p>
        </w:tc>
        <w:tc>
          <w:tcPr>
            <w:tcW w:w="1000" w:type="dxa"/>
            <w:vAlign w:val="bottom"/>
            <w:vMerge w:val="restart"/>
          </w:tcPr>
          <w:p>
            <w:pPr>
              <w:jc w:val="right"/>
              <w:ind w:right="122"/>
              <w:spacing w:after="0"/>
              <w:rPr>
                <w:sz w:val="20"/>
                <w:szCs w:val="20"/>
                <w:color w:val="auto"/>
              </w:rPr>
            </w:pPr>
            <w:r>
              <w:rPr>
                <w:rFonts w:ascii="Times New Roman" w:cs="Times New Roman" w:eastAsia="Times New Roman" w:hAnsi="Times New Roman"/>
                <w:sz w:val="13"/>
                <w:szCs w:val="13"/>
                <w:color w:val="0000FF"/>
              </w:rPr>
              <w:t>04/15/2022</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04/15/2025</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04/15/2025</w:t>
            </w: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tcPr>
          <w:p>
            <w:pPr>
              <w:ind w:left="40"/>
              <w:spacing w:after="0" w:line="78" w:lineRule="exact"/>
              <w:rPr>
                <w:sz w:val="20"/>
                <w:szCs w:val="20"/>
                <w:color w:val="auto"/>
              </w:rPr>
            </w:pPr>
            <w:r>
              <w:rPr>
                <w:rFonts w:ascii="Times New Roman" w:cs="Times New Roman" w:eastAsia="Times New Roman" w:hAnsi="Times New Roman"/>
                <w:sz w:val="8"/>
                <w:szCs w:val="8"/>
                <w:color w:val="0000FF"/>
              </w:rPr>
              <w:t>par value</w:t>
            </w:r>
          </w:p>
        </w:tc>
        <w:tc>
          <w:tcPr>
            <w:tcW w:w="5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7020"/>
        <w:spacing w:after="0"/>
        <w:rPr>
          <w:sz w:val="20"/>
          <w:szCs w:val="20"/>
          <w:color w:val="auto"/>
        </w:rPr>
      </w:pPr>
      <w:r>
        <w:rPr>
          <w:rFonts w:ascii="Times New Roman" w:cs="Times New Roman" w:eastAsia="Times New Roman" w:hAnsi="Times New Roman"/>
          <w:sz w:val="13"/>
          <w:szCs w:val="13"/>
          <w:color w:val="0000FF"/>
        </w:rPr>
        <w:t>share</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6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2020, Mr. Sotos was issued 28,016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2022, 10,168 shares vested. Mr. Sotos elected to satisfy his tax obligation upon the exchange of common stock for RSUs having a value on the date of the exchange equal to the withholding obligation. This form reflects the surrender of 4,313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26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839 DERs converted to Class C Common Stock, resulting in the reporting person holding 8,624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40" w:right="220" w:hanging="1"/>
        <w:spacing w:after="0" w:line="23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2021, Mr. Sotos was issued 20,233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2022, 7,028 shares vested. Mr. Sotos elected to satisfy his tax obligation upon the exchange of common stock for RSUs having a value on the date of the exchange equal to the withholding obligation. This form reflects the surrender of 2,981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260" w:hanging="1"/>
        <w:spacing w:after="0" w:line="23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291 DERs converted to Class C Common Stock, resulting in the reporting person holding 8,333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Mr. Sotos under the LTIP.</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0" w:lineRule="exact"/>
        <w:rPr>
          <w:rFonts w:ascii="Times New Roman" w:cs="Times New Roman" w:eastAsia="Times New Roman" w:hAnsi="Times New Roman"/>
          <w:sz w:val="13"/>
          <w:szCs w:val="13"/>
          <w:color w:val="008000"/>
        </w:rPr>
      </w:pPr>
    </w:p>
    <w:p>
      <w:pPr>
        <w:ind w:left="40" w:right="2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0" w:lineRule="exact"/>
        <w:rPr>
          <w:rFonts w:ascii="Times New Roman" w:cs="Times New Roman" w:eastAsia="Times New Roman" w:hAnsi="Times New Roman"/>
          <w:sz w:val="13"/>
          <w:szCs w:val="13"/>
          <w:color w:val="008000"/>
        </w:rPr>
      </w:pPr>
    </w:p>
    <w:p>
      <w:pPr>
        <w:jc w:val="both"/>
        <w:ind w:left="40" w:right="360" w:hanging="1"/>
        <w:spacing w:after="0" w:line="26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issued 39,607 Relative Performance Stock Units ("RPSUs") by Clearway Energy, Inc. under the LTIP on April 15, 2022. The RPSUs will convert to shares of Clearway Energy, Inc. Class C Common Stock on April 15, 2025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2" w:lineRule="exact"/>
        <w:rPr>
          <w:rFonts w:ascii="Times New Roman" w:cs="Times New Roman" w:eastAsia="Times New Roman" w:hAnsi="Times New Roman"/>
          <w:sz w:val="12"/>
          <w:szCs w:val="12"/>
          <w:color w:val="008000"/>
        </w:rPr>
      </w:pPr>
    </w:p>
    <w:p>
      <w:pPr>
        <w:ind w:left="40" w:right="140" w:hanging="1"/>
        <w:spacing w:after="0" w:line="231"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59,410 shares of Class C Common Stock if Company's TSR is ranked at or above the 75th percentile relative to a peer group of companies approved by the Company's Compensation Committee (the "Peer Group") for the performance period ("Maximum"); (ii) 39,607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9,901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Kevin P. Malcarney,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04/19/2022</w:t>
            </w:r>
          </w:p>
        </w:tc>
        <w:tc>
          <w:tcPr>
            <w:tcW w:w="0" w:type="dxa"/>
            <w:vAlign w:val="bottom"/>
          </w:tcPr>
          <w:p>
            <w:pPr>
              <w:spacing w:after="0"/>
              <w:rPr>
                <w:sz w:val="1"/>
                <w:szCs w:val="1"/>
                <w:color w:val="auto"/>
              </w:rPr>
            </w:pPr>
          </w:p>
        </w:tc>
      </w:tr>
      <w:tr>
        <w:trPr>
          <w:trHeight w:val="81"/>
        </w:trPr>
        <w:tc>
          <w:tcPr>
            <w:tcW w:w="1100" w:type="dxa"/>
            <w:vAlign w:val="bottom"/>
            <w:tcBorders>
              <w:top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0000FF"/>
              </w:rPr>
              <w:t>Attorney-in-Fact</w:t>
            </w:r>
          </w:p>
        </w:tc>
        <w:tc>
          <w:tcPr>
            <w:tcW w:w="42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49" w:orient="portrait"/>
          <w:cols w:equalWidth="0" w:num="1">
            <w:col w:w="11080"/>
          </w:cols>
          <w:pgMar w:left="460" w:top="21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2022-04-19T15:48:58Z</dcterms:created>
  <dcterms:modified xsi:type="dcterms:W3CDTF">2022-04-19T15:48:58Z</dcterms:modified>
</cp:coreProperties>
</file>