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36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 2016</w:t>
      </w:r>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NRG YIELD LLC</w:t>
      </w:r>
    </w:p>
    <w:p>
      <w:pPr>
        <w:spacing w:after="0" w:line="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720" w:right="359" w:bottom="1440" w:gutter="0" w:footer="0" w:header="0"/>
        </w:sectPr>
      </w:pPr>
    </w:p>
    <w:p>
      <w:pPr>
        <w:spacing w:after="0" w:line="200" w:lineRule="exact"/>
        <w:rPr>
          <w:sz w:val="24"/>
          <w:szCs w:val="24"/>
          <w:color w:val="auto"/>
        </w:rPr>
      </w:pPr>
    </w:p>
    <w:p>
      <w:pPr>
        <w:spacing w:after="0" w:line="31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333-203369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32-0407370</w:t>
      </w:r>
    </w:p>
    <w:p>
      <w:pPr>
        <w:spacing w:after="0" w:line="117" w:lineRule="exact"/>
        <w:rPr>
          <w:sz w:val="24"/>
          <w:szCs w:val="24"/>
          <w:color w:val="auto"/>
        </w:rPr>
      </w:pPr>
    </w:p>
    <w:p>
      <w:pPr>
        <w:sectPr>
          <w:pgSz w:w="11900" w:h="16838" w:orient="portrait"/>
          <w:cols w:equalWidth="0" w:num="3">
            <w:col w:w="4600" w:space="720"/>
            <w:col w:w="3140" w:space="720"/>
            <w:col w:w="2120"/>
          </w:cols>
          <w:pgMar w:left="240" w:top="720" w:right="359" w:bottom="1440" w:gutter="0" w:footer="0" w:header="0"/>
          <w:type w:val="continuous"/>
        </w:sectPr>
      </w:pPr>
    </w:p>
    <w:p>
      <w:pPr>
        <w:jc w:val="center"/>
        <w:ind w:right="36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7"/>
          <w:szCs w:val="17"/>
          <w:color w:val="auto"/>
        </w:rPr>
        <w:t>(IRS Employer Identification</w:t>
      </w:r>
    </w:p>
    <w:p>
      <w:pPr>
        <w:spacing w:after="0" w:line="35"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40" w:space="720"/>
            <w:col w:w="3060" w:space="720"/>
            <w:col w:w="2760"/>
          </w:cols>
          <w:pgMar w:left="240" w:top="720" w:right="359" w:bottom="1440" w:gutter="0" w:footer="0" w:header="0"/>
          <w:type w:val="continuous"/>
        </w:sectPr>
      </w:pP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31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(609) 524-4500</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0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0"/>
          </w:cols>
          <w:pgMar w:left="240" w:top="720" w:right="359" w:bottom="1440" w:gutter="0" w:footer="0" w:header="0"/>
          <w:type w:val="continuous"/>
        </w:sectPr>
      </w:pPr>
    </w:p>
    <w:p>
      <w:pPr>
        <w:spacing w:after="0" w:line="329"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2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3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September 1, 2016, NRG Yield Operating LLC (the “</w:t>
      </w:r>
      <w:r>
        <w:rPr>
          <w:rFonts w:ascii="Arial" w:cs="Arial" w:eastAsia="Arial" w:hAnsi="Arial"/>
          <w:sz w:val="18"/>
          <w:szCs w:val="18"/>
          <w:u w:val="single" w:color="auto"/>
          <w:color w:val="auto"/>
        </w:rPr>
        <w:t>Purchaser</w:t>
      </w:r>
      <w:r>
        <w:rPr>
          <w:rFonts w:ascii="Arial" w:cs="Arial" w:eastAsia="Arial" w:hAnsi="Arial"/>
          <w:sz w:val="18"/>
          <w:szCs w:val="18"/>
          <w:color w:val="auto"/>
        </w:rPr>
        <w:t>”), a subsidiary of NRG Yield LLC (“</w:t>
      </w:r>
      <w:r>
        <w:rPr>
          <w:rFonts w:ascii="Arial" w:cs="Arial" w:eastAsia="Arial" w:hAnsi="Arial"/>
          <w:sz w:val="18"/>
          <w:szCs w:val="18"/>
          <w:u w:val="single" w:color="auto"/>
          <w:color w:val="auto"/>
        </w:rPr>
        <w:t>NRG Yield</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owner of a 48.95% interest in CVSR Holdco LLC (“</w:t>
      </w:r>
      <w:r>
        <w:rPr>
          <w:rFonts w:ascii="Arial" w:cs="Arial" w:eastAsia="Arial" w:hAnsi="Arial"/>
          <w:sz w:val="18"/>
          <w:szCs w:val="18"/>
          <w:u w:val="single" w:color="auto"/>
          <w:color w:val="auto"/>
        </w:rPr>
        <w:t>CVSR</w:t>
      </w:r>
      <w:r>
        <w:rPr>
          <w:rFonts w:ascii="Arial" w:cs="Arial" w:eastAsia="Arial" w:hAnsi="Arial"/>
          <w:sz w:val="18"/>
          <w:szCs w:val="18"/>
          <w:color w:val="auto"/>
        </w:rPr>
        <w:t>”), completed its previously announced acquisition of the remaining 51.05% interest in CVSR, which indirectly owns the CVSR solar facility through its ownership of High Plains Ranch II, LLC, from NRG Solar CVSR Holdings 2 LLC (the “</w:t>
      </w:r>
      <w:r>
        <w:rPr>
          <w:rFonts w:ascii="Arial" w:cs="Arial" w:eastAsia="Arial" w:hAnsi="Arial"/>
          <w:sz w:val="18"/>
          <w:szCs w:val="18"/>
          <w:u w:val="single" w:color="auto"/>
          <w:color w:val="auto"/>
        </w:rPr>
        <w:t>Seller</w:t>
      </w:r>
      <w:r>
        <w:rPr>
          <w:rFonts w:ascii="Arial" w:cs="Arial" w:eastAsia="Arial" w:hAnsi="Arial"/>
          <w:sz w:val="18"/>
          <w:szCs w:val="18"/>
          <w:color w:val="auto"/>
        </w:rPr>
        <w:t>”), a wholly-owned subsidiary of NRG Energy, Inc. (the “</w:t>
      </w:r>
      <w:r>
        <w:rPr>
          <w:rFonts w:ascii="Arial" w:cs="Arial" w:eastAsia="Arial" w:hAnsi="Arial"/>
          <w:sz w:val="18"/>
          <w:szCs w:val="18"/>
          <w:u w:val="single" w:color="auto"/>
          <w:color w:val="auto"/>
        </w:rPr>
        <w:t>Transaction</w:t>
      </w:r>
      <w:r>
        <w:rPr>
          <w:rFonts w:ascii="Arial" w:cs="Arial" w:eastAsia="Arial" w:hAnsi="Arial"/>
          <w:sz w:val="18"/>
          <w:szCs w:val="18"/>
          <w:color w:val="auto"/>
        </w:rPr>
        <w:t>”), pursuant to the purchase and sale agreement (the “</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with the Seller.</w:t>
      </w:r>
    </w:p>
    <w:p>
      <w:pPr>
        <w:spacing w:after="0" w:line="18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As part of the Transaction, the Purchaser paid a total purchase price of $78.5 million in cash consideration, excluding adjustments for working capital. The Purchaser also assumed $496 million of non-recourse project debt as of the closing date. The cash purchase price was funded with cash on hand.</w:t>
      </w:r>
    </w:p>
    <w:p>
      <w:pPr>
        <w:spacing w:after="0" w:line="12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foregoing description of the Purchase and Sale Agreement is not complete and is qualified in its entirety by reference to the full text of the Purchase and Sale Agreement, a copy of which is filed as Exhibit 2.1 to NRG Yield, Inc.’s Current Report on Form 8-K, filed with the Securities and Exchange Commission on August 9, 2016, and is incorporated herein by reference.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terms of the Transaction were unanimously approved by the independent members of the board of directors of NRG Yield, Inc., which retained independent legal and financial advisors to assist in evaluating and negotiating the Transaction. In approving the Transaction, the independent members of the board of directors of NRG Yield, Inc. based their decisions in part on an opinion from their independent financial advisor.</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NRG Energy, Inc. owns 55.1% of the combined voting power of NRG Yield, Inc.’s Class A, Class B, Class C and Class D common stock and is the sole managing member of NRG Yield. In addition, NRG Yield depends on management and administration services provided by or under the direction of NRG Energy, Inc. under NRG Yield, Inc.’s Management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823"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0"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60"/>
              <w:spacing w:after="0"/>
              <w:rPr>
                <w:sz w:val="20"/>
                <w:szCs w:val="20"/>
                <w:color w:val="auto"/>
              </w:rPr>
            </w:pPr>
            <w:r>
              <w:rPr>
                <w:rFonts w:ascii="Arial" w:cs="Arial" w:eastAsia="Arial" w:hAnsi="Arial"/>
                <w:sz w:val="14"/>
                <w:szCs w:val="14"/>
                <w:b w:val="1"/>
                <w:bCs w:val="1"/>
                <w:color w:val="auto"/>
              </w:rPr>
              <w:t>Document</w:t>
            </w:r>
          </w:p>
        </w:tc>
      </w:tr>
      <w:tr>
        <w:trPr>
          <w:trHeight w:val="39"/>
        </w:trPr>
        <w:tc>
          <w:tcPr>
            <w:tcW w:w="11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9920" w:type="dxa"/>
            <w:vAlign w:val="bottom"/>
            <w:tcBorders>
              <w:bottom w:val="single" w:sz="8" w:color="auto"/>
            </w:tcBorders>
          </w:tcPr>
          <w:p>
            <w:pPr>
              <w:spacing w:after="0"/>
              <w:rPr>
                <w:sz w:val="3"/>
                <w:szCs w:val="3"/>
                <w:color w:val="auto"/>
              </w:rPr>
            </w:pPr>
          </w:p>
        </w:tc>
      </w:tr>
      <w:tr>
        <w:trPr>
          <w:trHeight w:val="533"/>
        </w:trPr>
        <w:tc>
          <w:tcPr>
            <w:tcW w:w="1160" w:type="dxa"/>
            <w:vAlign w:val="bottom"/>
          </w:tcPr>
          <w:p>
            <w:pPr>
              <w:ind w:left="8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91"/>
              </w:rPr>
              <w:t>Purchase and Sale Agreement, dated as of August 8, 2016, between NRG Solar CVSR Holdings 2 LLC and NRG Yield Operating LLC</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(incorporated by reference to Exhibit 2.1 to NRG Yield, Inc.'s Current Report on Form 8-K filed on August 9,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07"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NRG Yield LLC</w:t>
      </w:r>
    </w:p>
    <w:p>
      <w:pPr>
        <w:spacing w:after="0" w:line="9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4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48895</wp:posOffset>
            </wp:positionV>
            <wp:extent cx="3293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8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Brian E. Curci</w:t>
      </w:r>
    </w:p>
    <w:p>
      <w:pPr>
        <w:spacing w:after="0" w:line="9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6, 2016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60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20" w:type="dxa"/>
            <w:vAlign w:val="bottom"/>
          </w:tcPr>
          <w:p>
            <w:pPr>
              <w:jc w:val="center"/>
              <w:ind w:right="1454"/>
              <w:spacing w:after="0"/>
              <w:rPr>
                <w:sz w:val="20"/>
                <w:szCs w:val="20"/>
                <w:color w:val="auto"/>
              </w:rPr>
            </w:pPr>
            <w:r>
              <w:rPr>
                <w:rFonts w:ascii="Arial" w:cs="Arial" w:eastAsia="Arial" w:hAnsi="Arial"/>
                <w:sz w:val="18"/>
                <w:szCs w:val="18"/>
                <w:b w:val="1"/>
                <w:bCs w:val="1"/>
                <w:color w:val="auto"/>
              </w:rPr>
              <w:t>EXHIBIT INDEX</w:t>
            </w:r>
          </w:p>
        </w:tc>
      </w:tr>
      <w:tr>
        <w:trPr>
          <w:trHeight w:val="893"/>
        </w:trPr>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 No.</w:t>
            </w:r>
          </w:p>
        </w:tc>
        <w:tc>
          <w:tcPr>
            <w:tcW w:w="9620" w:type="dxa"/>
            <w:vAlign w:val="bottom"/>
          </w:tcPr>
          <w:p>
            <w:pPr>
              <w:ind w:left="4520"/>
              <w:spacing w:after="0"/>
              <w:rPr>
                <w:sz w:val="20"/>
                <w:szCs w:val="20"/>
                <w:color w:val="auto"/>
              </w:rPr>
            </w:pPr>
            <w:r>
              <w:rPr>
                <w:rFonts w:ascii="Arial" w:cs="Arial" w:eastAsia="Arial" w:hAnsi="Arial"/>
                <w:sz w:val="14"/>
                <w:szCs w:val="14"/>
                <w:b w:val="1"/>
                <w:bCs w:val="1"/>
                <w:color w:val="auto"/>
              </w:rPr>
              <w:t>Document</w:t>
            </w:r>
          </w:p>
        </w:tc>
      </w:tr>
      <w:tr>
        <w:trPr>
          <w:trHeight w:val="39"/>
        </w:trPr>
        <w:tc>
          <w:tcPr>
            <w:tcW w:w="1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9620" w:type="dxa"/>
            <w:vAlign w:val="bottom"/>
            <w:tcBorders>
              <w:bottom w:val="single" w:sz="8" w:color="auto"/>
            </w:tcBorders>
          </w:tcPr>
          <w:p>
            <w:pPr>
              <w:spacing w:after="0"/>
              <w:rPr>
                <w:sz w:val="3"/>
                <w:szCs w:val="3"/>
                <w:color w:val="auto"/>
              </w:rPr>
            </w:pPr>
          </w:p>
        </w:tc>
      </w:tr>
      <w:tr>
        <w:trPr>
          <w:trHeight w:val="533"/>
        </w:trPr>
        <w:tc>
          <w:tcPr>
            <w:tcW w:w="1240" w:type="dxa"/>
            <w:vAlign w:val="bottom"/>
          </w:tcPr>
          <w:p>
            <w:pPr>
              <w:ind w:left="8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620" w:type="dxa"/>
            <w:vAlign w:val="bottom"/>
          </w:tcPr>
          <w:p>
            <w:pPr>
              <w:ind w:left="80"/>
              <w:spacing w:after="0"/>
              <w:rPr>
                <w:sz w:val="20"/>
                <w:szCs w:val="20"/>
                <w:color w:val="auto"/>
              </w:rPr>
            </w:pPr>
            <w:r>
              <w:rPr>
                <w:rFonts w:ascii="Arial" w:cs="Arial" w:eastAsia="Arial" w:hAnsi="Arial"/>
                <w:sz w:val="18"/>
                <w:szCs w:val="18"/>
                <w:color w:val="auto"/>
                <w:w w:val="92"/>
              </w:rPr>
              <w:t>Purchase and Sale Agreement, dated as of August 8, 2016, between NRG Solar CVSR Holdings 2 LLC and NRG Yield Operating</w:t>
            </w:r>
          </w:p>
        </w:tc>
      </w:tr>
      <w:tr>
        <w:trPr>
          <w:trHeight w:val="230"/>
        </w:trPr>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20" w:type="dxa"/>
            <w:vAlign w:val="bottom"/>
          </w:tcPr>
          <w:p>
            <w:pPr>
              <w:ind w:left="80"/>
              <w:spacing w:after="0"/>
              <w:rPr>
                <w:sz w:val="20"/>
                <w:szCs w:val="20"/>
                <w:color w:val="auto"/>
              </w:rPr>
            </w:pPr>
            <w:r>
              <w:rPr>
                <w:rFonts w:ascii="Arial" w:cs="Arial" w:eastAsia="Arial" w:hAnsi="Arial"/>
                <w:sz w:val="18"/>
                <w:szCs w:val="18"/>
                <w:color w:val="auto"/>
              </w:rPr>
              <w:t>LLC (incorporated by reference to Exhibit 2.1 to NRG Yield, Inc.'s Current Report on Form 8-K filed on August 9, 2016).</w:t>
            </w:r>
          </w:p>
        </w:tc>
      </w:tr>
      <w:tr>
        <w:trPr>
          <w:trHeight w:val="1134"/>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tcPr>
          <w:p>
            <w:pPr>
              <w:jc w:val="right"/>
              <w:ind w:right="5474"/>
              <w:spacing w:after="0"/>
              <w:rPr>
                <w:sz w:val="20"/>
                <w:szCs w:val="20"/>
                <w:color w:val="auto"/>
              </w:rPr>
            </w:pPr>
            <w:r>
              <w:rPr>
                <w:rFonts w:ascii="Arial" w:cs="Arial" w:eastAsia="Arial" w:hAnsi="Arial"/>
                <w:sz w:val="18"/>
                <w:szCs w:val="18"/>
                <w:color w:val="auto"/>
              </w:rPr>
              <w:t>5</w:t>
            </w:r>
          </w:p>
        </w:tc>
      </w:tr>
    </w:tbl>
    <w:p>
      <w:pPr>
        <w:spacing w:after="0" w:line="1" w:lineRule="exact"/>
        <w:rPr>
          <w:sz w:val="20"/>
          <w:szCs w:val="20"/>
          <w:color w:val="auto"/>
        </w:rPr>
      </w:pPr>
    </w:p>
    <w:sectPr>
      <w:pgSz w:w="11900" w:h="16838" w:orient="portrait"/>
      <w:cols w:equalWidth="0" w:num="1">
        <w:col w:w="11200"/>
      </w:cols>
      <w:pgMar w:left="36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2019-12-09T01:36:17Z</dcterms:created>
  <dcterms:modified xsi:type="dcterms:W3CDTF">2019-12-09T01:36:17Z</dcterms:modified>
</cp:coreProperties>
</file>