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Ford Brian R.</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12/01/2022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 per</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12/01/2022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0000FF"/>
              </w:rPr>
              <w:t>80</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8,185</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12/01/2022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613</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60,101</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2,638 dividend equivalent rights that may only be settled in Class A Common Stock. There has been a de minimus adjustment of 2 shares to the number of dividend equivalent rights as a result of rounding fractional shares.</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12,111 dividend equivalent rights that may only be settled in Class C Common Stock. There has been a de minimus adjustment of 3 shares to the number of dividend equivalent rights as a result of rounding fractional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2022-12-05T15:26:28Z</dcterms:created>
  <dcterms:modified xsi:type="dcterms:W3CDTF">2022-12-05T15:26:28Z</dcterms:modified>
</cp:coreProperties>
</file>