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345" w:before="0" w:after="120"/>
        <w:jc w:val="center"/>
        <w:rPr>
          <w:rFonts w:ascii="Times New Roman;sans-serif" w:hAnsi="Times New Roman;sans-serif"/>
          <w:b/>
          <w:color w:val="000000"/>
          <w:sz w:val="32"/>
        </w:rPr>
      </w:pPr>
      <w:r>
        <w:rPr>
          <w:rFonts w:ascii="Times New Roman;sans-serif" w:hAnsi="Times New Roman;sans-serif"/>
          <w:b/>
          <w:color w:val="000000"/>
          <w:sz w:val="32"/>
        </w:rPr>
        <w:t xml:space="preserve">FORM 8-K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20" w:after="283"/>
        <w:jc w:val="center"/>
        <w:rPr>
          <w:rFonts w:ascii="Times New Roman;sans-serif" w:hAnsi="Times New Roman;sans-serif"/>
          <w:b/>
          <w:color w:val="231F20"/>
          <w:sz w:val="20"/>
        </w:rPr>
      </w:pPr>
      <w:r>
        <w:rPr>
          <w:rFonts w:ascii="Times New Roman;sans-serif" w:hAnsi="Times New Roman;sans-serif"/>
          <w:b/>
          <w:color w:val="231F20"/>
          <w:sz w:val="20"/>
        </w:rPr>
        <w:t>Pursuant to Section 13 OR 15(d) of The Securities Exchange Act of 1934</w:t>
      </w:r>
    </w:p>
    <w:p>
      <w:pPr>
        <w:pStyle w:val="TextBody"/>
        <w:bidi w:val="0"/>
        <w:spacing w:lineRule="auto" w:line="288" w:before="0" w:after="0"/>
        <w:jc w:val="center"/>
        <w:rPr/>
      </w:pPr>
      <w:r>
        <w:rPr>
          <w:rFonts w:ascii="Times New Roman;sans-serif" w:hAnsi="Times New Roman;sans-serif"/>
          <w:b w:val="false"/>
          <w:color w:val="000000"/>
          <w:sz w:val="20"/>
        </w:rPr>
        <w:t xml:space="preserve">Date of Report (date of earliest event reported): </w:t>
      </w:r>
      <w:r>
        <w:rPr>
          <w:rFonts w:ascii="Times New Roman;sans-serif" w:hAnsi="Times New Roman;sans-serif"/>
          <w:b/>
          <w:color w:val="000000"/>
          <w:sz w:val="20"/>
        </w:rPr>
        <w:t>August 8, 2023</w:t>
      </w:r>
      <w:r>
        <w:rPr>
          <w:color w:val="000000"/>
        </w:rPr>
        <w:t xml:space="preserve"> </w:t>
      </w:r>
    </w:p>
    <w:p>
      <w:pPr>
        <w:pStyle w:val="TextBody"/>
        <w:bidi w:val="0"/>
        <w:spacing w:lineRule="auto" w:line="345"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CLEARWAY ENERGY, INC. </w:t>
      </w:r>
    </w:p>
    <w:p>
      <w:pPr>
        <w:pStyle w:val="TextBody"/>
        <w:bidi w:val="0"/>
        <w:spacing w:lineRule="auto" w:line="345"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78"/>
        <w:gridCol w:w="1562"/>
        <w:gridCol w:w="1577"/>
        <w:gridCol w:w="378"/>
        <w:gridCol w:w="378"/>
        <w:gridCol w:w="378"/>
        <w:gridCol w:w="378"/>
        <w:gridCol w:w="378"/>
        <w:gridCol w:w="386"/>
        <w:gridCol w:w="877"/>
        <w:gridCol w:w="877"/>
        <w:gridCol w:w="1258"/>
      </w:tblGrid>
      <w:tr>
        <w:trPr/>
        <w:tc>
          <w:tcPr>
            <w:tcW w:w="1778"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76" w:type="dxa"/>
            <w:gridSpan w:val="6"/>
            <w:tcBorders/>
            <w:tcMar>
              <w:top w:w="0" w:type="dxa"/>
              <w:left w:w="0" w:type="dxa"/>
              <w:bottom w:w="0" w:type="dxa"/>
              <w:right w:w="0" w:type="dxa"/>
            </w:tcMar>
            <w:vAlign w:val="center"/>
          </w:tcPr>
          <w:p>
            <w:pPr>
              <w:pStyle w:val="TableContents"/>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001-36002</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46-1777204</w:t>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2276"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lineRule="auto" w:line="288" w:before="0" w:after="20"/>
        <w:jc w:val="center"/>
        <w:rPr>
          <w:rFonts w:ascii="Times New Roman;sans-serif" w:hAnsi="Times New Roman;sans-serif"/>
          <w:b/>
          <w:color w:val="000000"/>
          <w:sz w:val="20"/>
        </w:rPr>
      </w:pPr>
      <w:r>
        <w:rPr>
          <w:rFonts w:ascii="Times New Roman;sans-serif" w:hAnsi="Times New Roman;sans-serif"/>
          <w:b/>
          <w:color w:val="000000"/>
          <w:sz w:val="20"/>
        </w:rPr>
        <w:t xml:space="preserve">300 Carnegie Center, Suite 300, Princeton, New Jersey 08540 </w:t>
      </w:r>
    </w:p>
    <w:p>
      <w:pPr>
        <w:pStyle w:val="TextBody"/>
        <w:bidi w:val="0"/>
        <w:spacing w:lineRule="auto" w:line="288"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including zip code)</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(609) 608-1525 </w:t>
      </w:r>
    </w:p>
    <w:p>
      <w:pPr>
        <w:pStyle w:val="TextBody"/>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N/A</w:t>
      </w:r>
    </w:p>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231F20"/>
          <w:sz w:val="20"/>
        </w:rPr>
        <w:t xml:space="preserve">Soliciting material pursuant to Rule 14a-12 under the Exchange Act (17 CFR 240.14a-12) </w:t>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231F20"/>
          <w:sz w:val="20"/>
        </w:rPr>
        <w:t xml:space="preserve">Pre-commencement communications pursuant to Rule 14d-2(b) under the Exchange Act (17 CFR 240.14d-2(b)) </w:t>
      </w:r>
    </w:p>
    <w:p>
      <w:pPr>
        <w:pStyle w:val="TextBody"/>
        <w:bidi w:val="0"/>
        <w:spacing w:lineRule="auto" w:line="288" w:before="0" w:after="20"/>
        <w:jc w:val="left"/>
        <w:rPr/>
      </w:pPr>
      <w:r>
        <w:rPr>
          <w:color w:val="000000"/>
        </w:rPr>
        <w:t>☐</w:t>
      </w:r>
      <w:r>
        <w:rPr>
          <w:color w:val="231F20"/>
        </w:rPr>
        <w:t xml:space="preserve"> </w:t>
      </w:r>
      <w:r>
        <w:rPr>
          <w:rFonts w:ascii="Times New Roman;sans-serif" w:hAnsi="Times New Roman;sans-serif"/>
          <w:b w:val="false"/>
          <w:color w:val="231F20"/>
          <w:sz w:val="20"/>
        </w:rPr>
        <w:t xml:space="preserve">Pre-commencement communications pursuant to Rule 13e-4(c) under the Exchange Act (17 CFR 240.13e-4(c))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8909" w:type="dxa"/>
        <w:jc w:val="left"/>
        <w:tblInd w:w="0" w:type="dxa"/>
        <w:tblLayout w:type="fixed"/>
        <w:tblCellMar>
          <w:top w:w="28" w:type="dxa"/>
          <w:left w:w="28" w:type="dxa"/>
          <w:bottom w:w="28" w:type="dxa"/>
          <w:right w:w="28" w:type="dxa"/>
        </w:tblCellMar>
      </w:tblPr>
      <w:tblGrid>
        <w:gridCol w:w="1225"/>
        <w:gridCol w:w="1076"/>
        <w:gridCol w:w="1089"/>
        <w:gridCol w:w="564"/>
        <w:gridCol w:w="564"/>
        <w:gridCol w:w="566"/>
        <w:gridCol w:w="1118"/>
        <w:gridCol w:w="1118"/>
        <w:gridCol w:w="1589"/>
      </w:tblGrid>
      <w:tr>
        <w:trPr/>
        <w:tc>
          <w:tcPr>
            <w:tcW w:w="122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$0.01</w:t>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CWEN.A</w:t>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C Common Stock, par value $0.01</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CWEN</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ans-serif" w:hAnsi="Times New Roman;sans-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color w:val="000000"/>
        </w:rPr>
      </w:pP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0"/>
        </w:rPr>
        <w:t xml:space="preserve">On August 8, 2023, Clearway Energy, Inc. issued a press release announcing its financial results for the quarter ended June 30, 2023.  A copy of the press release is furnished as Exhibit 99.1 to this report on Form 8-K and is hereby incorporated by reference. </w:t>
      </w:r>
      <w:r>
        <w:rPr>
          <w:rFonts w:ascii="Times New Roman;sans-serif" w:hAnsi="Times New Roman;sans-serif"/>
          <w:b w:val="false"/>
          <w:color w:val="212529"/>
          <w:sz w:val="20"/>
        </w:rPr>
        <w:t>In accordance with General Instruction B.2 of Form 8-K, the information set forth in this Item 2.02 and in the attached exhibit are deemed to be furnished and shall not be deemed to be “filed” for purposes of Section 18 of the Securities Exchange Act of 1934, as amended (the “Exchange Act”).</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(d)Exhibits</w:t>
      </w:r>
    </w:p>
    <w:p>
      <w:pPr>
        <w:pStyle w:val="TextBody"/>
        <w:bidi w:val="0"/>
        <w:spacing w:before="0" w:after="0"/>
        <w:jc w:val="both"/>
        <w:rPr/>
      </w:pPr>
      <w:r>
        <w:rPr/>
      </w:r>
    </w:p>
    <w:p>
      <w:pPr>
        <w:pStyle w:val="TextBody"/>
        <w:bidi w:val="0"/>
        <w:spacing w:lineRule="auto" w:line="288" w:before="0" w:after="140"/>
        <w:ind w:left="0" w:right="0" w:firstLine="720"/>
        <w:jc w:val="both"/>
        <w:rPr>
          <w:rFonts w:ascii="Times New Roman;sans-serif" w:hAnsi="Times New Roman;sans-serif"/>
          <w:b w:val="false"/>
          <w:color w:val="212529"/>
          <w:sz w:val="20"/>
        </w:rPr>
      </w:pPr>
      <w:r>
        <w:rPr>
          <w:rFonts w:ascii="Times New Roman;sans-serif" w:hAnsi="Times New Roman;sans-serif"/>
          <w:b w:val="false"/>
          <w:color w:val="212529"/>
          <w:sz w:val="20"/>
        </w:rPr>
        <w:t xml:space="preserve">In accordance with General Instruction B.2 of Form 8-K, the information set forth in the attached exhibit is deemed to be furnished and shall not be deemed to be “filed” for purposes of Section 18 of the Exchange Act. </w:t>
      </w:r>
    </w:p>
    <w:tbl>
      <w:tblPr>
        <w:tblW w:w="8593"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179"/>
        <w:gridCol w:w="2179"/>
        <w:gridCol w:w="309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Document</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clearwayenergyi.htm">
              <w:r>
                <w:rPr>
                  <w:rStyle w:val="InternetLink"/>
                  <w:rFonts w:ascii="Times New Roman;sans-serif" w:hAnsi="Times New Roman;sans-serif"/>
                  <w:b w:val="false"/>
                  <w:color w:val="000080"/>
                  <w:sz w:val="20"/>
                  <w:u w:val="single"/>
                </w:rPr>
                <w:t xml:space="preserve">Press Release, dated </w:t>
              </w:r>
            </w:hyperlink>
            <w:hyperlink w:anchor="exhibit991-clearwayenergyi.htm">
              <w:r>
                <w:rPr>
                  <w:rStyle w:val="InternetLink"/>
                  <w:rFonts w:ascii="Times New Roman;sans-serif" w:hAnsi="Times New Roman;sans-serif"/>
                  <w:b w:val="false"/>
                  <w:color w:val="000080"/>
                  <w:sz w:val="20"/>
                  <w:u w:val="single"/>
                </w:rPr>
                <w:t>Aug</w:t>
              </w:r>
            </w:hyperlink>
            <w:hyperlink w:anchor="exhibit991-clearwayenergyi.htm">
              <w:r>
                <w:rPr>
                  <w:rStyle w:val="InternetLink"/>
                  <w:rFonts w:ascii="Times New Roman;sans-serif" w:hAnsi="Times New Roman;sans-serif"/>
                  <w:b w:val="false"/>
                  <w:color w:val="000080"/>
                  <w:sz w:val="20"/>
                  <w:u w:val="single"/>
                </w:rPr>
                <w:t>ust 8, 2023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before="0" w:after="0"/>
        <w:jc w:val="left"/>
        <w:rPr/>
      </w:pPr>
      <w:r>
        <w:rPr/>
      </w:r>
    </w:p>
    <w:p>
      <w:pPr>
        <w:pStyle w:val="TextBody"/>
        <w:bidi w:val="0"/>
        <w:spacing w:before="0" w:after="200"/>
        <w:ind w:left="0" w:right="0" w:firstLine="360"/>
        <w:jc w:val="left"/>
        <w:rPr/>
      </w:pPr>
      <w:r>
        <w:rPr/>
      </w:r>
    </w:p>
    <w:p>
      <w:pPr>
        <w:pStyle w:val="TextBody"/>
        <w:bidi w:val="0"/>
        <w:spacing w:before="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1155"/>
                <wp:effectExtent l="0" t="0" r="0" b="0"/>
                <wp:wrapNone/>
                <wp:docPr id="2" name="Frame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SIGNATURES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tbl>
      <w:tblPr>
        <w:tblW w:w="6344" w:type="dxa"/>
        <w:jc w:val="left"/>
        <w:tblInd w:w="0" w:type="dxa"/>
        <w:tblLayout w:type="fixed"/>
        <w:tblCellMar>
          <w:top w:w="28" w:type="dxa"/>
          <w:left w:w="28" w:type="dxa"/>
          <w:bottom w:w="28" w:type="dxa"/>
          <w:right w:w="28" w:type="dxa"/>
        </w:tblCellMar>
      </w:tblPr>
      <w:tblGrid>
        <w:gridCol w:w="705"/>
        <w:gridCol w:w="619"/>
        <w:gridCol w:w="625"/>
        <w:gridCol w:w="300"/>
        <w:gridCol w:w="300"/>
        <w:gridCol w:w="300"/>
        <w:gridCol w:w="1013"/>
        <w:gridCol w:w="1013"/>
        <w:gridCol w:w="1469"/>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Clearway Energy,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Kevin P. Malcarney</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P. Malcarney</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 and Corporate Secretary</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8, 2023</w:t>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200"/>
        <w:jc w:val="left"/>
        <w:rPr/>
      </w:pPr>
      <w:r>
        <w:rPr/>
      </w:r>
    </w:p>
    <w:p>
      <w:pPr>
        <w:pStyle w:val="TextBody"/>
        <w:bidi w:val="0"/>
        <w:spacing w:before="0" w:after="0"/>
        <w:ind w:left="0" w:right="0" w:firstLine="1440"/>
        <w:jc w:val="right"/>
        <w:rPr/>
      </w:pPr>
      <w:r>
        <w:rPr/>
      </w:r>
    </w:p>
    <w:p>
      <w:pPr>
        <w:pStyle w:val="TextBody"/>
        <w:bidi w:val="0"/>
        <w:spacing w:before="0" w:after="200"/>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1155"/>
                <wp:effectExtent l="0" t="0" r="0" b="0"/>
                <wp:wrapNone/>
                <wp:docPr id="3" name="Frame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drawing>
          <wp:inline distT="0" distB="0" distL="0" distR="0">
            <wp:extent cx="2714625" cy="3619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714625" cy="361950"/>
                    </a:xfrm>
                    <a:prstGeom prst="rect">
                      <a:avLst/>
                    </a:prstGeom>
                  </pic:spPr>
                </pic:pic>
              </a:graphicData>
            </a:graphic>
          </wp:inline>
        </w:drawing>
      </w:r>
      <w:r>
        <w:rPr>
          <w:color w:val="000000"/>
        </w:rPr>
        <w:t xml:space="preserve">                                     </w: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Clearway Energy, Inc. Reports Second Quarter 2023 Financial Results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Signed agreements with Clearway Group to commit to invest in a 147 MW battery energy storage system and a 160 MW wind farm</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Received offer from Clearway Group to invest in a 55 MW wind farm</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Updating 2023 financial guidance</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Raising Pro Forma CAFD Outlook</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Increasing the quarterly dividend by 2% to $0.3891</w:t>
      </w:r>
      <w:r>
        <w:rPr>
          <w:color w:val="000000"/>
        </w:rPr>
        <w:t xml:space="preserve"> </w:t>
      </w:r>
      <w:r>
        <w:rPr>
          <w:rFonts w:ascii="Times New Roman;sans-serif" w:hAnsi="Times New Roman;sans-serif"/>
          <w:b/>
          <w:color w:val="242424"/>
          <w:sz w:val="20"/>
        </w:rPr>
        <w:t>p</w:t>
      </w:r>
      <w:r>
        <w:rPr>
          <w:rFonts w:ascii="Times New Roman;sans-serif" w:hAnsi="Times New Roman;sans-serif"/>
          <w:b/>
          <w:color w:val="000000"/>
          <w:sz w:val="20"/>
        </w:rPr>
        <w:t>er share in the third quarter of 20</w:t>
      </w:r>
      <w:r>
        <w:rPr>
          <w:rFonts w:ascii="Times New Roman;sans-serif" w:hAnsi="Times New Roman;sans-serif"/>
          <w:b/>
          <w:color w:val="242424"/>
          <w:sz w:val="20"/>
        </w:rPr>
        <w:t>23, o</w:t>
      </w:r>
      <w:r>
        <w:rPr>
          <w:rFonts w:ascii="Times New Roman;sans-serif" w:hAnsi="Times New Roman;sans-serif"/>
          <w:b/>
          <w:color w:val="000000"/>
          <w:sz w:val="20"/>
        </w:rPr>
        <w:t>r $1.5564 per share annualized</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 xml:space="preserve">Continue to target annual dividend per share growth in the upper range of 5% to 8% through 2026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PRINCETON, NJ </w:t>
      </w:r>
      <w:r>
        <w:rPr>
          <w:color w:val="000000"/>
        </w:rPr>
        <w:t xml:space="preserve">— </w:t>
      </w:r>
      <w:r>
        <w:rPr>
          <w:rFonts w:ascii="Times New Roman;sans-serif" w:hAnsi="Times New Roman;sans-serif"/>
          <w:b/>
          <w:color w:val="000000"/>
          <w:sz w:val="20"/>
        </w:rPr>
        <w:t>August 8, 2023</w:t>
      </w:r>
      <w:r>
        <w:rPr>
          <w:color w:val="000000"/>
        </w:rPr>
        <w:t xml:space="preserve">— </w:t>
      </w:r>
      <w:r>
        <w:rPr>
          <w:rFonts w:ascii="Times New Roman;sans-serif" w:hAnsi="Times New Roman;sans-serif"/>
          <w:b w:val="false"/>
          <w:color w:val="000000"/>
          <w:sz w:val="20"/>
        </w:rPr>
        <w:t>Clearway Energy, Inc. (NYSE: CWEN, CWEN.A) today reported second quarter 2023 financial results, including Net Income of $84 million, Adjusted EBITDA of $316 million, Cash from Operating Activities of $134 million, and Cash Available for Distribution (CAFD) of $137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we disclosed in mid-July, historically low wind production in the second quarter negatively impacted the quarter's financial results. Given that first and second quarter’s results were impacted by weaker renewable resource, we are lowering our 2023 financial guidance,” said Christopher Sotos, Clearway Energy, Inc.’s President and Chief Executive Officer. “Despite the 2023 guidance revision, our long-term outlook and visibility into achieving it remains on track as highlighted by this quarter's commitments to invest in the Rosamond Central battery storage project and Cedar Creek wind farm. The Company continues to have line of sight to the future deployment of the excess proceeds from the Thermal sale and expects to deliver at the upper range of its dividend growth target through 2026”</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and Cash Available for Distribution used in this press release are non-GAAP measures and are explained in greater detail under “Non-GAAP Financial Information” below.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 of Financial and Operating Results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Segment Results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Table 1: Net Income/(Loss)</w:t>
      </w:r>
    </w:p>
    <w:tbl>
      <w:tblPr>
        <w:tblW w:w="6374" w:type="dxa"/>
        <w:jc w:val="left"/>
        <w:tblInd w:w="0" w:type="dxa"/>
        <w:tblLayout w:type="fixed"/>
        <w:tblCellMar>
          <w:top w:w="28" w:type="dxa"/>
          <w:left w:w="28" w:type="dxa"/>
          <w:bottom w:w="28" w:type="dxa"/>
          <w:right w:w="28" w:type="dxa"/>
        </w:tblCellMar>
      </w:tblPr>
      <w:tblGrid>
        <w:gridCol w:w="597"/>
        <w:gridCol w:w="524"/>
        <w:gridCol w:w="528"/>
        <w:gridCol w:w="109"/>
        <w:gridCol w:w="109"/>
        <w:gridCol w:w="109"/>
        <w:gridCol w:w="232"/>
        <w:gridCol w:w="398"/>
        <w:gridCol w:w="120"/>
        <w:gridCol w:w="109"/>
        <w:gridCol w:w="109"/>
        <w:gridCol w:w="109"/>
        <w:gridCol w:w="211"/>
        <w:gridCol w:w="616"/>
        <w:gridCol w:w="109"/>
        <w:gridCol w:w="109"/>
        <w:gridCol w:w="109"/>
        <w:gridCol w:w="109"/>
        <w:gridCol w:w="232"/>
        <w:gridCol w:w="398"/>
        <w:gridCol w:w="120"/>
        <w:gridCol w:w="109"/>
        <w:gridCol w:w="109"/>
        <w:gridCol w:w="109"/>
        <w:gridCol w:w="211"/>
        <w:gridCol w:w="616"/>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6/30/23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6/30/22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6/30/23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6/30/22</w:t>
            </w:r>
          </w:p>
        </w:tc>
      </w:tr>
      <w:tr>
        <w:trPr/>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Conventional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Thermal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Corporate</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Income/(Loss)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Table 2: Adjusted EBITDA</w:t>
      </w:r>
    </w:p>
    <w:tbl>
      <w:tblPr>
        <w:tblW w:w="6146" w:type="dxa"/>
        <w:jc w:val="left"/>
        <w:tblInd w:w="0" w:type="dxa"/>
        <w:tblLayout w:type="fixed"/>
        <w:tblCellMar>
          <w:top w:w="28" w:type="dxa"/>
          <w:left w:w="28" w:type="dxa"/>
          <w:bottom w:w="28" w:type="dxa"/>
          <w:right w:w="28" w:type="dxa"/>
        </w:tblCellMar>
      </w:tblPr>
      <w:tblGrid>
        <w:gridCol w:w="597"/>
        <w:gridCol w:w="524"/>
        <w:gridCol w:w="528"/>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6/30/23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6/30/22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6/30/23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6/30/22</w:t>
            </w:r>
          </w:p>
        </w:tc>
      </w:tr>
      <w:tr>
        <w:trPr/>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Conventional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Thermal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Corporate</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32740"/>
                <wp:effectExtent l="0" t="0" r="0" b="0"/>
                <wp:wrapNone/>
                <wp:docPr id="5" name="Frame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Table 3: Cash from Operating Activities and Cash Available for Distribution (CAFD)</w:t>
      </w:r>
    </w:p>
    <w:tbl>
      <w:tblPr>
        <w:tblW w:w="7841" w:type="dxa"/>
        <w:jc w:val="left"/>
        <w:tblInd w:w="0" w:type="dxa"/>
        <w:tblLayout w:type="fixed"/>
        <w:tblCellMar>
          <w:top w:w="28" w:type="dxa"/>
          <w:left w:w="28" w:type="dxa"/>
          <w:bottom w:w="28" w:type="dxa"/>
          <w:right w:w="28" w:type="dxa"/>
        </w:tblCellMar>
      </w:tblPr>
      <w:tblGrid>
        <w:gridCol w:w="1210"/>
        <w:gridCol w:w="1064"/>
        <w:gridCol w:w="1070"/>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21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6/30/23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6/30/22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6/30/23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6/30/22</w:t>
            </w:r>
          </w:p>
        </w:tc>
      </w:tr>
      <w:tr>
        <w:trPr/>
        <w:tc>
          <w:tcPr>
            <w:tcW w:w="3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Available for Distribution (CAFD)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second quarter of 2023, the Company reported Net Income of $84 million, Adjusted EBITDA of $316 million, Cash from Operating Activities of $134 million, and CAFD of $137 million. Net Income decreased versus 2022 primarily due to a non-cash gain on the disposition of the Thermal business recorded in 2022. Adjusted EBITDA and Cash from Operating Activities results in the second quarter were lower than 2022 due to the disposition of the Thermal business, lower renewable production, and the expiration of certain tolling agreements in the Conventional fleet. CAFD results in the second quarter of 2023 were lower than 2022 primarily due to lower EBITDA partially offset by lower debt service from Conventional project-level maturities.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Operational Performance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Table 4: Selected Operating Results</w:t>
      </w:r>
      <w:r>
        <w:rPr>
          <w:rFonts w:ascii="Times New Roman;sans-serif" w:hAnsi="Times New Roman;sans-serif"/>
          <w:b/>
          <w:color w:val="000000"/>
          <w:sz w:val="13"/>
        </w:rPr>
        <w:t>1</w:t>
      </w:r>
      <w:r>
        <w:rPr>
          <w:color w:val="000000"/>
        </w:rPr>
        <w:t xml:space="preserve"> </w:t>
      </w:r>
    </w:p>
    <w:tbl>
      <w:tblPr>
        <w:tblW w:w="9070" w:type="dxa"/>
        <w:jc w:val="left"/>
        <w:tblInd w:w="0" w:type="dxa"/>
        <w:tblLayout w:type="fixed"/>
        <w:tblCellMar>
          <w:top w:w="28" w:type="dxa"/>
          <w:left w:w="28" w:type="dxa"/>
          <w:bottom w:w="28" w:type="dxa"/>
          <w:right w:w="28" w:type="dxa"/>
        </w:tblCellMar>
      </w:tblPr>
      <w:tblGrid>
        <w:gridCol w:w="1370"/>
        <w:gridCol w:w="1203"/>
        <w:gridCol w:w="1207"/>
        <w:gridCol w:w="109"/>
        <w:gridCol w:w="109"/>
        <w:gridCol w:w="109"/>
        <w:gridCol w:w="255"/>
        <w:gridCol w:w="256"/>
        <w:gridCol w:w="416"/>
        <w:gridCol w:w="156"/>
        <w:gridCol w:w="156"/>
        <w:gridCol w:w="156"/>
        <w:gridCol w:w="255"/>
        <w:gridCol w:w="256"/>
        <w:gridCol w:w="416"/>
        <w:gridCol w:w="109"/>
        <w:gridCol w:w="109"/>
        <w:gridCol w:w="109"/>
        <w:gridCol w:w="255"/>
        <w:gridCol w:w="256"/>
        <w:gridCol w:w="416"/>
        <w:gridCol w:w="135"/>
        <w:gridCol w:w="135"/>
        <w:gridCol w:w="135"/>
        <w:gridCol w:w="255"/>
        <w:gridCol w:w="256"/>
        <w:gridCol w:w="471"/>
      </w:tblGrid>
      <w:tr>
        <w:trPr/>
        <w:tc>
          <w:tcPr>
            <w:tcW w:w="1370"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(MWh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6/30/23</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6/30/22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6/30/23</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6/30/22</w:t>
            </w:r>
          </w:p>
        </w:tc>
      </w:tr>
      <w:tr>
        <w:trPr/>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Conventional Equivalent Availability Factor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Solar MWh generated/sold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Wind MWh generated/sold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5,177</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w:t>
            </w:r>
          </w:p>
        </w:tc>
      </w:tr>
      <w:tr>
        <w:trPr/>
        <w:tc>
          <w:tcPr>
            <w:tcW w:w="3780" w:type="dxa"/>
            <w:gridSpan w:val="3"/>
            <w:tcBorders>
              <w:top w:val="dotted"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Renewables generated/sold</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tted"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3,977</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tted"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tted"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7,587</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tted"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7,735</w:t>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second quarter of 2023, availability at the Conventional segment was higher than the second quarter of 2022 primarily due to the timing of spring outages between the first quarter and second quarter. Generation in the Renewables segment during the second quarter of 2023 was 10% lower than the second quarter of 2022 primarily due to lower wind resource partially offset by the contribution of growth investments. </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Table 5: Liquidity</w:t>
      </w:r>
      <w:r>
        <w:rPr>
          <w:color w:val="000000"/>
        </w:rPr>
        <w:t xml:space="preserve"> </w:t>
      </w:r>
    </w:p>
    <w:tbl>
      <w:tblPr>
        <w:tblW w:w="9604" w:type="dxa"/>
        <w:jc w:val="left"/>
        <w:tblInd w:w="0" w:type="dxa"/>
        <w:tblLayout w:type="fixed"/>
        <w:tblCellMar>
          <w:top w:w="28" w:type="dxa"/>
          <w:left w:w="28" w:type="dxa"/>
          <w:bottom w:w="28" w:type="dxa"/>
          <w:right w:w="28" w:type="dxa"/>
        </w:tblCellMar>
      </w:tblPr>
      <w:tblGrid>
        <w:gridCol w:w="2372"/>
        <w:gridCol w:w="2084"/>
        <w:gridCol w:w="2098"/>
        <w:gridCol w:w="109"/>
        <w:gridCol w:w="109"/>
        <w:gridCol w:w="109"/>
        <w:gridCol w:w="216"/>
        <w:gridCol w:w="632"/>
        <w:gridCol w:w="111"/>
        <w:gridCol w:w="109"/>
        <w:gridCol w:w="109"/>
        <w:gridCol w:w="109"/>
        <w:gridCol w:w="240"/>
        <w:gridCol w:w="701"/>
        <w:gridCol w:w="124"/>
        <w:gridCol w:w="109"/>
        <w:gridCol w:w="109"/>
        <w:gridCol w:w="154"/>
      </w:tblGrid>
      <w:tr>
        <w:trPr/>
        <w:tc>
          <w:tcPr>
            <w:tcW w:w="2372"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6/30/2023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12/31/2022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Clearway Energy, Inc. and Clearway Energy LLC, excluding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accounts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Reserves, including debt service, distributions, performance obligations and other reserves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facility availability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Liquidity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liquidity as of June 30, 2023, was $1,430 million, which was $64 million higher than as of December 31, 2022, primarily due to the refinancing of the revolving credit facility which increased its total capacity to $700 million from $495 million. This was partially offset by the execution of growth investments. </w:t>
      </w:r>
    </w:p>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6"/>
        </w:rPr>
        <w:t>Excludes equity method investments</w:t>
      </w:r>
    </w:p>
    <w:p>
      <w:pPr>
        <w:pStyle w:val="TextBody"/>
        <w:bidi w:val="0"/>
        <w:spacing w:lineRule="auto" w:line="288"/>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16"/>
        </w:rPr>
        <w:t>Generation sold excludes MWh that are reimbursable for economic curtailment</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32740"/>
                <wp:effectExtent l="0" t="0" r="0" b="0"/>
                <wp:wrapNone/>
                <wp:docPr id="6" name="Frame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231F20"/>
          <w:sz w:val="20"/>
        </w:rPr>
        <w:t xml:space="preserve">As of </w:t>
      </w:r>
      <w:r>
        <w:rPr>
          <w:rFonts w:ascii="Times New Roman;sans-serif" w:hAnsi="Times New Roman;sans-serif"/>
          <w:b w:val="false"/>
          <w:color w:val="000000"/>
          <w:sz w:val="20"/>
        </w:rPr>
        <w:t>June 30, 2023</w:t>
      </w:r>
      <w:r>
        <w:rPr>
          <w:rFonts w:ascii="Times New Roman;sans-serif" w:hAnsi="Times New Roman;sans-serif"/>
          <w:b w:val="false"/>
          <w:color w:val="231F20"/>
          <w:sz w:val="20"/>
        </w:rPr>
        <w:t xml:space="preserve">, the Company's liquidity included </w:t>
      </w:r>
      <w:r>
        <w:rPr>
          <w:rFonts w:ascii="Times New Roman;sans-serif" w:hAnsi="Times New Roman;sans-serif"/>
          <w:b w:val="false"/>
          <w:color w:val="000000"/>
          <w:sz w:val="20"/>
        </w:rPr>
        <w:t>$371 million</w:t>
      </w:r>
      <w:r>
        <w:rPr>
          <w:color w:val="231F20"/>
        </w:rPr>
        <w:t xml:space="preserve"> </w:t>
      </w:r>
      <w:r>
        <w:rPr>
          <w:rFonts w:ascii="Times New Roman;sans-serif" w:hAnsi="Times New Roman;sans-serif"/>
          <w:b w:val="false"/>
          <w:color w:val="231F20"/>
          <w:sz w:val="20"/>
        </w:rPr>
        <w:t xml:space="preserve">of restricted cash. Restricted cash consists primarily of funds to satisfy the requirements of certain debt arrangements and funds held within the Company's projects that are restricted in their use. As </w:t>
      </w:r>
      <w:r>
        <w:rPr>
          <w:rFonts w:ascii="Times New Roman;sans-serif" w:hAnsi="Times New Roman;sans-serif"/>
          <w:b w:val="false"/>
          <w:color w:val="000000"/>
          <w:sz w:val="20"/>
        </w:rPr>
        <w:t>of June 30, 2023, these restricted funds were comprised of $104 million designated to fund operating expenses, approximately $168 million designated for current debt service payments, and $85 million of reserves for debt service, performance obligations and other items including capital expenditures.</w:t>
      </w:r>
      <w:r>
        <w:rPr>
          <w:color w:val="FF0000"/>
        </w:rPr>
        <w:t xml:space="preserve"> </w:t>
      </w:r>
      <w:r>
        <w:rPr>
          <w:rFonts w:ascii="Times New Roman;sans-serif" w:hAnsi="Times New Roman;sans-serif"/>
          <w:b w:val="false"/>
          <w:color w:val="000000"/>
          <w:sz w:val="20"/>
        </w:rPr>
        <w:t xml:space="preserve">The remaining $14 million is held in distribution reserve accounts.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Potential future sources of liquidity include excess operating cash flow, availability under the revolving credit facility</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 xml:space="preserve">asset dispositions, and, subject to market conditions, new corporate debt and equity financings.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Growth Investments and Strategic Announcements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Offer to Invest in Dan's Mountain Wind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4, 2023, Clearway Group offered the Company the opportunity to own 100% cash equity interest in a 55 MW wind project located in Allegany County, Maryland that is expected to reach commercial operations in the second half of 2024. The potential corporate capital commitment for the investment is expected to be approximately $77 million. The investment is subject to negotiation, both with Clearway Group and the review and approval by the Company’s Independent Directors.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Rosamond Central Battery Storage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June 30, 2023, the Company, through an indirect subsidiary, acquired a 50% ownership interest in an entity that will facilitate and fund the construction of a 147 MW battery energy storage system, or BESS, located in Rosamond, California that is expected to achieve commercial operations in 2024. The BESS system will be co-located at the Rosamond Central solar facility that the Company currently has a 50% ownership interest in. The BESS project is underpinned by a 15-year resource adequacy contract with an investment grade load serving entity. Upon reaching certain milestones, the Company expects to invest a total of $32 million of corporate capital. The Company expects the project to contribute asset CAFD on a five-year average annual basis of approximately $3.5 million beginning January 1, 2025.</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Cedar Creek Wind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May 19, 2023, the Company, through an indirect subsidiary, entered into an agreement to acquire the Cedar Creek wind project, a 160 MW project located in Bingham County, Idaho, for $107 million in cash, subject to customary working capital adjustments. Upon achieving commercial operations, which is expected to occur in the first half of 2024, the project will sell its power under a 25-year PPA with a investment grade utility. The Company expects the project to contribute asset CAFD on a five-year average annual basis of approximately $10 million beginning January 1,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Quarterly Dividend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On August 7, 2023, Clearway Energy, Inc.’s Board of Directors declared a quarterly dividend on Class A and Class C common stoc</w:t>
      </w:r>
      <w:r>
        <w:rPr>
          <w:rFonts w:ascii="Times New Roman;sans-serif" w:hAnsi="Times New Roman;sans-serif"/>
          <w:b w:val="false"/>
          <w:color w:val="242424"/>
          <w:sz w:val="20"/>
        </w:rPr>
        <w:t>k</w:t>
      </w:r>
      <w:r>
        <w:rPr>
          <w:color w:val="000000"/>
        </w:rPr>
        <w:t xml:space="preserve"> </w:t>
      </w:r>
      <w:r>
        <w:rPr>
          <w:rFonts w:ascii="Times New Roman;sans-serif" w:hAnsi="Times New Roman;sans-serif"/>
          <w:b w:val="false"/>
          <w:color w:val="000000"/>
          <w:sz w:val="20"/>
        </w:rPr>
        <w:t>of $0.3891 pe</w:t>
      </w:r>
      <w:r>
        <w:rPr>
          <w:rFonts w:ascii="Times New Roman;sans-serif" w:hAnsi="Times New Roman;sans-serif"/>
          <w:b w:val="false"/>
          <w:color w:val="242424"/>
          <w:sz w:val="20"/>
        </w:rPr>
        <w:t>r</w:t>
      </w:r>
      <w:r>
        <w:rPr>
          <w:color w:val="000000"/>
        </w:rPr>
        <w:t xml:space="preserve"> </w:t>
      </w:r>
      <w:r>
        <w:rPr>
          <w:rFonts w:ascii="Times New Roman;sans-serif" w:hAnsi="Times New Roman;sans-serif"/>
          <w:b w:val="false"/>
          <w:color w:val="000000"/>
          <w:sz w:val="20"/>
        </w:rPr>
        <w:t xml:space="preserve">share payable on September 15, 2023, to stockholders of record as of September 1,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anticipates that a portion of the dividends expected to be paid in 2023 and beyond may be treated as taxable for U.S. federal income tax purposes. The portion of dividends in future years that will be treated as taxable will depend upon a number of factors, including but not limited to, the Company’s overall performance and the gross amount of any dividends made to stockholders in 2023 and beyond.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Inc.’s quarterly operating results are impacted by seasonal factors, as well as weather variability which can impact renewable energy resource. Most of the Company's revenues are generated from the months of May through September, as contracted pricing and renewable resources are at their highest levels in the Company’s portfolio. Factors driving the fluctuation in Net Income, Adjusted EBITDA, Cash from Operating Activities, and CAFD include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Higher summer capacity prices from conventional assets;</w:t>
      </w:r>
    </w:p>
    <w:p>
      <w:pPr>
        <w:pStyle w:val="TextBody"/>
        <w:bidi w:val="0"/>
        <w:spacing w:lineRule="auto" w:line="288"/>
        <w:ind w:left="0" w:right="0" w:hanging="360"/>
        <w:jc w:val="both"/>
        <w:rPr/>
      </w:pPr>
      <w:r>
        <w:rPr>
          <w:color w:val="000000"/>
        </w:rPr>
        <w:t>•</w:t>
      </w:r>
      <w:r>
        <w:rPr>
          <w:rFonts w:ascii="Times New Roman;sans-serif" w:hAnsi="Times New Roman;sans-serif"/>
          <w:b w:val="false"/>
          <w:color w:val="000000"/>
          <w:sz w:val="20"/>
        </w:rPr>
        <w:t xml:space="preserve">Higher solar insolation during the summer months;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32740"/>
                <wp:effectExtent l="0" t="0" r="0" b="0"/>
                <wp:wrapNone/>
                <wp:docPr id="7" name="Frame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Higher wind resources during the spring and summer months;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Debt service payments which are made either quarterly or semi-annually;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Timing of maintenance capital expenditures and the impact of both unforced and forced outages;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Timing of distributions from unconsolidated affiliates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takes into consideration the timing of these factors to ensure sufficient funds are available for distributions and operating activities on a quarterly basis.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Financial Guidance and Pro Forma CAFD Outlook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updating 2023 full year CAFD guidance from $410 million to a range of $330 million to $360 million. The updated 2023 financial guidance reflects actual results to date as well as potential production variability for both wind and solar for the second half of the year and sensitivity for merchant energy margin at the Conventional segment. The potential production variability reflected in the revised financial guidance is based on year-to-date observations of production and weather patterns. The Company's 2023 financial guidance also factors in the contribution of committed growth investments based on current expected closing timelines. 2023 CAFD guidance does not factor in the timing of when CAFD is realized from new growth investments pursuant to 5-year averages beyond 2023.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Company is increasing its pro forma CAFD outlook expectations to approximately $420 million due to committed growth investments. The p</w:t>
      </w:r>
      <w:r>
        <w:rPr>
          <w:rFonts w:ascii="Times New Roman;sans-serif" w:hAnsi="Times New Roman;sans-serif"/>
          <w:b w:val="false"/>
          <w:color w:val="000000"/>
          <w:sz w:val="20"/>
          <w:shd w:fill="FFFFFF" w:val="clear"/>
        </w:rPr>
        <w:t xml:space="preserve">ro forma CAFD outlook continues to be based on management expectations for median renewable energy production estimates.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Earnings Conference Call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8, 2023, Clearway Energy, Inc. will host a conference call at 8:00 a.m. Eastern to discuss these results. Investors, the news media and others may access the live webcast of the conference call and accompanying presentation materials by logging on to Clearway Energy, Inc.’s website at http://www.clearwayenergy.com and clicking on “Presentations &amp; Webcasts” under “Investor Relations.”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About Clearway Energy, Inc.</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Clearway Energy, Inc. is one of the largest renewable energy owners in the US with over 5,500</w:t>
      </w:r>
      <w:r>
        <w:rPr>
          <w:color w:val="EE2724"/>
        </w:rPr>
        <w:t xml:space="preserve"> </w:t>
      </w:r>
      <w:r>
        <w:rPr>
          <w:rFonts w:ascii="Times New Roman;sans-serif" w:hAnsi="Times New Roman;sans-serif"/>
          <w:b w:val="false"/>
          <w:color w:val="000000"/>
          <w:sz w:val="20"/>
        </w:rPr>
        <w:t>net MW of installed wind and solar generation projects. The Company's over 8,000 net MW of assets also include approximately 2,500</w:t>
      </w:r>
      <w:r>
        <w:rPr>
          <w:color w:val="EE2724"/>
        </w:rPr>
        <w:t xml:space="preserve"> </w:t>
      </w:r>
      <w:r>
        <w:rPr>
          <w:rFonts w:ascii="Times New Roman;sans-serif" w:hAnsi="Times New Roman;sans-serif"/>
          <w:b w:val="false"/>
          <w:color w:val="000000"/>
          <w:sz w:val="20"/>
        </w:rPr>
        <w:t>net MW of environmentally-sound, highly efficient natural gas generation facilities. Through this environmentally-sound diversified and primarily contracted portfolio, Clearway Energy endeavors to provide its investors with stable and growing dividend income. Clearway Energy, Inc.’s Class C and Class A common stock are traded on the New York Stock Exchange under the symbols CWEN and CWEN.A, respectively. Clearway Energy, Inc. is sponsored by its controlling investor, Clearway Energy Group LLC. For more information, visit investor.clearwayenergy.com.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Safe Harbor Disclosure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regarding, the Company’s dividend expectations and its operations, its facilities and its financial results, impacts related to COVID-19 (including any variant of the virus) or any other pandemic, statements regarding the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anticipated consummation of the transactions described above, the anticipated benefits, opportunities, and results with respect to the transactions, including the Company’s future relationship and arrangements with Global Infrastructure Partners, TotalEnergies, and Clearway Energy Group, as well as the Company's Net Income, Adjusted EBITDA, Cash from Operating Activities, Cash Available for Distribution, the Company’s future revenues, income, indebtedness, capital structure, strategy, plans, expectations, objectives, projected financial performance and/or business results and other future events, and views of economic and market conditions.</w:t>
      </w:r>
    </w:p>
    <w:p>
      <w:pPr>
        <w:pStyle w:val="TextBody"/>
        <w:bidi w:val="0"/>
        <w:spacing w:before="0" w:after="0"/>
        <w:jc w:val="both"/>
        <w:rPr/>
      </w:pPr>
      <w:r>
        <w:rPr/>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Clearway Energy, Inc. believes that the expectations are reasonable, it can give no assurance that these expectations will prove to be correct, and actual results may vary materially. Factors that could cause actual results to differ materially from those contemplated above include, among others, the Company's ability to maintain and grow its quarterly dividend, impacts related to COVID-19 (including any variant of the virus) or any other pandemic, risks relating to the Company's relationships with its sponsors, the failure to identify, execute or successfully implement acquisitions or dispositions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32740"/>
                <wp:effectExtent l="0" t="0" r="0" b="0"/>
                <wp:wrapNone/>
                <wp:docPr id="8" name="Frame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(including receipt of third party consents and regulatory approvals), the Company's ability to acquire assets from its sponsors, the Company’s ability to borrow additional funds and access capital markets due to its indebtedness, corporate structure, market conditions or otherwise, hazards customary in the power industry, weather conditions, including wind and solar performance, the Company’s ability to operate its businesses efficiently, manage maintenance capital expenditures and costs effectively, and generate earnings and cash flows from its asset-based businesses in relation to its debt and other obligations, the willingness and ability of counterparties to the Company’s offtake agreements to fulfill their obligations under such agreements, the Company's ability to enter into new contracts as existing contracts expire, changes in government regulations, operating and financial restrictions placed on the Company that are contained in the project-level debt facilities and other agreements of the Company and its subsidiaries, and cyber terrorism and inadequate cybersecurity. Furthermore, any dividends are subject to available capital, market conditions, and compliance with associated laws and regulations.</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Clearway Energy, Inc. undertakes no obligation to update or revise any forward-looking statements, whether as a result of new information, future events or otherwise. The Cash Available for Distribution are estimates as of today’s date, August 8, 2023, and are based on assumptions believed to be reasonable as of this date. Clearway Energy, Inc. expressly disclaims any current intention to update such guidance. The foregoing review of factors that could cause Clearway Energy, Inc.’s actual results to differ materially from those contemplated in the forward-looking statements included in this news release should be considered in connection with information regarding risks and uncertainties that may affect Clearway Energy, Inc.’s future results included in Clearway Energy, Inc.’s filings with the Securities and Exchange Commission at www.sec.gov. In addition, Clearway Energy, Inc. makes available free of charge at www.clearwayenergy.com, copies of materials it files with, or furnishes to, the Securities and Exchange Commission.</w:t>
      </w:r>
    </w:p>
    <w:p>
      <w:pPr>
        <w:pStyle w:val="TextBody"/>
        <w:bidi w:val="0"/>
        <w:spacing w:before="0" w:after="18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 #</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Contacts: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Investors:                Media:</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 xml:space="preserve">Akil Marsh                Zadie Oleksiw </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investor.relations@clearwayenergy.com    media@clearwayenergy.com</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0"/>
        </w:rPr>
        <w:t>609-608-1500                202-836-5754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32740"/>
                <wp:effectExtent l="0" t="0" r="0" b="0"/>
                <wp:wrapNone/>
                <wp:docPr id="9" name="Frame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8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024"/>
        <w:gridCol w:w="1488"/>
        <w:gridCol w:w="1501"/>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2024"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per share amounts)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Costs and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operations, exclusive of depreciation, amortization and accretion shown separately below</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costs and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of unconsolidated affiliates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20"/>
              </w:rPr>
              <w:t>Income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 and redeemable noncontrolling interests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Net Income Attributable to Clearway Energy,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Earnings Per Share Attributable to Clearway Energy, Inc. Class A and Class C Common Stockholders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Class A common shares outstanding - basic and 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Class C common shares outstanding - basic and diluted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Earnings Per Weighted Average Class A and Class C Common Share - Basic and Diluted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Dividends Per Class A Common Share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0.3818 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0.3536 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0.7563 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0.7004 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Dividends Per Class C Common Share </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0.3818 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0.3536 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0.7563 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0.7004 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32740"/>
                <wp:effectExtent l="0" t="0" r="0" b="0"/>
                <wp:wrapNone/>
                <wp:docPr id="10" name="Frame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053"/>
        <w:gridCol w:w="1698"/>
        <w:gridCol w:w="1707"/>
        <w:gridCol w:w="216"/>
        <w:gridCol w:w="366"/>
        <w:gridCol w:w="120"/>
        <w:gridCol w:w="120"/>
        <w:gridCol w:w="120"/>
        <w:gridCol w:w="120"/>
        <w:gridCol w:w="216"/>
        <w:gridCol w:w="615"/>
        <w:gridCol w:w="120"/>
        <w:gridCol w:w="109"/>
        <w:gridCol w:w="109"/>
        <w:gridCol w:w="109"/>
        <w:gridCol w:w="206"/>
        <w:gridCol w:w="348"/>
        <w:gridCol w:w="114"/>
        <w:gridCol w:w="114"/>
        <w:gridCol w:w="114"/>
        <w:gridCol w:w="114"/>
        <w:gridCol w:w="206"/>
        <w:gridCol w:w="585"/>
        <w:gridCol w:w="114"/>
        <w:gridCol w:w="109"/>
        <w:gridCol w:w="109"/>
        <w:gridCol w:w="109"/>
        <w:gridCol w:w="165"/>
      </w:tblGrid>
      <w:tr>
        <w:trPr/>
        <w:tc>
          <w:tcPr>
            <w:tcW w:w="2053"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383" w:type="dxa"/>
            <w:gridSpan w:val="3"/>
            <w:tcBorders/>
          </w:tcPr>
          <w:p>
            <w:pPr>
              <w:pStyle w:val="TableContents"/>
              <w:bidi w:val="0"/>
              <w:spacing w:before="0" w:after="283"/>
              <w:jc w:val="left"/>
              <w:rPr>
                <w:sz w:val="4"/>
                <w:szCs w:val="4"/>
              </w:rPr>
            </w:pPr>
            <w:r>
              <w:rPr>
                <w:sz w:val="4"/>
                <w:szCs w:val="4"/>
              </w:rPr>
            </w:r>
          </w:p>
        </w:tc>
      </w:tr>
      <w:tr>
        <w:trPr/>
        <w:tc>
          <w:tcPr>
            <w:tcW w:w="54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millions)</w:t>
            </w:r>
          </w:p>
        </w:tc>
        <w:tc>
          <w:tcPr>
            <w:tcW w:w="7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Comprehensive Income</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derivatives and changes in accumulated OCI/OCL, net of income tax expense, of $1, $1, $— and $3</w:t>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Income</w:t>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Comprehensive income attributable to noncontrolling interests and redeemable noncontrolling interests</w:t>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ind w:left="0" w:right="0" w:hanging="180"/>
              <w:jc w:val="left"/>
              <w:rPr>
                <w:sz w:val="4"/>
                <w:szCs w:val="4"/>
              </w:rPr>
            </w:pPr>
            <w:r>
              <w:rPr>
                <w:sz w:val="4"/>
                <w:szCs w:val="4"/>
              </w:rPr>
            </w:r>
          </w:p>
        </w:tc>
      </w:tr>
      <w:tr>
        <w:trPr/>
        <w:tc>
          <w:tcPr>
            <w:tcW w:w="5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Income Attributable to Clearway Energy, Inc.</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32740"/>
                <wp:effectExtent l="0" t="0" r="0" b="0"/>
                <wp:wrapNone/>
                <wp:docPr id="11" name="Frame1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3335"/>
        <w:gridCol w:w="2223"/>
        <w:gridCol w:w="2243"/>
        <w:gridCol w:w="202"/>
        <w:gridCol w:w="667"/>
        <w:gridCol w:w="112"/>
        <w:gridCol w:w="109"/>
        <w:gridCol w:w="109"/>
        <w:gridCol w:w="109"/>
        <w:gridCol w:w="215"/>
        <w:gridCol w:w="709"/>
        <w:gridCol w:w="172"/>
      </w:tblGrid>
      <w:tr>
        <w:trPr/>
        <w:tc>
          <w:tcPr>
            <w:tcW w:w="3335"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shares)</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Restricted cash </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trade</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affiliates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801"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Prepayments and other current assets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1,276 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Property, plant and equipment, net </w:t>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Assets</w:t>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investments in affiliates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for power purchase agreements, net</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intangible assets, net </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net</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assets</w:t>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 trade</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 affiliates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 expense</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Liabilities</w:t>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lease liabilities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liabilities</w:t>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Redeemable noncontrolling interest in subsidiaries</w:t>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Commitments and Contingencies</w:t>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Preferred stock, $0.01 par value; 10,000,000 shares authorized; none issued </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 A, Class B, Class C and Class D common stock, $0.01 par value; 3,000,000,000 shares authorized (Class A 500,000,000, Class B 500,000,000, Class C 1,000,000,000, Class D 1,000,000,000); 202,075,237 shares issued and outstanding (Class A 34,613,853, Class B 42,738,750, Class C 82,385,884, Class D 42,336,750) at June 30, 2023 and 201,972,813 shares issued and outstanding (Class A 34,613,853, Class B 42,738,750, Class C 82,283,460, Class D 42,336,750) at December 31, 2022</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12,312 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32740"/>
                <wp:effectExtent l="0" t="0" r="0" b="0"/>
                <wp:wrapNone/>
                <wp:docPr id="12" name="Frame11"/>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CASH FLOWS </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180"/>
        <w:jc w:val="center"/>
        <w:rPr/>
      </w:pPr>
      <w:r>
        <w:rPr/>
      </w:r>
    </w:p>
    <w:tbl>
      <w:tblPr>
        <w:tblW w:w="7858" w:type="dxa"/>
        <w:jc w:val="center"/>
        <w:tblInd w:w="0" w:type="dxa"/>
        <w:tblLayout w:type="fixed"/>
        <w:tblCellMar>
          <w:top w:w="28" w:type="dxa"/>
          <w:left w:w="28" w:type="dxa"/>
          <w:bottom w:w="28" w:type="dxa"/>
          <w:right w:w="28" w:type="dxa"/>
        </w:tblCellMar>
      </w:tblPr>
      <w:tblGrid>
        <w:gridCol w:w="2100"/>
        <w:gridCol w:w="1842"/>
        <w:gridCol w:w="1848"/>
        <w:gridCol w:w="207"/>
        <w:gridCol w:w="445"/>
        <w:gridCol w:w="115"/>
        <w:gridCol w:w="115"/>
        <w:gridCol w:w="115"/>
        <w:gridCol w:w="115"/>
        <w:gridCol w:w="207"/>
        <w:gridCol w:w="587"/>
        <w:gridCol w:w="162"/>
      </w:tblGrid>
      <w:tr>
        <w:trPr/>
        <w:tc>
          <w:tcPr>
            <w:tcW w:w="2100"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Equity in earnings of unconsolidated affiliates </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from unconsolidated affiliates</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financing costs and debt discounts</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intangibles</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Loss on debt extinguishment </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business</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Reduction in carrying amount of right-of-use assets</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deferred income taxes</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derivative instruments and amortization of accumulated OCI/OCL</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used in changes in other working capital:</w:t>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Changes in prepaid and accrued liabilities for tolling agreements </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other working capital</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Operating Activities</w:t>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Drop Down Assets, net of cash acquired</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Return of investment from unconsolidated affiliates</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Investments in unconsolidated affiliates </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business</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Provided by Investing Activities</w:t>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7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(distributions to) noncontrolling interests, net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dividends and distributions</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CEG of escrowed amounts</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Tax-related distributions</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revolving credit facility</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the revolving credit facility</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Proceeds from the issuance of long-term debt </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debt issuance costs</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long-term debt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Financing Activities</w:t>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(Decrease) Increase in Cash, Cash Equivalents and Restricted Cash</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Beginning of Period</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 at End of Period</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32740"/>
                <wp:effectExtent l="0" t="0" r="0" b="0"/>
                <wp:wrapNone/>
                <wp:docPr id="13" name="Frame1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For the Six Months Ended June 30, 2023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814"/>
        <w:gridCol w:w="587"/>
        <w:gridCol w:w="578"/>
        <w:gridCol w:w="212"/>
        <w:gridCol w:w="440"/>
        <w:gridCol w:w="118"/>
        <w:gridCol w:w="109"/>
        <w:gridCol w:w="109"/>
        <w:gridCol w:w="109"/>
        <w:gridCol w:w="250"/>
        <w:gridCol w:w="308"/>
        <w:gridCol w:w="141"/>
        <w:gridCol w:w="109"/>
        <w:gridCol w:w="109"/>
        <w:gridCol w:w="109"/>
        <w:gridCol w:w="196"/>
        <w:gridCol w:w="556"/>
        <w:gridCol w:w="109"/>
        <w:gridCol w:w="109"/>
        <w:gridCol w:w="109"/>
        <w:gridCol w:w="109"/>
        <w:gridCol w:w="221"/>
        <w:gridCol w:w="476"/>
        <w:gridCol w:w="123"/>
        <w:gridCol w:w="109"/>
        <w:gridCol w:w="109"/>
        <w:gridCol w:w="109"/>
        <w:gridCol w:w="398"/>
        <w:gridCol w:w="489"/>
        <w:gridCol w:w="223"/>
        <w:gridCol w:w="109"/>
        <w:gridCol w:w="109"/>
        <w:gridCol w:w="109"/>
        <w:gridCol w:w="232"/>
        <w:gridCol w:w="659"/>
        <w:gridCol w:w="130"/>
        <w:gridCol w:w="109"/>
        <w:gridCol w:w="109"/>
        <w:gridCol w:w="109"/>
        <w:gridCol w:w="211"/>
        <w:gridCol w:w="598"/>
        <w:gridCol w:w="174"/>
      </w:tblGrid>
      <w:tr>
        <w:trPr/>
        <w:tc>
          <w:tcPr>
            <w:tcW w:w="81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2022</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derivatives and changes in accumulated OCI, net of tax</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CEG, net of distributions, cash</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 net of distributions, cash</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Transfers of assets under common control</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adjustments for change in tax basis</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dividends and distributions to CEG unit holders</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March 31, 2023</w:t>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2,006 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4,153 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derivatives and changes in accumulated OCI, net of tax</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CEG, net of contributions, cash</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 net of contributions, cash</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Tax-related distributions</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dividends and distributions to CEG unit holders</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June 30, 2023</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1,987 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4,127 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32740"/>
                <wp:effectExtent l="0" t="0" r="0" b="0"/>
                <wp:wrapNone/>
                <wp:docPr id="14" name="Frame13"/>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p>
                      <w:pPr>
                        <w:pStyle w:val="TextBody"/>
                        <w:bidi w:val="0"/>
                        <w:spacing w:before="0" w:after="0"/>
                        <w:jc w:val="left"/>
                        <w:rPr/>
                      </w:pPr>
                      <w:r>
                        <w:rPr/>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CLEARWAY ENERGY, INC.</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For the Six Months Ended June 30, 2022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781"/>
        <w:gridCol w:w="557"/>
        <w:gridCol w:w="547"/>
        <w:gridCol w:w="212"/>
        <w:gridCol w:w="439"/>
        <w:gridCol w:w="117"/>
        <w:gridCol w:w="109"/>
        <w:gridCol w:w="109"/>
        <w:gridCol w:w="109"/>
        <w:gridCol w:w="250"/>
        <w:gridCol w:w="307"/>
        <w:gridCol w:w="140"/>
        <w:gridCol w:w="109"/>
        <w:gridCol w:w="109"/>
        <w:gridCol w:w="109"/>
        <w:gridCol w:w="196"/>
        <w:gridCol w:w="556"/>
        <w:gridCol w:w="109"/>
        <w:gridCol w:w="109"/>
        <w:gridCol w:w="109"/>
        <w:gridCol w:w="109"/>
        <w:gridCol w:w="256"/>
        <w:gridCol w:w="550"/>
        <w:gridCol w:w="142"/>
        <w:gridCol w:w="109"/>
        <w:gridCol w:w="109"/>
        <w:gridCol w:w="109"/>
        <w:gridCol w:w="376"/>
        <w:gridCol w:w="492"/>
        <w:gridCol w:w="211"/>
        <w:gridCol w:w="109"/>
        <w:gridCol w:w="109"/>
        <w:gridCol w:w="109"/>
        <w:gridCol w:w="232"/>
        <w:gridCol w:w="659"/>
        <w:gridCol w:w="130"/>
        <w:gridCol w:w="109"/>
        <w:gridCol w:w="109"/>
        <w:gridCol w:w="109"/>
        <w:gridCol w:w="211"/>
        <w:gridCol w:w="598"/>
        <w:gridCol w:w="175"/>
      </w:tblGrid>
      <w:tr>
        <w:trPr/>
        <w:tc>
          <w:tcPr>
            <w:tcW w:w="78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r>
      <w:tr>
        <w:trPr/>
        <w:tc>
          <w:tcPr>
            <w:tcW w:w="1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2021</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derivatives, net of tax</w:t>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CEG, net of contributions, cash</w:t>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 net of distributions, cash</w:t>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Transfers of assets under common control</w:t>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adjustments for change in tax basis</w:t>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based compensation</w:t>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dividends and distributions to CEG unit holders</w:t>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March 31, 2022</w:t>
            </w:r>
          </w:p>
        </w:tc>
        <w:tc>
          <w:tcPr>
            <w:tcW w:w="6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3,139 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derivatives, net of tax</w:t>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CEG, net of contributions, cash</w:t>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 net of contributions, cash</w:t>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adjustments for change in tax basis</w:t>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based compensation</w:t>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dividends and distributions to CEG unit holders</w:t>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June 30, 2022</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1,896 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4,189 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32740"/>
                <wp:effectExtent l="0" t="0" r="0" b="0"/>
                <wp:wrapNone/>
                <wp:docPr id="15" name="Frame14"/>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Appendix Table A-1: Three Months Ended June 30, 2023, Segment Adjusted EBITDA Reconciliation</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calculation of Adjusted EBITDA and provides a reconciliation to Net Income/(Loss):</w:t>
      </w:r>
    </w:p>
    <w:tbl>
      <w:tblPr>
        <w:tblW w:w="10205" w:type="dxa"/>
        <w:jc w:val="left"/>
        <w:tblInd w:w="0" w:type="dxa"/>
        <w:tblLayout w:type="fixed"/>
        <w:tblCellMar>
          <w:top w:w="28" w:type="dxa"/>
          <w:left w:w="28" w:type="dxa"/>
          <w:bottom w:w="28" w:type="dxa"/>
          <w:right w:w="28" w:type="dxa"/>
        </w:tblCellMar>
      </w:tblPr>
      <w:tblGrid>
        <w:gridCol w:w="1688"/>
        <w:gridCol w:w="1219"/>
        <w:gridCol w:w="1191"/>
        <w:gridCol w:w="109"/>
        <w:gridCol w:w="109"/>
        <w:gridCol w:w="109"/>
        <w:gridCol w:w="327"/>
        <w:gridCol w:w="583"/>
        <w:gridCol w:w="171"/>
        <w:gridCol w:w="109"/>
        <w:gridCol w:w="109"/>
        <w:gridCol w:w="109"/>
        <w:gridCol w:w="249"/>
        <w:gridCol w:w="568"/>
        <w:gridCol w:w="129"/>
        <w:gridCol w:w="109"/>
        <w:gridCol w:w="109"/>
        <w:gridCol w:w="109"/>
        <w:gridCol w:w="211"/>
        <w:gridCol w:w="406"/>
        <w:gridCol w:w="109"/>
        <w:gridCol w:w="109"/>
        <w:gridCol w:w="109"/>
        <w:gridCol w:w="109"/>
        <w:gridCol w:w="264"/>
        <w:gridCol w:w="470"/>
        <w:gridCol w:w="137"/>
        <w:gridCol w:w="109"/>
        <w:gridCol w:w="109"/>
        <w:gridCol w:w="109"/>
        <w:gridCol w:w="211"/>
        <w:gridCol w:w="481"/>
        <w:gridCol w:w="156"/>
      </w:tblGrid>
      <w:tr>
        <w:trPr/>
        <w:tc>
          <w:tcPr>
            <w:tcW w:w="1688"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Thermal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098"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7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3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Contract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4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to Market (MtM) (Gain)/Loss on economic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reflect CWEN’s pro-rata share of Adjusted EBITDA from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Non-Cash Equity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248</w:t>
            </w: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316</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4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Appendix Table A-2: Three Months Ended June 30, 2022, Segment Adjusted EBITDA Reconciliation</w:t>
      </w:r>
    </w:p>
    <w:p>
      <w:pPr>
        <w:pStyle w:val="TextBody"/>
        <w:bidi w:val="0"/>
        <w:spacing w:lineRule="auto" w:line="288" w:before="0" w:after="0"/>
        <w:jc w:val="left"/>
        <w:rPr/>
      </w:pPr>
      <w:r>
        <w:rPr>
          <w:rFonts w:ascii="Times New Roman;sans-serif" w:hAnsi="Times New Roman;sans-serif"/>
          <w:b w:val="false"/>
          <w:color w:val="000000"/>
          <w:sz w:val="22"/>
        </w:rPr>
        <w:t>The following table summarizes the calculation of Adjusted EBITDA and provides a reconciliation to Net Income/(Loss):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552"/>
        <w:gridCol w:w="1190"/>
        <w:gridCol w:w="1162"/>
        <w:gridCol w:w="109"/>
        <w:gridCol w:w="109"/>
        <w:gridCol w:w="109"/>
        <w:gridCol w:w="327"/>
        <w:gridCol w:w="583"/>
        <w:gridCol w:w="171"/>
        <w:gridCol w:w="109"/>
        <w:gridCol w:w="109"/>
        <w:gridCol w:w="109"/>
        <w:gridCol w:w="249"/>
        <w:gridCol w:w="568"/>
        <w:gridCol w:w="129"/>
        <w:gridCol w:w="109"/>
        <w:gridCol w:w="109"/>
        <w:gridCol w:w="109"/>
        <w:gridCol w:w="257"/>
        <w:gridCol w:w="330"/>
        <w:gridCol w:w="134"/>
        <w:gridCol w:w="109"/>
        <w:gridCol w:w="109"/>
        <w:gridCol w:w="109"/>
        <w:gridCol w:w="211"/>
        <w:gridCol w:w="616"/>
        <w:gridCol w:w="109"/>
        <w:gridCol w:w="109"/>
        <w:gridCol w:w="109"/>
        <w:gridCol w:w="109"/>
        <w:gridCol w:w="211"/>
        <w:gridCol w:w="616"/>
        <w:gridCol w:w="155"/>
      </w:tblGrid>
      <w:tr>
        <w:trPr/>
        <w:tc>
          <w:tcPr>
            <w:tcW w:w="1552"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Thermal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0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7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1,149 </w:t>
            </w:r>
          </w:p>
        </w:tc>
        <w:tc>
          <w:tcPr>
            <w:tcW w:w="15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Contract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to Market (MtM) (Gain)/Loss on economic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reflect CWEN’s pro-rata share of Adjusted EBITDA from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Non-Cash Equity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285</w:t>
            </w: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w:t>
            </w: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366</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32740"/>
                <wp:effectExtent l="0" t="0" r="0" b="0"/>
                <wp:wrapNone/>
                <wp:docPr id="16" name="Frame15"/>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Appendix Table A-3: Six Months Ended June 30, 2023, Segment Adjusted EBITDA Reconciliation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calculation of Adjusted EBITDA and provides a reconciliation to Net Income/(Loss):</w:t>
      </w:r>
    </w:p>
    <w:tbl>
      <w:tblPr>
        <w:tblW w:w="10205" w:type="dxa"/>
        <w:jc w:val="left"/>
        <w:tblInd w:w="0" w:type="dxa"/>
        <w:tblLayout w:type="fixed"/>
        <w:tblCellMar>
          <w:top w:w="28" w:type="dxa"/>
          <w:left w:w="28" w:type="dxa"/>
          <w:bottom w:w="28" w:type="dxa"/>
          <w:right w:w="28" w:type="dxa"/>
        </w:tblCellMar>
      </w:tblPr>
      <w:tblGrid>
        <w:gridCol w:w="1628"/>
        <w:gridCol w:w="1248"/>
        <w:gridCol w:w="1222"/>
        <w:gridCol w:w="109"/>
        <w:gridCol w:w="109"/>
        <w:gridCol w:w="109"/>
        <w:gridCol w:w="284"/>
        <w:gridCol w:w="649"/>
        <w:gridCol w:w="148"/>
        <w:gridCol w:w="109"/>
        <w:gridCol w:w="109"/>
        <w:gridCol w:w="109"/>
        <w:gridCol w:w="249"/>
        <w:gridCol w:w="568"/>
        <w:gridCol w:w="129"/>
        <w:gridCol w:w="109"/>
        <w:gridCol w:w="109"/>
        <w:gridCol w:w="109"/>
        <w:gridCol w:w="211"/>
        <w:gridCol w:w="406"/>
        <w:gridCol w:w="109"/>
        <w:gridCol w:w="109"/>
        <w:gridCol w:w="109"/>
        <w:gridCol w:w="109"/>
        <w:gridCol w:w="264"/>
        <w:gridCol w:w="470"/>
        <w:gridCol w:w="137"/>
        <w:gridCol w:w="109"/>
        <w:gridCol w:w="109"/>
        <w:gridCol w:w="109"/>
        <w:gridCol w:w="211"/>
        <w:gridCol w:w="481"/>
        <w:gridCol w:w="156"/>
      </w:tblGrid>
      <w:tr>
        <w:trPr/>
        <w:tc>
          <w:tcPr>
            <w:tcW w:w="162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Thermal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09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48"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2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0"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37"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6"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Contract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4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to Market (MtM) (Gain)/Loss on economic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reflect CWEN’s pro-rata share of Adjusted EBITDA from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Non-Cash Equity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152</w:t>
            </w: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399</w:t>
            </w: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534</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4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4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Appendix Table A-4: Six Months Ended June 30, 2022, Segment Adjusted EBITDA Reconciliation</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calculation of Adjusted EBITDA and provides a reconciliation to Net Income/(Loss):</w:t>
      </w:r>
    </w:p>
    <w:tbl>
      <w:tblPr>
        <w:tblW w:w="10205" w:type="dxa"/>
        <w:jc w:val="left"/>
        <w:tblInd w:w="0" w:type="dxa"/>
        <w:tblLayout w:type="fixed"/>
        <w:tblCellMar>
          <w:top w:w="28" w:type="dxa"/>
          <w:left w:w="28" w:type="dxa"/>
          <w:bottom w:w="28" w:type="dxa"/>
          <w:right w:w="28" w:type="dxa"/>
        </w:tblCellMar>
      </w:tblPr>
      <w:tblGrid>
        <w:gridCol w:w="1586"/>
        <w:gridCol w:w="1205"/>
        <w:gridCol w:w="1178"/>
        <w:gridCol w:w="109"/>
        <w:gridCol w:w="109"/>
        <w:gridCol w:w="109"/>
        <w:gridCol w:w="284"/>
        <w:gridCol w:w="649"/>
        <w:gridCol w:w="148"/>
        <w:gridCol w:w="109"/>
        <w:gridCol w:w="109"/>
        <w:gridCol w:w="109"/>
        <w:gridCol w:w="249"/>
        <w:gridCol w:w="568"/>
        <w:gridCol w:w="129"/>
        <w:gridCol w:w="109"/>
        <w:gridCol w:w="109"/>
        <w:gridCol w:w="109"/>
        <w:gridCol w:w="218"/>
        <w:gridCol w:w="389"/>
        <w:gridCol w:w="114"/>
        <w:gridCol w:w="109"/>
        <w:gridCol w:w="109"/>
        <w:gridCol w:w="109"/>
        <w:gridCol w:w="233"/>
        <w:gridCol w:w="516"/>
        <w:gridCol w:w="122"/>
        <w:gridCol w:w="109"/>
        <w:gridCol w:w="109"/>
        <w:gridCol w:w="109"/>
        <w:gridCol w:w="211"/>
        <w:gridCol w:w="616"/>
        <w:gridCol w:w="155"/>
      </w:tblGrid>
      <w:tr>
        <w:trPr/>
        <w:tc>
          <w:tcPr>
            <w:tcW w:w="158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Conventional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Renewables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Thermal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48"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8"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2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9"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4"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122"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55"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Contract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to Market (MtM) (Gain)/Loss on economic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reflect CWEN’s pro-rata share of Adjusted EBITDA from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Non-Cash Equity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183</w:t>
            </w:r>
            <w:r>
              <w:rPr>
                <w:color w:val="000000"/>
              </w:rPr>
              <w:t>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439</w:t>
            </w:r>
            <w:r>
              <w:rPr>
                <w:color w:val="00000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626</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32740"/>
                <wp:effectExtent l="0" t="0" r="0" b="0"/>
                <wp:wrapNone/>
                <wp:docPr id="17" name="Frame16"/>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Appendix Table A-5: Cash Available for Distribution Reconciliation</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summarizes the calculation of Cash Available for Distribution and provides a reconciliation to Cash from Operating Activities: </w:t>
      </w:r>
    </w:p>
    <w:tbl>
      <w:tblPr>
        <w:tblW w:w="10205" w:type="dxa"/>
        <w:jc w:val="left"/>
        <w:tblInd w:w="0" w:type="dxa"/>
        <w:tblLayout w:type="fixed"/>
        <w:tblCellMar>
          <w:top w:w="28" w:type="dxa"/>
          <w:left w:w="28" w:type="dxa"/>
          <w:bottom w:w="28" w:type="dxa"/>
          <w:right w:w="28" w:type="dxa"/>
        </w:tblCellMar>
      </w:tblPr>
      <w:tblGrid>
        <w:gridCol w:w="2066"/>
        <w:gridCol w:w="1784"/>
        <w:gridCol w:w="1797"/>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481"/>
        <w:gridCol w:w="109"/>
        <w:gridCol w:w="109"/>
        <w:gridCol w:w="109"/>
        <w:gridCol w:w="155"/>
      </w:tblGrid>
      <w:tr>
        <w:trPr/>
        <w:tc>
          <w:tcPr>
            <w:tcW w:w="2066"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6/30/23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6/30/22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6/30/23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6/30/22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interest paid</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prepaid and accrued liabilities for tolling agreements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reflect sale-type leases and payments for lease expenses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Pro-rata Adjusted EBITDA from unconsolidated affiliates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unconsolidated affiliates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working capital and other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from Operating Activities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working capital and other</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Expenses</w:t>
            </w:r>
            <w:r>
              <w:rPr>
                <w:rFonts w:ascii="Times New Roman;sans-serif" w:hAnsi="Times New Roman;sans-serif"/>
                <w:b w:val="false"/>
                <w:color w:val="000000"/>
                <w:sz w:val="13"/>
              </w:rPr>
              <w:t>3</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of investment from unconsolidated affiliates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contributions (to)/from non-controlling interest</w:t>
            </w:r>
            <w:r>
              <w:rPr>
                <w:rFonts w:ascii="Times New Roman;sans-serif" w:hAnsi="Times New Roman;sans-serif"/>
                <w:b w:val="false"/>
                <w:color w:val="000000"/>
                <w:sz w:val="13"/>
              </w:rPr>
              <w:t>4</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amortization of indebtedness</w:t>
            </w:r>
            <w:r>
              <w:rPr>
                <w:rFonts w:ascii="Times New Roman;sans-serif" w:hAnsi="Times New Roman;sans-serif"/>
                <w:b w:val="false"/>
                <w:color w:val="000000"/>
                <w:sz w:val="13"/>
              </w:rPr>
              <w:t>5</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Available for Distribution</w:t>
            </w:r>
            <w:r>
              <w:rPr>
                <w:rFonts w:ascii="Times New Roman;sans-serif" w:hAnsi="Times New Roman;sans-serif"/>
                <w:b/>
                <w:color w:val="000000"/>
                <w:sz w:val="13"/>
              </w:rPr>
              <w:t>6</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176</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174</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16"/>
        </w:rPr>
        <w:t>Primarily related to Thermal Development Expenses</w:t>
      </w:r>
    </w:p>
    <w:p>
      <w:pPr>
        <w:pStyle w:val="TextBody"/>
        <w:bidi w:val="0"/>
        <w:spacing w:lineRule="auto" w:line="288" w:before="0" w:after="0"/>
        <w:jc w:val="left"/>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16"/>
        </w:rPr>
        <w:t>2023 excludes $229 million of contributions related to the funding of Rosamond Central Battery Storage, Waiawa, and Daggett; 2022 excludes $50 million of contributions related to the funding of Mesquite Sky, Black Rock, and Mililani</w:t>
      </w:r>
    </w:p>
    <w:p>
      <w:pPr>
        <w:pStyle w:val="TextBody"/>
        <w:bidi w:val="0"/>
        <w:spacing w:lineRule="auto" w:line="288" w:before="0" w:after="0"/>
        <w:jc w:val="left"/>
        <w:rPr/>
      </w:pP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16"/>
        </w:rPr>
        <w:t>2023 excludes $130 million for the repayment of construction loans in connection with Waiawa and Daggett, and $24 million for the repayment of balloon at Walnut Creek Holdings; 2022 excludes $660 million for the repayment of the Bridge Loan Facility and revolver payments, $186 million for the refinancing of Tapestry Wind, Laredo Ridge, and Viento, and $27 million for the repayment of bridge loans in connection with Mililani</w:t>
      </w:r>
    </w:p>
    <w:p>
      <w:pPr>
        <w:pStyle w:val="TextBody"/>
        <w:bidi w:val="0"/>
        <w:spacing w:lineRule="auto" w:line="288"/>
        <w:jc w:val="left"/>
        <w:rPr/>
      </w:pPr>
      <w:r>
        <w:rPr>
          <w:rFonts w:ascii="Times New Roman;sans-serif" w:hAnsi="Times New Roman;sans-serif"/>
          <w:b w:val="false"/>
          <w:color w:val="000000"/>
          <w:sz w:val="13"/>
        </w:rPr>
        <w:t>6</w:t>
      </w:r>
      <w:r>
        <w:rPr>
          <w:color w:val="000000"/>
        </w:rPr>
        <w:t xml:space="preserve"> </w:t>
      </w:r>
      <w:r>
        <w:rPr>
          <w:rFonts w:ascii="Times New Roman;sans-serif" w:hAnsi="Times New Roman;sans-serif"/>
          <w:b w:val="false"/>
          <w:color w:val="000000"/>
          <w:sz w:val="16"/>
        </w:rPr>
        <w:t>Excludes income tax payments related to Thermal sale</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32740"/>
                <wp:effectExtent l="0" t="0" r="0" b="0"/>
                <wp:wrapNone/>
                <wp:docPr id="18" name="Frame17"/>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Appendix Table A-6: Six Months Ended June 30, 2023, Sources and Uses of Liquidity</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sources and uses of liquidity in 2023:</w:t>
      </w:r>
    </w:p>
    <w:p>
      <w:pPr>
        <w:pStyle w:val="TextBody"/>
        <w:bidi w:val="0"/>
        <w:spacing w:before="0" w:after="0"/>
        <w:jc w:val="left"/>
        <w:rPr/>
      </w:pPr>
      <w:r>
        <w:rPr/>
      </w:r>
    </w:p>
    <w:tbl>
      <w:tblPr>
        <w:tblW w:w="6731" w:type="dxa"/>
        <w:jc w:val="left"/>
        <w:tblInd w:w="0" w:type="dxa"/>
        <w:tblLayout w:type="fixed"/>
        <w:tblCellMar>
          <w:top w:w="28" w:type="dxa"/>
          <w:left w:w="28" w:type="dxa"/>
          <w:bottom w:w="28" w:type="dxa"/>
          <w:right w:w="28" w:type="dxa"/>
        </w:tblCellMar>
      </w:tblPr>
      <w:tblGrid>
        <w:gridCol w:w="1711"/>
        <w:gridCol w:w="1501"/>
        <w:gridCol w:w="1512"/>
        <w:gridCol w:w="109"/>
        <w:gridCol w:w="109"/>
        <w:gridCol w:w="109"/>
        <w:gridCol w:w="460"/>
        <w:gridCol w:w="854"/>
        <w:gridCol w:w="366"/>
      </w:tblGrid>
      <w:tr>
        <w:trPr/>
        <w:tc>
          <w:tcPr>
            <w:tcW w:w="171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6/30/23</w:t>
            </w:r>
          </w:p>
        </w:tc>
      </w:tr>
      <w:tr>
        <w:trPr/>
        <w:tc>
          <w:tcPr>
            <w:tcW w:w="4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Sources: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(distributions to) noncontrolling interests,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Return of investment from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Payments for long-term debt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Payments of dividends and distributions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 cash outflows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Change in 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54"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(78)</w:t>
            </w:r>
          </w:p>
        </w:tc>
        <w:tc>
          <w:tcPr>
            <w:tcW w:w="366"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32740"/>
                <wp:effectExtent l="0" t="0" r="0" b="0"/>
                <wp:wrapNone/>
                <wp:docPr id="19" name="Frame18"/>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Appendix Table A-5: Adjusted EBITDA and Cash Available for Distribution Guidance</w:t>
      </w:r>
    </w:p>
    <w:tbl>
      <w:tblPr>
        <w:tblW w:w="10205" w:type="dxa"/>
        <w:jc w:val="left"/>
        <w:tblInd w:w="0" w:type="dxa"/>
        <w:tblLayout w:type="fixed"/>
        <w:tblCellMar>
          <w:top w:w="28" w:type="dxa"/>
          <w:left w:w="28" w:type="dxa"/>
          <w:bottom w:w="28" w:type="dxa"/>
          <w:right w:w="28" w:type="dxa"/>
        </w:tblCellMar>
      </w:tblPr>
      <w:tblGrid>
        <w:gridCol w:w="2166"/>
        <w:gridCol w:w="1775"/>
        <w:gridCol w:w="1791"/>
        <w:gridCol w:w="109"/>
        <w:gridCol w:w="109"/>
        <w:gridCol w:w="109"/>
        <w:gridCol w:w="109"/>
        <w:gridCol w:w="109"/>
        <w:gridCol w:w="646"/>
        <w:gridCol w:w="646"/>
        <w:gridCol w:w="647"/>
        <w:gridCol w:w="580"/>
        <w:gridCol w:w="580"/>
        <w:gridCol w:w="829"/>
      </w:tblGrid>
      <w:tr>
        <w:trPr/>
        <w:tc>
          <w:tcPr>
            <w:tcW w:w="2166"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5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Prior </w:t>
              <w:br/>
              <w:t>2023 Full Year Guidance</w:t>
            </w:r>
          </w:p>
        </w:tc>
        <w:tc>
          <w:tcPr>
            <w:tcW w:w="1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 Full Year Guidance</w:t>
            </w:r>
          </w:p>
        </w:tc>
      </w:tr>
      <w:tr>
        <w:trPr/>
        <w:tc>
          <w:tcPr>
            <w:tcW w:w="57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165</w:t>
            </w:r>
            <w:r>
              <w:rPr>
                <w:color w:val="000000"/>
              </w:rPr>
              <w:t> </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95 - 120</w:t>
            </w:r>
          </w:p>
        </w:tc>
      </w:tr>
      <w:tr>
        <w:trPr/>
        <w:tc>
          <w:tcPr>
            <w:tcW w:w="57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20 - 25</w:t>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8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ARO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620 </w:t>
            </w:r>
          </w:p>
        </w:tc>
        <w:tc>
          <w:tcPr>
            <w:tcW w:w="82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Adjustment to reflect CWEN share of Adjusted EBITDA in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82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Equity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1,170</w:t>
            </w:r>
            <w:r>
              <w:rPr>
                <w:color w:val="000000"/>
              </w:rPr>
              <w:t> </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1,090 - 1,120</w:t>
            </w:r>
          </w:p>
        </w:tc>
      </w:tr>
      <w:tr>
        <w:trPr/>
        <w:tc>
          <w:tcPr>
            <w:tcW w:w="57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Cash interest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prepaid and accrued liabilities for tolling agreements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82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Adjustments to reflect sale-type leases and payments for lease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Pro-rata Adjusted EBITDA from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82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distributions from unconsolidated affiliates</w:t>
            </w:r>
            <w:r>
              <w:rPr>
                <w:rFonts w:ascii="Times New Roman;sans-serif" w:hAnsi="Times New Roman;sans-serif"/>
                <w:b w:val="false"/>
                <w:color w:val="000000"/>
                <w:sz w:val="13"/>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c>
          <w:tcPr>
            <w:tcW w:w="1989" w:type="dxa"/>
            <w:gridSpan w:val="3"/>
            <w:tcBorders/>
            <w:vAlign w:val="center"/>
          </w:tcPr>
          <w:p>
            <w:pPr>
              <w:pStyle w:val="TableContents"/>
              <w:bidi w:val="0"/>
              <w:spacing w:before="0" w:after="283"/>
              <w:jc w:val="left"/>
              <w:rPr>
                <w:sz w:val="4"/>
                <w:szCs w:val="4"/>
              </w:rPr>
            </w:pPr>
            <w:r>
              <w:rPr>
                <w:sz w:val="4"/>
                <w:szCs w:val="4"/>
              </w:rPr>
            </w:r>
          </w:p>
        </w:tc>
      </w:tr>
      <w:tr>
        <w:trPr/>
        <w:tc>
          <w:tcPr>
            <w:tcW w:w="57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808</w:t>
            </w:r>
            <w:r>
              <w:rPr>
                <w:color w:val="000000"/>
              </w:rPr>
              <w:t> </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728 - 758</w:t>
            </w:r>
          </w:p>
        </w:tc>
      </w:tr>
      <w:tr>
        <w:trPr/>
        <w:tc>
          <w:tcPr>
            <w:tcW w:w="57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c>
          <w:tcPr>
            <w:tcW w:w="198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7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distributions to non-controlling interest</w:t>
            </w:r>
            <w:r>
              <w:rPr>
                <w:rFonts w:ascii="Times New Roman;sans-serif" w:hAnsi="Times New Roman;sans-serif"/>
                <w:b w:val="false"/>
                <w:color w:val="000000"/>
                <w:sz w:val="13"/>
              </w:rPr>
              <w:t>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8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Principal amortization of indebtedness</w:t>
            </w:r>
            <w:r>
              <w:rPr>
                <w:rFonts w:ascii="Times New Roman;sans-serif" w:hAnsi="Times New Roman;sans-serif"/>
                <w:b w:val="false"/>
                <w:color w:val="000000"/>
                <w:sz w:val="13"/>
              </w:rPr>
              <w:t>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c>
          <w:tcPr>
            <w:tcW w:w="1989" w:type="dxa"/>
            <w:gridSpan w:val="3"/>
            <w:tcBorders/>
            <w:vAlign w:val="center"/>
          </w:tcPr>
          <w:p>
            <w:pPr>
              <w:pStyle w:val="TableContents"/>
              <w:bidi w:val="0"/>
              <w:spacing w:before="0" w:after="283"/>
              <w:jc w:val="left"/>
              <w:rPr>
                <w:sz w:val="4"/>
                <w:szCs w:val="4"/>
              </w:rPr>
            </w:pPr>
            <w:r>
              <w:rPr>
                <w:sz w:val="4"/>
                <w:szCs w:val="4"/>
              </w:rPr>
            </w:r>
          </w:p>
        </w:tc>
      </w:tr>
      <w:tr>
        <w:trPr/>
        <w:tc>
          <w:tcPr>
            <w:tcW w:w="573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Available for Distribution</w:t>
            </w:r>
            <w:r>
              <w:rPr>
                <w:rFonts w:ascii="Times New Roman;sans-serif" w:hAnsi="Times New Roman;sans-serif"/>
                <w:b/>
                <w:color w:val="000000"/>
                <w:sz w:val="13"/>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410</w:t>
            </w:r>
            <w:r>
              <w:rPr>
                <w:color w:val="000000"/>
              </w:rPr>
              <w:t> </w:t>
            </w:r>
          </w:p>
        </w:tc>
        <w:tc>
          <w:tcPr>
            <w:tcW w:w="6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330 - 360</w:t>
            </w:r>
          </w:p>
        </w:tc>
      </w:tr>
      <w:tr>
        <w:trPr/>
        <w:tc>
          <w:tcPr>
            <w:tcW w:w="57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c>
          <w:tcPr>
            <w:tcW w:w="1989" w:type="dxa"/>
            <w:gridSpan w:val="3"/>
            <w:tcBorders/>
            <w:vAlign w:val="center"/>
          </w:tcPr>
          <w:p>
            <w:pPr>
              <w:pStyle w:val="TableContents"/>
              <w:bidi w:val="0"/>
              <w:spacing w:before="0" w:after="283"/>
              <w:jc w:val="left"/>
              <w:rPr>
                <w:sz w:val="4"/>
                <w:szCs w:val="4"/>
              </w:rPr>
            </w:pPr>
            <w:r>
              <w:rPr>
                <w:sz w:val="4"/>
                <w:szCs w:val="4"/>
              </w:rPr>
            </w:r>
          </w:p>
        </w:tc>
      </w:tr>
      <w:tr>
        <w:trPr/>
        <w:tc>
          <w:tcPr>
            <w:tcW w:w="57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c>
          <w:tcPr>
            <w:tcW w:w="19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3"/>
        </w:rPr>
        <w:t>7</w:t>
      </w:r>
      <w:r>
        <w:rPr>
          <w:color w:val="000000"/>
        </w:rPr>
        <w:t xml:space="preserve"> </w:t>
      </w:r>
      <w:r>
        <w:rPr>
          <w:rFonts w:ascii="Times New Roman;sans-serif" w:hAnsi="Times New Roman;sans-serif"/>
          <w:b w:val="false"/>
          <w:color w:val="000000"/>
          <w:sz w:val="16"/>
        </w:rPr>
        <w:t>Distribution from unconsolidated affiliates can be classified as Return of Investment on Unconsolidated Affiliates when actuals are reported. This is below cash from operating activities</w:t>
      </w:r>
    </w:p>
    <w:p>
      <w:pPr>
        <w:pStyle w:val="TextBody"/>
        <w:bidi w:val="0"/>
        <w:spacing w:lineRule="auto" w:line="288" w:before="0" w:after="0"/>
        <w:jc w:val="left"/>
        <w:rPr/>
      </w:pPr>
      <w:r>
        <w:rPr>
          <w:rFonts w:ascii="Times New Roman;sans-serif" w:hAnsi="Times New Roman;sans-serif"/>
          <w:b w:val="false"/>
          <w:color w:val="000000"/>
          <w:sz w:val="13"/>
        </w:rPr>
        <w:t>8</w:t>
      </w:r>
      <w:r>
        <w:rPr>
          <w:color w:val="000000"/>
        </w:rPr>
        <w:t xml:space="preserve"> </w:t>
      </w:r>
      <w:r>
        <w:rPr>
          <w:rFonts w:ascii="Times New Roman;sans-serif" w:hAnsi="Times New Roman;sans-serif"/>
          <w:b w:val="false"/>
          <w:color w:val="000000"/>
          <w:sz w:val="16"/>
        </w:rPr>
        <w:t>Includes tax equity proceeds and distributions to tax equity partners</w:t>
      </w:r>
    </w:p>
    <w:p>
      <w:pPr>
        <w:pStyle w:val="TextBody"/>
        <w:bidi w:val="0"/>
        <w:spacing w:lineRule="auto" w:line="288" w:before="0" w:after="0"/>
        <w:jc w:val="left"/>
        <w:rPr/>
      </w:pPr>
      <w:r>
        <w:rPr>
          <w:rFonts w:ascii="Times New Roman;sans-serif" w:hAnsi="Times New Roman;sans-serif"/>
          <w:b w:val="false"/>
          <w:color w:val="000000"/>
          <w:sz w:val="13"/>
        </w:rPr>
        <w:t>9</w:t>
      </w:r>
      <w:r>
        <w:rPr>
          <w:color w:val="000000"/>
        </w:rPr>
        <w:t xml:space="preserve"> </w:t>
      </w:r>
      <w:r>
        <w:rPr>
          <w:rFonts w:ascii="Times New Roman;sans-serif" w:hAnsi="Times New Roman;sans-serif"/>
          <w:b w:val="false"/>
          <w:color w:val="000000"/>
          <w:sz w:val="16"/>
        </w:rPr>
        <w:t>Excludes balloon maturity payments in 2023</w:t>
      </w:r>
    </w:p>
    <w:p>
      <w:pPr>
        <w:pStyle w:val="TextBody"/>
        <w:bidi w:val="0"/>
        <w:spacing w:lineRule="auto" w:line="288"/>
        <w:jc w:val="left"/>
        <w:rPr/>
      </w:pPr>
      <w:r>
        <w:rPr>
          <w:rFonts w:ascii="Times New Roman;sans-serif" w:hAnsi="Times New Roman;sans-serif"/>
          <w:b w:val="false"/>
          <w:color w:val="000000"/>
          <w:sz w:val="13"/>
        </w:rPr>
        <w:t>10</w:t>
      </w:r>
      <w:r>
        <w:rPr>
          <w:color w:val="000000"/>
        </w:rPr>
        <w:t xml:space="preserve"> </w:t>
      </w:r>
      <w:r>
        <w:rPr>
          <w:rFonts w:ascii="Times New Roman;sans-serif" w:hAnsi="Times New Roman;sans-serif"/>
          <w:b w:val="false"/>
          <w:color w:val="000000"/>
          <w:sz w:val="16"/>
        </w:rPr>
        <w:t>Excludes income tax payments related to Thermal sale</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32740"/>
                <wp:effectExtent l="0" t="0" r="0" b="0"/>
                <wp:wrapNone/>
                <wp:docPr id="20" name="Frame19"/>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Appendix Table A-6: Adjusted EBITDA and Cash Available for Distribution Pro Forma Outlook </w:t>
      </w:r>
    </w:p>
    <w:tbl>
      <w:tblPr>
        <w:tblW w:w="10028" w:type="dxa"/>
        <w:jc w:val="left"/>
        <w:tblInd w:w="0" w:type="dxa"/>
        <w:tblLayout w:type="fixed"/>
        <w:tblCellMar>
          <w:top w:w="28" w:type="dxa"/>
          <w:left w:w="28" w:type="dxa"/>
          <w:bottom w:w="28" w:type="dxa"/>
          <w:right w:w="28" w:type="dxa"/>
        </w:tblCellMar>
      </w:tblPr>
      <w:tblGrid>
        <w:gridCol w:w="2526"/>
        <w:gridCol w:w="2214"/>
        <w:gridCol w:w="2234"/>
        <w:gridCol w:w="109"/>
        <w:gridCol w:w="109"/>
        <w:gridCol w:w="109"/>
        <w:gridCol w:w="109"/>
        <w:gridCol w:w="109"/>
        <w:gridCol w:w="784"/>
        <w:gridCol w:w="784"/>
        <w:gridCol w:w="787"/>
        <w:gridCol w:w="154"/>
      </w:tblGrid>
      <w:tr>
        <w:trPr/>
        <w:tc>
          <w:tcPr>
            <w:tcW w:w="2526"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 Forma CAFD Outlook</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145</w:t>
            </w:r>
            <w:r>
              <w:rPr>
                <w:color w:val="000000"/>
              </w:rPr>
              <w:t> </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395 </w:t>
            </w:r>
          </w:p>
        </w:tc>
        <w:tc>
          <w:tcPr>
            <w:tcW w:w="7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ARO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Adjustment to reflect CWEN share of Adjusted EBITDA in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7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Equity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1,195</w:t>
            </w:r>
            <w:r>
              <w:rPr>
                <w:color w:val="000000"/>
              </w:rPr>
              <w:t> </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Cash interest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prepaid and accrued liabilities for tolling agreements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7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Adjustments to reflect sale-type leases and payments for lease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Pro-rata Adjusted EBITDA from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7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distributions from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848</w:t>
            </w:r>
            <w:r>
              <w:rPr>
                <w:color w:val="000000"/>
              </w:rPr>
              <w:t> </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distributions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7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amortization of indebtedness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Available for Distribution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420</w:t>
            </w:r>
            <w:r>
              <w:rPr>
                <w:color w:val="000000"/>
              </w:rPr>
              <w:t> </w:t>
            </w:r>
          </w:p>
        </w:tc>
        <w:tc>
          <w:tcPr>
            <w:tcW w:w="7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FFFFFF"/>
          <w:sz w:val="22"/>
        </w:rPr>
        <w:t>Appendix Table A-7: Growth Investments 5 Year Average CAFD</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405"/>
        <w:gridCol w:w="1154"/>
        <w:gridCol w:w="1150"/>
        <w:gridCol w:w="109"/>
        <w:gridCol w:w="109"/>
        <w:gridCol w:w="109"/>
        <w:gridCol w:w="109"/>
        <w:gridCol w:w="109"/>
        <w:gridCol w:w="109"/>
        <w:gridCol w:w="109"/>
        <w:gridCol w:w="109"/>
        <w:gridCol w:w="109"/>
        <w:gridCol w:w="109"/>
        <w:gridCol w:w="109"/>
        <w:gridCol w:w="109"/>
        <w:gridCol w:w="109"/>
        <w:gridCol w:w="109"/>
        <w:gridCol w:w="109"/>
        <w:gridCol w:w="109"/>
        <w:gridCol w:w="109"/>
        <w:gridCol w:w="592"/>
        <w:gridCol w:w="592"/>
        <w:gridCol w:w="595"/>
        <w:gridCol w:w="901"/>
        <w:gridCol w:w="901"/>
        <w:gridCol w:w="903"/>
        <w:gridCol w:w="159"/>
      </w:tblGrid>
      <w:tr>
        <w:trPr/>
        <w:tc>
          <w:tcPr>
            <w:tcW w:w="1405"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Cedar Creek</w:t>
              <w:br/>
              <w:t>5 Year Ave. 2025-2029</w:t>
            </w:r>
          </w:p>
        </w:tc>
        <w:tc>
          <w:tcPr>
            <w:tcW w:w="2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Rosamond Central Battery Storage</w:t>
              <w:br/>
              <w:t>5 Year Ave. 2025-2029</w:t>
            </w:r>
          </w:p>
        </w:tc>
        <w:tc>
          <w:tcPr>
            <w:tcW w:w="159"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w:t>
            </w:r>
            <w:r>
              <w:rPr>
                <w:color w:val="000000"/>
              </w:rPr>
              <w:t> </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10.0</w:t>
            </w:r>
            <w:r>
              <w:rPr>
                <w:color w:val="000000"/>
              </w:rPr>
              <w:t> </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ARO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5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9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2705"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w:t>
            </w:r>
            <w:r>
              <w:rPr>
                <w:color w:val="000000"/>
              </w:rPr>
              <w:t> </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33.0</w:t>
            </w:r>
            <w:r>
              <w:rPr>
                <w:color w:val="000000"/>
              </w:rPr>
              <w:t> </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Cash interest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2705"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2705"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2705"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from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w:t>
            </w:r>
            <w:r>
              <w:rPr>
                <w:color w:val="000000"/>
              </w:rPr>
              <w:t> </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25.0</w:t>
            </w:r>
            <w:r>
              <w:rPr>
                <w:color w:val="000000"/>
              </w:rPr>
              <w:t> </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distributions (to)/from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amortization of indebtedness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5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9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Estimated Cash Available for 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w:t>
            </w:r>
            <w:r>
              <w:rPr>
                <w:color w:val="000000"/>
              </w:rPr>
              <w:t> </w:t>
            </w:r>
          </w:p>
        </w:tc>
        <w:tc>
          <w:tcPr>
            <w:tcW w:w="5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0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3.5</w:t>
            </w:r>
            <w:r>
              <w:rPr>
                <w:color w:val="000000"/>
              </w:rPr>
              <w:t> </w:t>
            </w:r>
          </w:p>
        </w:tc>
        <w:tc>
          <w:tcPr>
            <w:tcW w:w="9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2705"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32740"/>
                <wp:effectExtent l="0" t="0" r="0" b="0"/>
                <wp:wrapNone/>
                <wp:docPr id="21" name="Frame20"/>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color w:val="000000"/>
          <w:sz w:val="22"/>
        </w:rPr>
      </w:pPr>
      <w:r>
        <w:rPr>
          <w:rFonts w:ascii="Times New Roman;sans-serif" w:hAnsi="Times New Roman;sans-serif"/>
          <w:b/>
          <w:color w:val="000000"/>
          <w:sz w:val="22"/>
        </w:rPr>
        <w:t>Non-GAAP Financial Information</w:t>
      </w:r>
    </w:p>
    <w:p>
      <w:pPr>
        <w:pStyle w:val="TextBody"/>
        <w:bidi w:val="0"/>
        <w:spacing w:before="0" w:after="0"/>
        <w:jc w:val="both"/>
        <w:rPr/>
      </w:pPr>
      <w:r>
        <w:rPr/>
      </w:r>
    </w:p>
    <w:p>
      <w:pPr>
        <w:pStyle w:val="TextBody"/>
        <w:bidi w:val="0"/>
        <w:spacing w:lineRule="auto" w:line="417" w:before="0" w:after="0"/>
        <w:jc w:val="both"/>
        <w:rPr>
          <w:rFonts w:ascii="Times New Roman;sans-serif" w:hAnsi="Times New Roman;sans-serif"/>
          <w:b/>
          <w:i/>
          <w:color w:val="000000"/>
          <w:sz w:val="20"/>
        </w:rPr>
      </w:pPr>
      <w:r>
        <w:rPr>
          <w:rFonts w:ascii="Times New Roman;sans-serif" w:hAnsi="Times New Roman;sans-serif"/>
          <w:b/>
          <w:i/>
          <w:color w:val="000000"/>
          <w:sz w:val="20"/>
        </w:rPr>
        <w:t>EBITDA and Adjusted EBITDA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EBITDA, Adjusted EBITDA, and Cash Available for Distribution (CAFD) are non-GAAP financial measures. These measurements are not recognized in accordance with GAAP and should not be viewed as an alternative to GAAP measures of performance. The presentation of non-GAAP financial measures should not be construed as an inference that Clearway Energy’s future results will be unaffected by unusual or non-recurring items.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EBITDA represents net income before interest (including loss on debt extinguishment), taxes, depreciation and amortization. EBITDA is presented because Clearway Energy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EBITDA does not reflect cash expenditures, or future requirements for capital expenditures, or contractual commitments;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EBITDA does not reflect changes in, or cash requirements for, working capital needs;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EBITDA does not reflect the significant interest expense, or the cash requirements necessary to service interest or principal payments, on debt or cash income tax payments;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Although depreciation and amortization are non-cash charges, the assets being depreciated and amortized will often have to be replaced in the future, and EBITDA does not reflect any cash requirements for such replacements;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Other companies in this industry may calculate EBITDA differently than Clearway Energy does, limiting its usefulness as a comparative measure.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these limitations, EBITDA should not be considered as a measure of discretionary cash available to use to invest in the growth of Clearway Energy’s business. Clearway Energy compensates for these limitations by relying primarily on our GAAP results and using EBITDA and Adjusted EBITDA only supplementally. See the statements of cash flow included in the financial statements that are a part of this news release.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presented as a further supplemental measure of operating performance. Adjusted EBITDA represents EBITDA adjusted for mark-to-market gains or losses, non-cash equity compensation expense, asset write offs and impairments; and factors which we do not consider indicative of future operating performance such as transition and integration related costs. The reader is encouraged to evaluate each adjustment and the reasons Clearway Energy considers it appropriate for supplemental analysis. As an analytical tool, Adjusted EBITDA is subject to all of the limitations applicable to EBITDA. In addition, in evaluating Adjusted EBITDA, the reader should be aware that in the future Clearway Energy may incur expenses similar to the adjustments in this news release.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non-cash equity compensation expense, dispositions or retirements of assets, any mark-to-market gains or losses from accounting for derivatives, adjustments to exclude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32740"/>
                <wp:effectExtent l="0" t="0" r="0" b="0"/>
                <wp:wrapNone/>
                <wp:docPr id="22" name="Frame21"/>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ans-serif" w:hAnsi="Times New Roman;sans-serif"/>
          <w:b/>
          <w:i/>
          <w:color w:val="000000"/>
          <w:sz w:val="20"/>
        </w:rPr>
      </w:pPr>
      <w:r>
        <w:rPr>
          <w:rFonts w:ascii="Times New Roman;sans-serif" w:hAnsi="Times New Roman;sans-serif"/>
          <w:b/>
          <w:i/>
          <w:color w:val="000000"/>
          <w:sz w:val="20"/>
        </w:rPr>
        <w:t>Cash Available for Distribution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non-GAAP measure, Cash Available for Distribution is defined as of June 30, 2023 as Adjusted EBITDA plus cash distributions/return of investment from unconsolidated affiliates, cash receipts from notes receivable, cash distributions from noncontrolling interests, adjustments to reflect sales-type lease cash payments and payments for lease expenses,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 Management believes CAFD is a relevant supplemental measure of the Company’s ability to earn and distribute cash returns to investors.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CAFD is useful to investors in evaluating our operating performance because securities analysts and other interested parties use such calculations as a measure of our ability to make quarterly distributions. In addition, CAFD is used by our management team for determining future acquisitions and managing our growth. The GAAP measure most directly comparable to CAFD is cash provided by operating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However, CAFD has limitations as an analytical tool because it does not include changes in operating assets and liabilities and excludes the effect of certain other cash flow items, all of which could have a material effect on our financial condition and results from operations. CAFD is a non-GAAP measure and should not be considered an alternative to cash provided by operating activities or any other performance or liquidity measure determined in accordance with GAAP, nor is it indicative of funds available to fund our cash needs. In addition, our calculations of CAFD are not necessarily comparable to CAFD as calculated by other companies. Investors should not rely on these measures as a substitute for any GAAP measure, including cash provided by operating activities.</w:t>
      </w:r>
    </w:p>
    <w:p>
      <w:pPr>
        <w:pStyle w:val="TextBody"/>
        <w:bidi w:val="0"/>
        <w:spacing w:before="0" w:after="0"/>
        <w:jc w:val="both"/>
        <w:rPr/>
      </w:pPr>
      <w:r>
        <w:rPr/>
      </w:r>
    </w:p>
    <w:p>
      <w:pPr>
        <w:pStyle w:val="TextBody"/>
        <w:bidi w:val="0"/>
        <w:spacing w:before="4320" w:after="283"/>
        <w:ind w:left="0" w:right="0" w:firstLine="72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32740"/>
                <wp:effectExtent l="0" t="0" r="0" b="0"/>
                <wp:wrapNone/>
                <wp:docPr id="23" name="Frame22"/>
                <a:graphic xmlns:a="http://schemas.openxmlformats.org/drawingml/2006/main">
                  <a:graphicData uri="http://schemas.microsoft.com/office/word/2010/wordprocessingShape">
                    <wps:wsp>
                      <wps:cNvSpPr txBox="1"/>
                      <wps:spPr>
                        <a:xfrm>
                          <a:off x="0" y="0"/>
                          <a:ext cx="6480175" cy="3327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6823</Words>
  <Characters>38178</Characters>
  <CharactersWithSpaces>44505</CharactersWithSpaces>
  <Paragraphs>1737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