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252095</wp:posOffset>
            </wp:positionH>
            <wp:positionV relativeFrom="page">
              <wp:posOffset>843280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drawing>
          <wp:anchor simplePos="0" relativeHeight="251657728" behindDoc="1" locked="0" layoutInCell="0" allowOverlap="1">
            <wp:simplePos x="0" y="0"/>
            <wp:positionH relativeFrom="page">
              <wp:posOffset>252095</wp:posOffset>
            </wp:positionH>
            <wp:positionV relativeFrom="page">
              <wp:posOffset>740410</wp:posOffset>
            </wp:positionV>
            <wp:extent cx="70580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left="260"/>
        <w:spacing w:after="0"/>
        <w:rPr>
          <w:sz w:val="20"/>
          <w:szCs w:val="20"/>
          <w:color w:val="auto"/>
        </w:rPr>
      </w:pPr>
      <w:r>
        <w:rPr>
          <w:rFonts w:ascii="Arial" w:cs="Arial" w:eastAsia="Arial" w:hAnsi="Arial"/>
          <w:sz w:val="29"/>
          <w:szCs w:val="29"/>
          <w:b w:val="1"/>
          <w:bCs w:val="1"/>
          <w:color w:val="auto"/>
        </w:rPr>
        <w:t>Form 10-K</w:t>
      </w:r>
    </w:p>
    <w:p>
      <w:pPr>
        <w:spacing w:after="0" w:line="149" w:lineRule="exact"/>
        <w:rPr>
          <w:sz w:val="24"/>
          <w:szCs w:val="24"/>
          <w:color w:val="auto"/>
        </w:rPr>
      </w:pPr>
    </w:p>
    <w:p>
      <w:pPr>
        <w:ind w:left="380" w:hanging="338"/>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91" w:lineRule="exact"/>
        <w:rPr>
          <w:sz w:val="24"/>
          <w:szCs w:val="24"/>
          <w:color w:val="auto"/>
        </w:rPr>
      </w:pPr>
    </w:p>
    <w:p>
      <w:pPr>
        <w:ind w:left="380"/>
        <w:spacing w:after="0"/>
        <w:tabs>
          <w:tab w:leader="none" w:pos="5680" w:val="left"/>
        </w:tabs>
        <w:rPr>
          <w:sz w:val="20"/>
          <w:szCs w:val="20"/>
          <w:color w:val="auto"/>
        </w:rPr>
      </w:pPr>
      <w:r>
        <w:rPr>
          <w:rFonts w:ascii="Arial" w:cs="Arial" w:eastAsia="Arial" w:hAnsi="Arial"/>
          <w:sz w:val="18"/>
          <w:szCs w:val="18"/>
          <w:b w:val="1"/>
          <w:bCs w:val="1"/>
          <w:color w:val="auto"/>
        </w:rPr>
        <w:t>For the Fiscal Year ended</w:t>
      </w:r>
      <w:r>
        <w:rPr>
          <w:sz w:val="20"/>
          <w:szCs w:val="20"/>
          <w:color w:val="auto"/>
        </w:rPr>
        <w:tab/>
      </w:r>
      <w:r>
        <w:rPr>
          <w:rFonts w:ascii="Arial" w:cs="Arial" w:eastAsia="Arial" w:hAnsi="Arial"/>
          <w:sz w:val="15"/>
          <w:szCs w:val="15"/>
          <w:b w:val="1"/>
          <w:bCs w:val="1"/>
          <w:color w:val="auto"/>
        </w:rPr>
        <w:t>December 31, 2019</w:t>
      </w:r>
    </w:p>
    <w:p>
      <w:pPr>
        <w:spacing w:after="0" w:line="186" w:lineRule="exact"/>
        <w:rPr>
          <w:sz w:val="24"/>
          <w:szCs w:val="24"/>
          <w:color w:val="auto"/>
        </w:rPr>
      </w:pPr>
    </w:p>
    <w:p>
      <w:pPr>
        <w:ind w:left="380" w:hanging="338"/>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420"/>
          </w:cols>
          <w:pgMar w:left="240" w:top="1436" w:right="239" w:bottom="1440" w:gutter="0" w:footer="0" w:header="0"/>
        </w:sectPr>
      </w:pPr>
    </w:p>
    <w:p>
      <w:pPr>
        <w:spacing w:after="0" w:line="2" w:lineRule="exact"/>
        <w:rPr>
          <w:sz w:val="24"/>
          <w:szCs w:val="24"/>
          <w:color w:val="auto"/>
        </w:rPr>
      </w:pPr>
    </w:p>
    <w:p>
      <w:pPr>
        <w:ind w:left="380"/>
        <w:spacing w:after="0"/>
        <w:tabs>
          <w:tab w:leader="none" w:pos="3220" w:val="left"/>
          <w:tab w:leader="none" w:pos="42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r>
        <w:rPr>
          <w:sz w:val="20"/>
          <w:szCs w:val="20"/>
          <w:color w:val="auto"/>
        </w:rPr>
        <w:tab/>
      </w:r>
      <w:r>
        <w:rPr>
          <w:rFonts w:ascii="Arial" w:cs="Arial" w:eastAsia="Arial" w:hAnsi="Arial"/>
          <w:sz w:val="18"/>
          <w:szCs w:val="18"/>
          <w:b w:val="1"/>
          <w:bCs w:val="1"/>
          <w:color w:val="auto"/>
        </w:rPr>
        <w:t>.</w:t>
      </w:r>
    </w:p>
    <w:p>
      <w:pPr>
        <w:sectPr>
          <w:pgSz w:w="11900" w:h="16838" w:orient="portrait"/>
          <w:cols w:equalWidth="0" w:num="1">
            <w:col w:w="11420"/>
          </w:cols>
          <w:pgMar w:left="240" w:top="1436" w:right="239" w:bottom="1440" w:gutter="0" w:footer="0" w:header="0"/>
          <w:type w:val="continuous"/>
        </w:sectPr>
      </w:pPr>
    </w:p>
    <w:p>
      <w:pPr>
        <w:spacing w:after="0" w:line="22" w:lineRule="exact"/>
        <w:rPr>
          <w:sz w:val="24"/>
          <w:szCs w:val="24"/>
          <w:color w:val="auto"/>
        </w:rPr>
      </w:pPr>
    </w:p>
    <w:p>
      <w:pPr>
        <w:jc w:val="center"/>
        <w:ind w:left="260"/>
        <w:spacing w:after="0"/>
        <w:rPr>
          <w:sz w:val="20"/>
          <w:szCs w:val="20"/>
          <w:color w:val="auto"/>
        </w:rPr>
      </w:pPr>
      <w:r>
        <w:rPr>
          <w:rFonts w:ascii="Arial" w:cs="Arial" w:eastAsia="Arial" w:hAnsi="Arial"/>
          <w:sz w:val="18"/>
          <w:szCs w:val="18"/>
          <w:b w:val="1"/>
          <w:bCs w:val="1"/>
          <w:color w:val="auto"/>
        </w:rPr>
        <w:t>Commission File Number: 333-203369</w:t>
      </w:r>
    </w:p>
    <w:p>
      <w:pPr>
        <w:spacing w:after="0" w:line="61" w:lineRule="exact"/>
        <w:rPr>
          <w:sz w:val="24"/>
          <w:szCs w:val="24"/>
          <w:color w:val="auto"/>
        </w:rPr>
      </w:pPr>
    </w:p>
    <w:p>
      <w:pPr>
        <w:jc w:val="center"/>
        <w:ind w:left="260"/>
        <w:spacing w:after="0"/>
        <w:rPr>
          <w:sz w:val="20"/>
          <w:szCs w:val="20"/>
          <w:color w:val="auto"/>
        </w:rPr>
      </w:pPr>
      <w:r>
        <w:rPr>
          <w:rFonts w:ascii="Arial" w:cs="Arial" w:eastAsia="Arial" w:hAnsi="Arial"/>
          <w:sz w:val="36"/>
          <w:szCs w:val="36"/>
          <w:b w:val="1"/>
          <w:bCs w:val="1"/>
          <w:color w:val="auto"/>
        </w:rPr>
        <w:t>Clearway Energy LLC</w:t>
      </w:r>
    </w:p>
    <w:p>
      <w:pPr>
        <w:spacing w:after="0" w:line="151" w:lineRule="exact"/>
        <w:rPr>
          <w:sz w:val="24"/>
          <w:szCs w:val="24"/>
          <w:color w:val="auto"/>
        </w:rPr>
      </w:pPr>
    </w:p>
    <w:p>
      <w:pPr>
        <w:jc w:val="center"/>
        <w:ind w:left="260"/>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420"/>
          </w:cols>
          <w:pgMar w:left="240" w:top="1436" w:right="239" w:bottom="1440" w:gutter="0" w:footer="0" w:header="0"/>
          <w:type w:val="continuous"/>
        </w:sectPr>
      </w:pPr>
    </w:p>
    <w:p>
      <w:pPr>
        <w:spacing w:after="0" w:line="190" w:lineRule="exact"/>
        <w:rPr>
          <w:sz w:val="24"/>
          <w:szCs w:val="24"/>
          <w:color w:val="auto"/>
        </w:rPr>
      </w:pPr>
    </w:p>
    <w:p>
      <w:pPr>
        <w:ind w:left="17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32-0407370</w:t>
      </w:r>
    </w:p>
    <w:p>
      <w:pPr>
        <w:spacing w:after="0" w:line="99" w:lineRule="exact"/>
        <w:rPr>
          <w:sz w:val="24"/>
          <w:szCs w:val="24"/>
          <w:color w:val="auto"/>
        </w:rPr>
      </w:pPr>
    </w:p>
    <w:p>
      <w:pPr>
        <w:sectPr>
          <w:pgSz w:w="11900" w:h="16838" w:orient="portrait"/>
          <w:cols w:equalWidth="0" w:num="2">
            <w:col w:w="8440" w:space="720"/>
            <w:col w:w="2260"/>
          </w:cols>
          <w:pgMar w:left="240" w:top="1436" w:right="239" w:bottom="1440" w:gutter="0" w:footer="0" w:header="0"/>
          <w:type w:val="continuous"/>
        </w:sectPr>
      </w:pPr>
    </w:p>
    <w:p>
      <w:pPr>
        <w:jc w:val="center"/>
        <w:ind w:right="3500"/>
        <w:spacing w:after="0"/>
        <w:rPr>
          <w:sz w:val="20"/>
          <w:szCs w:val="20"/>
          <w:color w:val="auto"/>
        </w:rPr>
      </w:pPr>
      <w:r>
        <w:rPr>
          <w:rFonts w:ascii="Arial" w:cs="Arial" w:eastAsia="Arial" w:hAnsi="Arial"/>
          <w:sz w:val="15"/>
          <w:szCs w:val="15"/>
          <w:i w:val="1"/>
          <w:iCs w:val="1"/>
          <w:color w:val="auto"/>
        </w:rPr>
        <w:t>(State or other jurisdiction of incorporation or</w:t>
      </w:r>
    </w:p>
    <w:p>
      <w:pPr>
        <w:spacing w:after="0" w:line="34" w:lineRule="exact"/>
        <w:rPr>
          <w:sz w:val="24"/>
          <w:szCs w:val="24"/>
          <w:color w:val="auto"/>
        </w:rPr>
      </w:pPr>
    </w:p>
    <w:p>
      <w:pPr>
        <w:jc w:val="center"/>
        <w:ind w:right="3500"/>
        <w:spacing w:after="0"/>
        <w:rPr>
          <w:sz w:val="20"/>
          <w:szCs w:val="20"/>
          <w:color w:val="auto"/>
        </w:rPr>
      </w:pPr>
      <w:r>
        <w:rPr>
          <w:rFonts w:ascii="Arial" w:cs="Arial" w:eastAsia="Arial" w:hAnsi="Arial"/>
          <w:sz w:val="16"/>
          <w:szCs w:val="16"/>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i w:val="1"/>
          <w:iCs w:val="1"/>
          <w:color w:val="auto"/>
        </w:rPr>
        <w:t>(I.R.S. Employer Identification No.)</w:t>
      </w:r>
    </w:p>
    <w:p>
      <w:pPr>
        <w:spacing w:after="0" w:line="417" w:lineRule="exact"/>
        <w:rPr>
          <w:sz w:val="24"/>
          <w:szCs w:val="24"/>
          <w:color w:val="auto"/>
        </w:rPr>
      </w:pPr>
    </w:p>
    <w:p>
      <w:pPr>
        <w:sectPr>
          <w:pgSz w:w="11900" w:h="16838" w:orient="portrait"/>
          <w:cols w:equalWidth="0" w:num="2">
            <w:col w:w="7680" w:space="720"/>
            <w:col w:w="3020"/>
          </w:cols>
          <w:pgMar w:left="240" w:top="1436" w:right="239" w:bottom="1440" w:gutter="0" w:footer="0" w:header="0"/>
          <w:type w:val="continuous"/>
        </w:sectPr>
      </w:pPr>
    </w:p>
    <w:p>
      <w:pPr>
        <w:spacing w:after="0" w:line="67" w:lineRule="exact"/>
        <w:rPr>
          <w:sz w:val="24"/>
          <w:szCs w:val="24"/>
          <w:color w:val="auto"/>
        </w:rPr>
      </w:pPr>
    </w:p>
    <w:p>
      <w:pPr>
        <w:ind w:left="1020"/>
        <w:spacing w:after="0"/>
        <w:rPr>
          <w:sz w:val="20"/>
          <w:szCs w:val="20"/>
          <w:color w:val="auto"/>
        </w:rPr>
      </w:pPr>
      <w:r>
        <w:rPr>
          <w:rFonts w:ascii="Arial" w:cs="Arial" w:eastAsia="Arial" w:hAnsi="Arial"/>
          <w:sz w:val="14"/>
          <w:szCs w:val="14"/>
          <w:b w:val="1"/>
          <w:bCs w:val="1"/>
          <w:color w:val="auto"/>
        </w:rPr>
        <w:t>300 Carnegie Center, Suite 300</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jc w:val="center"/>
        <w:ind w:right="740"/>
        <w:spacing w:after="0"/>
        <w:rPr>
          <w:sz w:val="20"/>
          <w:szCs w:val="20"/>
          <w:color w:val="auto"/>
        </w:rPr>
      </w:pPr>
      <w:r>
        <w:rPr>
          <w:rFonts w:ascii="Arial" w:cs="Arial" w:eastAsia="Arial" w:hAnsi="Arial"/>
          <w:sz w:val="14"/>
          <w:szCs w:val="14"/>
          <w:b w:val="1"/>
          <w:bCs w:val="1"/>
          <w:color w:val="auto"/>
        </w:rPr>
        <w:t>Princeton</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New Jersey</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08540</w:t>
      </w:r>
    </w:p>
    <w:p>
      <w:pPr>
        <w:spacing w:after="0" w:line="100" w:lineRule="exact"/>
        <w:rPr>
          <w:sz w:val="24"/>
          <w:szCs w:val="24"/>
          <w:color w:val="auto"/>
        </w:rPr>
      </w:pPr>
    </w:p>
    <w:p>
      <w:pPr>
        <w:sectPr>
          <w:pgSz w:w="11900" w:h="16838" w:orient="portrait"/>
          <w:cols w:equalWidth="0" w:num="4">
            <w:col w:w="3800" w:space="720"/>
            <w:col w:w="1400" w:space="720"/>
            <w:col w:w="2000" w:space="720"/>
            <w:col w:w="2060"/>
          </w:cols>
          <w:pgMar w:left="240" w:top="1436" w:right="239" w:bottom="1440" w:gutter="0" w:footer="0" w:header="0"/>
          <w:type w:val="continuous"/>
        </w:sectPr>
      </w:pPr>
    </w:p>
    <w:p>
      <w:pPr>
        <w:ind w:left="302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(Zip Code)</w:t>
      </w:r>
    </w:p>
    <w:p>
      <w:pPr>
        <w:spacing w:after="0" w:line="65" w:lineRule="exact"/>
        <w:rPr>
          <w:sz w:val="24"/>
          <w:szCs w:val="24"/>
          <w:color w:val="auto"/>
        </w:rPr>
      </w:pPr>
    </w:p>
    <w:p>
      <w:pPr>
        <w:sectPr>
          <w:pgSz w:w="11900" w:h="16838" w:orient="portrait"/>
          <w:cols w:equalWidth="0" w:num="2">
            <w:col w:w="8480" w:space="720"/>
            <w:col w:w="2220"/>
          </w:cols>
          <w:pgMar w:left="240" w:top="1436" w:right="239" w:bottom="1440" w:gutter="0" w:footer="0" w:header="0"/>
          <w:type w:val="continuous"/>
        </w:sectPr>
      </w:pPr>
    </w:p>
    <w:p>
      <w:pPr>
        <w:ind w:left="5320"/>
        <w:spacing w:after="0"/>
        <w:rPr>
          <w:sz w:val="20"/>
          <w:szCs w:val="20"/>
          <w:color w:val="auto"/>
        </w:rPr>
      </w:pPr>
      <w:r>
        <w:rPr>
          <w:rFonts w:ascii="Arial" w:cs="Arial" w:eastAsia="Arial" w:hAnsi="Arial"/>
          <w:sz w:val="16"/>
          <w:szCs w:val="16"/>
          <w:b w:val="1"/>
          <w:bCs w:val="1"/>
          <w:color w:val="auto"/>
        </w:rPr>
        <w:t>(609) 608-1525</w:t>
      </w:r>
    </w:p>
    <w:p>
      <w:pPr>
        <w:spacing w:after="0" w:line="23" w:lineRule="exact"/>
        <w:rPr>
          <w:sz w:val="24"/>
          <w:szCs w:val="24"/>
          <w:color w:val="auto"/>
        </w:rPr>
      </w:pPr>
    </w:p>
    <w:p>
      <w:pPr>
        <w:ind w:left="412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5"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jc w:val="center"/>
        <w:spacing w:after="0"/>
        <w:rPr>
          <w:sz w:val="20"/>
          <w:szCs w:val="20"/>
          <w:color w:val="auto"/>
        </w:rPr>
      </w:pPr>
      <w:r>
        <w:rPr>
          <w:rFonts w:ascii="Arial" w:cs="Arial" w:eastAsia="Arial" w:hAnsi="Arial"/>
          <w:sz w:val="16"/>
          <w:szCs w:val="16"/>
          <w:b w:val="1"/>
          <w:bCs w:val="1"/>
          <w:color w:val="auto"/>
        </w:rPr>
        <w:t>None</w:t>
      </w:r>
    </w:p>
    <w:p>
      <w:pPr>
        <w:ind w:left="260"/>
        <w:spacing w:after="0"/>
        <w:tabs>
          <w:tab w:leader="none" w:pos="7140" w:val="left"/>
          <w:tab w:leader="none" w:pos="760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97" w:lineRule="exact"/>
        <w:rPr>
          <w:sz w:val="24"/>
          <w:szCs w:val="24"/>
          <w:color w:val="auto"/>
        </w:rPr>
      </w:pPr>
    </w:p>
    <w:p>
      <w:pPr>
        <w:ind w:left="260"/>
        <w:spacing w:after="0"/>
        <w:tabs>
          <w:tab w:leader="none" w:pos="828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  Yes o</w:t>
      </w:r>
      <w:r>
        <w:rPr>
          <w:sz w:val="20"/>
          <w:szCs w:val="20"/>
          <w:color w:val="auto"/>
        </w:rPr>
        <w:tab/>
      </w:r>
      <w:r>
        <w:rPr>
          <w:rFonts w:ascii="Arial" w:cs="Arial" w:eastAsia="Arial" w:hAnsi="Arial"/>
          <w:sz w:val="14"/>
          <w:szCs w:val="14"/>
          <w:color w:val="auto"/>
        </w:rPr>
        <w:t>No x</w:t>
      </w:r>
    </w:p>
    <w:p>
      <w:pPr>
        <w:spacing w:after="0" w:line="109" w:lineRule="exact"/>
        <w:rPr>
          <w:sz w:val="24"/>
          <w:szCs w:val="24"/>
          <w:color w:val="auto"/>
        </w:rPr>
      </w:pPr>
    </w:p>
    <w:p>
      <w:pPr>
        <w:ind w:right="20" w:firstLine="243"/>
        <w:spacing w:after="0" w:line="273" w:lineRule="auto"/>
        <w:rPr>
          <w:sz w:val="20"/>
          <w:szCs w:val="20"/>
          <w:color w:val="auto"/>
        </w:rPr>
      </w:pPr>
      <w:r>
        <w:rPr>
          <w:rFonts w:ascii="Arial" w:cs="Arial" w:eastAsia="Arial" w:hAnsi="Arial"/>
          <w:sz w:val="14"/>
          <w:szCs w:val="14"/>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o No o</w:t>
      </w:r>
    </w:p>
    <w:p>
      <w:pPr>
        <w:spacing w:after="0" w:line="120" w:lineRule="exact"/>
        <w:rPr>
          <w:sz w:val="24"/>
          <w:szCs w:val="24"/>
          <w:color w:val="auto"/>
        </w:rPr>
      </w:pPr>
    </w:p>
    <w:p>
      <w:pPr>
        <w:ind w:firstLine="243"/>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33" w:lineRule="exact"/>
        <w:rPr>
          <w:sz w:val="24"/>
          <w:szCs w:val="24"/>
          <w:color w:val="auto"/>
        </w:rPr>
      </w:pPr>
    </w:p>
    <w:p>
      <w:pPr>
        <w:ind w:firstLine="243"/>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r>
        <w:rPr>
          <w:rFonts w:ascii="Arial" w:cs="Arial" w:eastAsia="Arial" w:hAnsi="Arial"/>
          <w:sz w:val="15"/>
          <w:szCs w:val="15"/>
          <w:color w:val="auto"/>
        </w:rPr>
        <w:t>.</w:t>
      </w:r>
    </w:p>
    <w:p>
      <w:pPr>
        <w:spacing w:after="0" w:line="91" w:lineRule="exact"/>
        <w:rPr>
          <w:sz w:val="24"/>
          <w:szCs w:val="24"/>
          <w:color w:val="auto"/>
        </w:rPr>
      </w:pPr>
    </w:p>
    <w:tbl>
      <w:tblPr>
        <w:tblLayout w:type="fixed"/>
        <w:tblInd w:w="1240" w:type="dxa"/>
        <w:tblCellMar>
          <w:top w:w="0" w:type="dxa"/>
          <w:left w:w="0" w:type="dxa"/>
          <w:bottom w:w="0" w:type="dxa"/>
          <w:right w:w="0" w:type="dxa"/>
        </w:tblCellMar>
      </w:tblPr>
      <w:tr>
        <w:trPr>
          <w:trHeight w:val="254"/>
        </w:trPr>
        <w:tc>
          <w:tcPr>
            <w:tcW w:w="2240" w:type="dxa"/>
            <w:vAlign w:val="bottom"/>
          </w:tcPr>
          <w:p>
            <w:pPr>
              <w:jc w:val="center"/>
              <w:ind w:right="719"/>
              <w:spacing w:after="0"/>
              <w:rPr>
                <w:sz w:val="20"/>
                <w:szCs w:val="20"/>
                <w:color w:val="auto"/>
              </w:rPr>
            </w:pPr>
            <w:r>
              <w:rPr>
                <w:rFonts w:ascii="Arial" w:cs="Arial" w:eastAsia="Arial" w:hAnsi="Arial"/>
                <w:sz w:val="16"/>
                <w:szCs w:val="16"/>
                <w:color w:val="auto"/>
                <w:w w:val="90"/>
              </w:rPr>
              <w:t>Large accelerated filer</w:t>
            </w:r>
          </w:p>
        </w:tc>
        <w:tc>
          <w:tcPr>
            <w:tcW w:w="15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ind w:left="620"/>
              <w:spacing w:after="0"/>
              <w:rPr>
                <w:sz w:val="20"/>
                <w:szCs w:val="20"/>
                <w:color w:val="auto"/>
              </w:rPr>
            </w:pPr>
            <w:r>
              <w:rPr>
                <w:rFonts w:ascii="Arial" w:cs="Arial" w:eastAsia="Arial" w:hAnsi="Arial"/>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40" w:type="dxa"/>
            <w:vAlign w:val="bottom"/>
          </w:tcPr>
          <w:p>
            <w:pPr>
              <w:jc w:val="center"/>
              <w:ind w:right="699"/>
              <w:spacing w:after="0"/>
              <w:rPr>
                <w:sz w:val="20"/>
                <w:szCs w:val="20"/>
                <w:color w:val="auto"/>
              </w:rPr>
            </w:pPr>
            <w:r>
              <w:rPr>
                <w:rFonts w:ascii="Arial" w:cs="Arial" w:eastAsia="Arial" w:hAnsi="Arial"/>
                <w:sz w:val="16"/>
                <w:szCs w:val="16"/>
                <w:color w:val="auto"/>
                <w:w w:val="93"/>
              </w:rPr>
              <w:t>Non-accelerated filer</w:t>
            </w:r>
          </w:p>
        </w:tc>
        <w:tc>
          <w:tcPr>
            <w:tcW w:w="15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ind w:left="620"/>
              <w:spacing w:after="0"/>
              <w:rPr>
                <w:sz w:val="20"/>
                <w:szCs w:val="20"/>
                <w:color w:val="auto"/>
              </w:rPr>
            </w:pPr>
            <w:r>
              <w:rPr>
                <w:rFonts w:ascii="Arial" w:cs="Arial" w:eastAsia="Arial" w:hAnsi="Arial"/>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60" w:type="dxa"/>
            <w:vAlign w:val="bottom"/>
          </w:tcPr>
          <w:p>
            <w:pPr>
              <w:ind w:left="620"/>
              <w:spacing w:after="0"/>
              <w:rPr>
                <w:sz w:val="20"/>
                <w:szCs w:val="20"/>
                <w:color w:val="auto"/>
              </w:rPr>
            </w:pPr>
            <w:r>
              <w:rPr>
                <w:rFonts w:ascii="Arial" w:cs="Arial" w:eastAsia="Arial" w:hAnsi="Arial"/>
                <w:sz w:val="16"/>
                <w:szCs w:val="16"/>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5" w:lineRule="exact"/>
        <w:rPr>
          <w:sz w:val="24"/>
          <w:szCs w:val="24"/>
          <w:color w:val="auto"/>
        </w:rPr>
      </w:pPr>
    </w:p>
    <w:p>
      <w:pPr>
        <w:ind w:firstLine="243"/>
        <w:spacing w:after="0" w:line="24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260"/>
        <w:spacing w:after="0" w:line="161" w:lineRule="exact"/>
        <w:tabs>
          <w:tab w:leader="none" w:pos="6300" w:val="left"/>
          <w:tab w:leader="none" w:pos="68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6" w:lineRule="exact"/>
        <w:rPr>
          <w:sz w:val="24"/>
          <w:szCs w:val="24"/>
          <w:color w:val="auto"/>
        </w:rPr>
      </w:pPr>
    </w:p>
    <w:p>
      <w:pPr>
        <w:ind w:left="260"/>
        <w:spacing w:after="0"/>
        <w:rPr>
          <w:sz w:val="20"/>
          <w:szCs w:val="20"/>
          <w:color w:val="auto"/>
        </w:rPr>
      </w:pPr>
      <w:r>
        <w:rPr>
          <w:rFonts w:ascii="Arial" w:cs="Arial" w:eastAsia="Arial" w:hAnsi="Arial"/>
          <w:sz w:val="14"/>
          <w:szCs w:val="14"/>
          <w:color w:val="auto"/>
        </w:rPr>
        <w:t>Clearway Energy LLC's outstanding equity interests are held by Clearway Energy, Inc. and Clearway Energy Group LLC and there are no equity interests held by non-affiliates.</w:t>
      </w:r>
    </w:p>
    <w:p>
      <w:pPr>
        <w:spacing w:after="0" w:line="1" w:lineRule="exact"/>
        <w:rPr>
          <w:sz w:val="24"/>
          <w:szCs w:val="24"/>
          <w:color w:val="auto"/>
        </w:rPr>
      </w:pPr>
    </w:p>
    <w:p>
      <w:pPr>
        <w:ind w:left="260"/>
        <w:spacing w:after="0"/>
        <w:rPr>
          <w:sz w:val="20"/>
          <w:szCs w:val="20"/>
          <w:color w:val="auto"/>
        </w:rPr>
      </w:pPr>
      <w:r>
        <w:rPr>
          <w:rFonts w:ascii="Arial" w:cs="Arial" w:eastAsia="Arial" w:hAnsi="Arial"/>
          <w:sz w:val="13"/>
          <w:szCs w:val="13"/>
          <w:color w:val="auto"/>
        </w:rPr>
        <w:t>Indicate the number of shares outstanding of each of the registrant's classes of common stock as of the latest practicable date. There is no public market for the registrant's outstanding units.</w:t>
      </w:r>
    </w:p>
    <w:p>
      <w:pPr>
        <w:spacing w:after="0" w:line="244" w:lineRule="exact"/>
        <w:rPr>
          <w:sz w:val="24"/>
          <w:szCs w:val="24"/>
          <w:color w:val="auto"/>
        </w:rPr>
      </w:pPr>
    </w:p>
    <w:tbl>
      <w:tblPr>
        <w:tblLayout w:type="fixed"/>
        <w:tblInd w:w="3560" w:type="dxa"/>
        <w:tblCellMar>
          <w:top w:w="0" w:type="dxa"/>
          <w:left w:w="0" w:type="dxa"/>
          <w:bottom w:w="0" w:type="dxa"/>
          <w:right w:w="0" w:type="dxa"/>
        </w:tblCellMar>
      </w:tblPr>
      <w:tr>
        <w:trPr>
          <w:trHeight w:val="164"/>
        </w:trPr>
        <w:tc>
          <w:tcPr>
            <w:tcW w:w="1980" w:type="dxa"/>
            <w:vAlign w:val="bottom"/>
          </w:tcPr>
          <w:p>
            <w:pPr>
              <w:jc w:val="center"/>
              <w:ind w:right="1197"/>
              <w:spacing w:after="0"/>
              <w:rPr>
                <w:sz w:val="20"/>
                <w:szCs w:val="20"/>
                <w:color w:val="auto"/>
              </w:rPr>
            </w:pPr>
            <w:r>
              <w:rPr>
                <w:rFonts w:ascii="Arial" w:cs="Arial" w:eastAsia="Arial" w:hAnsi="Arial"/>
                <w:sz w:val="13"/>
                <w:szCs w:val="13"/>
                <w:b w:val="1"/>
                <w:bCs w:val="1"/>
                <w:color w:val="auto"/>
                <w:w w:val="80"/>
              </w:rPr>
              <w:t>Class</w:t>
            </w:r>
          </w:p>
        </w:tc>
        <w:tc>
          <w:tcPr>
            <w:tcW w:w="3040" w:type="dxa"/>
            <w:vAlign w:val="bottom"/>
          </w:tcPr>
          <w:p>
            <w:pPr>
              <w:jc w:val="center"/>
              <w:ind w:left="1217"/>
              <w:spacing w:after="0"/>
              <w:rPr>
                <w:sz w:val="20"/>
                <w:szCs w:val="20"/>
                <w:color w:val="auto"/>
              </w:rPr>
            </w:pPr>
            <w:r>
              <w:rPr>
                <w:rFonts w:ascii="Arial" w:cs="Arial" w:eastAsia="Arial" w:hAnsi="Arial"/>
                <w:sz w:val="13"/>
                <w:szCs w:val="13"/>
                <w:b w:val="1"/>
                <w:bCs w:val="1"/>
                <w:color w:val="auto"/>
                <w:w w:val="88"/>
              </w:rPr>
              <w:t>Outstanding at January 31, 2020</w:t>
            </w:r>
          </w:p>
        </w:tc>
      </w:tr>
      <w:tr>
        <w:trPr>
          <w:trHeight w:val="270"/>
        </w:trPr>
        <w:tc>
          <w:tcPr>
            <w:tcW w:w="1980" w:type="dxa"/>
            <w:vAlign w:val="bottom"/>
          </w:tcPr>
          <w:p>
            <w:pPr>
              <w:jc w:val="center"/>
              <w:ind w:right="1217"/>
              <w:spacing w:after="0"/>
              <w:rPr>
                <w:sz w:val="20"/>
                <w:szCs w:val="20"/>
                <w:color w:val="auto"/>
              </w:rPr>
            </w:pPr>
            <w:r>
              <w:rPr>
                <w:rFonts w:ascii="Arial" w:cs="Arial" w:eastAsia="Arial" w:hAnsi="Arial"/>
                <w:sz w:val="13"/>
                <w:szCs w:val="13"/>
                <w:color w:val="auto"/>
                <w:w w:val="89"/>
              </w:rPr>
              <w:t>Class A Units</w:t>
            </w:r>
          </w:p>
        </w:tc>
        <w:tc>
          <w:tcPr>
            <w:tcW w:w="3040" w:type="dxa"/>
            <w:vAlign w:val="bottom"/>
          </w:tcPr>
          <w:p>
            <w:pPr>
              <w:jc w:val="center"/>
              <w:ind w:left="1217"/>
              <w:spacing w:after="0"/>
              <w:rPr>
                <w:sz w:val="20"/>
                <w:szCs w:val="20"/>
                <w:color w:val="auto"/>
              </w:rPr>
            </w:pPr>
            <w:r>
              <w:rPr>
                <w:rFonts w:ascii="Arial" w:cs="Arial" w:eastAsia="Arial" w:hAnsi="Arial"/>
                <w:sz w:val="13"/>
                <w:szCs w:val="13"/>
                <w:color w:val="auto"/>
                <w:w w:val="86"/>
              </w:rPr>
              <w:t>34,599,645</w:t>
            </w:r>
          </w:p>
        </w:tc>
      </w:tr>
      <w:tr>
        <w:trPr>
          <w:trHeight w:val="270"/>
        </w:trPr>
        <w:tc>
          <w:tcPr>
            <w:tcW w:w="1980" w:type="dxa"/>
            <w:vAlign w:val="bottom"/>
          </w:tcPr>
          <w:p>
            <w:pPr>
              <w:jc w:val="center"/>
              <w:ind w:right="1197"/>
              <w:spacing w:after="0"/>
              <w:rPr>
                <w:sz w:val="20"/>
                <w:szCs w:val="20"/>
                <w:color w:val="auto"/>
              </w:rPr>
            </w:pPr>
            <w:r>
              <w:rPr>
                <w:rFonts w:ascii="Arial" w:cs="Arial" w:eastAsia="Arial" w:hAnsi="Arial"/>
                <w:sz w:val="13"/>
                <w:szCs w:val="13"/>
                <w:color w:val="auto"/>
                <w:w w:val="87"/>
              </w:rPr>
              <w:t>Class B Units</w:t>
            </w:r>
          </w:p>
        </w:tc>
        <w:tc>
          <w:tcPr>
            <w:tcW w:w="3040" w:type="dxa"/>
            <w:vAlign w:val="bottom"/>
          </w:tcPr>
          <w:p>
            <w:pPr>
              <w:jc w:val="center"/>
              <w:ind w:left="1217"/>
              <w:spacing w:after="0"/>
              <w:rPr>
                <w:sz w:val="20"/>
                <w:szCs w:val="20"/>
                <w:color w:val="auto"/>
              </w:rPr>
            </w:pPr>
            <w:r>
              <w:rPr>
                <w:rFonts w:ascii="Arial" w:cs="Arial" w:eastAsia="Arial" w:hAnsi="Arial"/>
                <w:sz w:val="13"/>
                <w:szCs w:val="13"/>
                <w:color w:val="auto"/>
                <w:w w:val="86"/>
              </w:rPr>
              <w:t>42,738,750</w:t>
            </w:r>
          </w:p>
        </w:tc>
      </w:tr>
      <w:tr>
        <w:trPr>
          <w:trHeight w:val="270"/>
        </w:trPr>
        <w:tc>
          <w:tcPr>
            <w:tcW w:w="1980" w:type="dxa"/>
            <w:vAlign w:val="bottom"/>
          </w:tcPr>
          <w:p>
            <w:pPr>
              <w:jc w:val="center"/>
              <w:ind w:right="1197"/>
              <w:spacing w:after="0"/>
              <w:rPr>
                <w:sz w:val="20"/>
                <w:szCs w:val="20"/>
                <w:color w:val="auto"/>
              </w:rPr>
            </w:pPr>
            <w:r>
              <w:rPr>
                <w:rFonts w:ascii="Arial" w:cs="Arial" w:eastAsia="Arial" w:hAnsi="Arial"/>
                <w:sz w:val="13"/>
                <w:szCs w:val="13"/>
                <w:color w:val="auto"/>
                <w:w w:val="86"/>
              </w:rPr>
              <w:t>Class C Units</w:t>
            </w:r>
          </w:p>
        </w:tc>
        <w:tc>
          <w:tcPr>
            <w:tcW w:w="3040" w:type="dxa"/>
            <w:vAlign w:val="bottom"/>
          </w:tcPr>
          <w:p>
            <w:pPr>
              <w:jc w:val="center"/>
              <w:ind w:left="1217"/>
              <w:spacing w:after="0"/>
              <w:rPr>
                <w:sz w:val="20"/>
                <w:szCs w:val="20"/>
                <w:color w:val="auto"/>
              </w:rPr>
            </w:pPr>
            <w:r>
              <w:rPr>
                <w:rFonts w:ascii="Arial" w:cs="Arial" w:eastAsia="Arial" w:hAnsi="Arial"/>
                <w:sz w:val="13"/>
                <w:szCs w:val="13"/>
                <w:color w:val="auto"/>
                <w:w w:val="86"/>
              </w:rPr>
              <w:t>78,849,651</w:t>
            </w:r>
          </w:p>
        </w:tc>
      </w:tr>
      <w:tr>
        <w:trPr>
          <w:trHeight w:val="270"/>
        </w:trPr>
        <w:tc>
          <w:tcPr>
            <w:tcW w:w="1980" w:type="dxa"/>
            <w:vAlign w:val="bottom"/>
          </w:tcPr>
          <w:p>
            <w:pPr>
              <w:jc w:val="center"/>
              <w:ind w:right="1217"/>
              <w:spacing w:after="0"/>
              <w:rPr>
                <w:sz w:val="20"/>
                <w:szCs w:val="20"/>
                <w:color w:val="auto"/>
              </w:rPr>
            </w:pPr>
            <w:r>
              <w:rPr>
                <w:rFonts w:ascii="Arial" w:cs="Arial" w:eastAsia="Arial" w:hAnsi="Arial"/>
                <w:sz w:val="13"/>
                <w:szCs w:val="13"/>
                <w:color w:val="auto"/>
                <w:w w:val="88"/>
              </w:rPr>
              <w:t>Class D Units</w:t>
            </w:r>
          </w:p>
        </w:tc>
        <w:tc>
          <w:tcPr>
            <w:tcW w:w="3040" w:type="dxa"/>
            <w:vAlign w:val="bottom"/>
          </w:tcPr>
          <w:p>
            <w:pPr>
              <w:jc w:val="center"/>
              <w:ind w:left="1217"/>
              <w:spacing w:after="0"/>
              <w:rPr>
                <w:sz w:val="20"/>
                <w:szCs w:val="20"/>
                <w:color w:val="auto"/>
              </w:rPr>
            </w:pPr>
            <w:r>
              <w:rPr>
                <w:rFonts w:ascii="Arial" w:cs="Arial" w:eastAsia="Arial" w:hAnsi="Arial"/>
                <w:sz w:val="13"/>
                <w:szCs w:val="13"/>
                <w:color w:val="auto"/>
                <w:w w:val="86"/>
              </w:rPr>
              <w:t>42,738,750</w:t>
            </w:r>
          </w:p>
        </w:tc>
      </w:tr>
    </w:tbl>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18" w:lineRule="exact"/>
        <w:rPr>
          <w:sz w:val="24"/>
          <w:szCs w:val="24"/>
          <w:color w:val="auto"/>
        </w:rPr>
      </w:pPr>
    </w:p>
    <w:p>
      <w:pPr>
        <w:jc w:val="center"/>
        <w:ind w:left="260"/>
        <w:spacing w:after="0"/>
        <w:rPr>
          <w:sz w:val="20"/>
          <w:szCs w:val="20"/>
          <w:color w:val="auto"/>
        </w:rPr>
      </w:pP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277495</wp:posOffset>
            </wp:positionV>
            <wp:extent cx="705802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8025" cy="2603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191135</wp:posOffset>
            </wp:positionV>
            <wp:extent cx="7058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143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080" w:type="dxa"/>
            <w:vAlign w:val="bottom"/>
          </w:tcPr>
          <w:p>
            <w:pPr>
              <w:jc w:val="center"/>
              <w:ind w:left="19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08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11080" w:type="dxa"/>
            <w:vAlign w:val="bottom"/>
          </w:tcPr>
          <w:p>
            <w:pPr>
              <w:spacing w:after="0"/>
              <w:rPr>
                <w:sz w:val="20"/>
                <w:szCs w:val="20"/>
                <w:color w:val="auto"/>
              </w:rPr>
            </w:pPr>
            <w:r>
              <w:rPr>
                <w:rFonts w:ascii="Arial" w:cs="Arial" w:eastAsia="Arial" w:hAnsi="Arial"/>
                <w:sz w:val="18"/>
                <w:szCs w:val="18"/>
                <w:color w:val="auto"/>
              </w:rPr>
              <w:t>GLOSSARY OF TERMS</w:t>
            </w:r>
          </w:p>
        </w:tc>
        <w:tc>
          <w:tcPr>
            <w:tcW w:w="1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
              <w:r>
                <w:rPr>
                  <w:rFonts w:ascii="Arial" w:cs="Arial" w:eastAsia="Arial" w:hAnsi="Arial"/>
                  <w:sz w:val="18"/>
                  <w:szCs w:val="18"/>
                  <w:b w:val="1"/>
                  <w:bCs w:val="1"/>
                  <w:color w:val="0000EE"/>
                  <w:w w:val="79"/>
                </w:rPr>
                <w:t>3</w:t>
              </w:r>
            </w:hyperlink>
          </w:p>
        </w:tc>
      </w:tr>
      <w:tr>
        <w:trPr>
          <w:trHeight w:val="250"/>
        </w:trPr>
        <w:tc>
          <w:tcPr>
            <w:tcW w:w="110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7">
              <w:r>
                <w:rPr>
                  <w:rFonts w:ascii="Arial" w:cs="Arial" w:eastAsia="Arial" w:hAnsi="Arial"/>
                  <w:sz w:val="18"/>
                  <w:szCs w:val="18"/>
                  <w:b w:val="1"/>
                  <w:bCs w:val="1"/>
                  <w:color w:val="0000EE"/>
                  <w:w w:val="79"/>
                </w:rPr>
                <w:t>7</w:t>
              </w:r>
            </w:hyperlink>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1 — Business</w:t>
            </w:r>
          </w:p>
        </w:tc>
        <w:tc>
          <w:tcPr>
            <w:tcW w:w="1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7">
              <w:r>
                <w:rPr>
                  <w:rFonts w:ascii="Arial" w:cs="Arial" w:eastAsia="Arial" w:hAnsi="Arial"/>
                  <w:sz w:val="18"/>
                  <w:szCs w:val="18"/>
                  <w:b w:val="1"/>
                  <w:bCs w:val="1"/>
                  <w:color w:val="0000EE"/>
                  <w:w w:val="79"/>
                </w:rPr>
                <w:t>7</w:t>
              </w:r>
            </w:hyperlink>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1A — Risk Factors</w:t>
            </w:r>
          </w:p>
        </w:tc>
        <w:tc>
          <w:tcPr>
            <w:tcW w:w="280" w:type="dxa"/>
            <w:vAlign w:val="bottom"/>
            <w:gridSpan w:val="3"/>
          </w:tcPr>
          <w:p>
            <w:pPr>
              <w:jc w:val="right"/>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14</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1B — Unresolved Staff Comments</w:t>
            </w:r>
          </w:p>
        </w:tc>
        <w:tc>
          <w:tcPr>
            <w:tcW w:w="280" w:type="dxa"/>
            <w:vAlign w:val="bottom"/>
            <w:gridSpan w:val="3"/>
          </w:tcPr>
          <w:p>
            <w:pPr>
              <w:jc w:val="right"/>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29</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2 — Properties</w:t>
            </w:r>
          </w:p>
        </w:tc>
        <w:tc>
          <w:tcPr>
            <w:tcW w:w="280" w:type="dxa"/>
            <w:vAlign w:val="bottom"/>
            <w:gridSpan w:val="3"/>
          </w:tcPr>
          <w:p>
            <w:pPr>
              <w:jc w:val="right"/>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30</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3 — Legal Proceedings</w:t>
            </w:r>
          </w:p>
        </w:tc>
        <w:tc>
          <w:tcPr>
            <w:tcW w:w="280" w:type="dxa"/>
            <w:vAlign w:val="bottom"/>
            <w:gridSpan w:val="3"/>
          </w:tcPr>
          <w:p>
            <w:pPr>
              <w:jc w:val="right"/>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34</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4 — Mine Safety Disclosures</w:t>
            </w:r>
          </w:p>
        </w:tc>
        <w:tc>
          <w:tcPr>
            <w:tcW w:w="280" w:type="dxa"/>
            <w:vAlign w:val="bottom"/>
            <w:gridSpan w:val="3"/>
          </w:tcPr>
          <w:p>
            <w:pPr>
              <w:jc w:val="right"/>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34</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8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35</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5 — Market for Registrant's Common Equity, Related Stockholder Matters and Issuer Purchases of Equity Securities</w:t>
            </w:r>
          </w:p>
        </w:tc>
        <w:tc>
          <w:tcPr>
            <w:tcW w:w="28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35</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6 — Selected Financial Data</w:t>
            </w:r>
          </w:p>
        </w:tc>
        <w:tc>
          <w:tcPr>
            <w:tcW w:w="280" w:type="dxa"/>
            <w:vAlign w:val="bottom"/>
            <w:gridSpan w:val="3"/>
          </w:tcPr>
          <w:p>
            <w:pPr>
              <w:jc w:val="right"/>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36</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7 — Management's Discussion and Analysis of Financial Condition and Results of Operations</w:t>
            </w:r>
          </w:p>
        </w:tc>
        <w:tc>
          <w:tcPr>
            <w:tcW w:w="280" w:type="dxa"/>
            <w:vAlign w:val="bottom"/>
            <w:gridSpan w:val="3"/>
          </w:tcPr>
          <w:p>
            <w:pPr>
              <w:jc w:val="right"/>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37</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7A — Quantitative and Qualitative Disclosures About Market Risk</w:t>
            </w:r>
          </w:p>
        </w:tc>
        <w:tc>
          <w:tcPr>
            <w:tcW w:w="280" w:type="dxa"/>
            <w:vAlign w:val="bottom"/>
            <w:gridSpan w:val="3"/>
          </w:tcPr>
          <w:p>
            <w:pPr>
              <w:jc w:val="right"/>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58</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8 — Financial Statements and Supplementary Data</w:t>
            </w:r>
          </w:p>
        </w:tc>
        <w:tc>
          <w:tcPr>
            <w:tcW w:w="280" w:type="dxa"/>
            <w:vAlign w:val="bottom"/>
            <w:gridSpan w:val="3"/>
          </w:tcPr>
          <w:p>
            <w:pPr>
              <w:jc w:val="right"/>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59</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9 — Changes in Disagreements With Accountants on Accounting and Financial Disclosure</w:t>
            </w:r>
          </w:p>
        </w:tc>
        <w:tc>
          <w:tcPr>
            <w:tcW w:w="280" w:type="dxa"/>
            <w:vAlign w:val="bottom"/>
            <w:gridSpan w:val="3"/>
          </w:tcPr>
          <w:p>
            <w:pPr>
              <w:jc w:val="right"/>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60</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9A — Controls and Procedures</w:t>
            </w:r>
          </w:p>
        </w:tc>
        <w:tc>
          <w:tcPr>
            <w:tcW w:w="280" w:type="dxa"/>
            <w:vAlign w:val="bottom"/>
            <w:gridSpan w:val="3"/>
          </w:tcPr>
          <w:p>
            <w:pPr>
              <w:jc w:val="right"/>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60</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9B — Other Information</w:t>
            </w:r>
          </w:p>
        </w:tc>
        <w:tc>
          <w:tcPr>
            <w:tcW w:w="280" w:type="dxa"/>
            <w:vAlign w:val="bottom"/>
            <w:gridSpan w:val="3"/>
          </w:tcPr>
          <w:p>
            <w:pPr>
              <w:jc w:val="right"/>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60</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280" w:type="dxa"/>
            <w:vAlign w:val="bottom"/>
            <w:gridSpan w:val="3"/>
          </w:tcPr>
          <w:p>
            <w:pPr>
              <w:jc w:val="right"/>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61</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10 — Directors, Executive Officers and Corporate Governance</w:t>
            </w:r>
          </w:p>
        </w:tc>
        <w:tc>
          <w:tcPr>
            <w:tcW w:w="280" w:type="dxa"/>
            <w:vAlign w:val="bottom"/>
            <w:gridSpan w:val="3"/>
          </w:tcPr>
          <w:p>
            <w:pPr>
              <w:jc w:val="right"/>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61</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11 — Executive Compensation</w:t>
            </w:r>
          </w:p>
        </w:tc>
        <w:tc>
          <w:tcPr>
            <w:tcW w:w="280" w:type="dxa"/>
            <w:vAlign w:val="bottom"/>
            <w:gridSpan w:val="3"/>
          </w:tcPr>
          <w:p>
            <w:pPr>
              <w:jc w:val="right"/>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62</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12 — Security Ownership of Certain Beneficial Owners and Management and Related Stockholder Matters</w:t>
            </w:r>
          </w:p>
        </w:tc>
        <w:tc>
          <w:tcPr>
            <w:tcW w:w="280" w:type="dxa"/>
            <w:vAlign w:val="bottom"/>
            <w:gridSpan w:val="3"/>
          </w:tcPr>
          <w:p>
            <w:pPr>
              <w:jc w:val="right"/>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77</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13 — Certain Relationships and Related Transactions, and Director Independence</w:t>
            </w:r>
          </w:p>
        </w:tc>
        <w:tc>
          <w:tcPr>
            <w:tcW w:w="280" w:type="dxa"/>
            <w:vAlign w:val="bottom"/>
            <w:gridSpan w:val="3"/>
          </w:tcPr>
          <w:p>
            <w:pPr>
              <w:jc w:val="right"/>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78</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14 — Principal Accounting Fees and Services</w:t>
            </w:r>
          </w:p>
        </w:tc>
        <w:tc>
          <w:tcPr>
            <w:tcW w:w="280" w:type="dxa"/>
            <w:vAlign w:val="bottom"/>
            <w:gridSpan w:val="3"/>
          </w:tcPr>
          <w:p>
            <w:pPr>
              <w:jc w:val="right"/>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87</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280" w:type="dxa"/>
            <w:vAlign w:val="bottom"/>
            <w:gridSpan w:val="3"/>
          </w:tcPr>
          <w:p>
            <w:pPr>
              <w:jc w:val="right"/>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88</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15 — Exhibits, Financial Statement Schedules</w:t>
            </w:r>
          </w:p>
        </w:tc>
        <w:tc>
          <w:tcPr>
            <w:tcW w:w="280" w:type="dxa"/>
            <w:vAlign w:val="bottom"/>
            <w:gridSpan w:val="3"/>
          </w:tcPr>
          <w:p>
            <w:pPr>
              <w:jc w:val="right"/>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88</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28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86"/>
              </w:rPr>
            </w:pPr>
            <w:hyperlink w:anchor="page155">
              <w:r>
                <w:rPr>
                  <w:rFonts w:ascii="Arial" w:cs="Arial" w:eastAsia="Arial" w:hAnsi="Arial"/>
                  <w:sz w:val="18"/>
                  <w:szCs w:val="18"/>
                  <w:b w:val="1"/>
                  <w:bCs w:val="1"/>
                  <w:color w:val="0000EE"/>
                  <w:w w:val="86"/>
                </w:rPr>
                <w:t>153</w:t>
              </w:r>
            </w:hyperlink>
          </w:p>
        </w:tc>
      </w:tr>
      <w:tr>
        <w:trPr>
          <w:trHeight w:val="250"/>
        </w:trPr>
        <w:tc>
          <w:tcPr>
            <w:tcW w:w="11080" w:type="dxa"/>
            <w:vAlign w:val="bottom"/>
          </w:tcPr>
          <w:p>
            <w:pPr>
              <w:ind w:left="240"/>
              <w:spacing w:after="0"/>
              <w:rPr>
                <w:sz w:val="20"/>
                <w:szCs w:val="20"/>
                <w:color w:val="auto"/>
              </w:rPr>
            </w:pPr>
            <w:r>
              <w:rPr>
                <w:rFonts w:ascii="Arial" w:cs="Arial" w:eastAsia="Arial" w:hAnsi="Arial"/>
                <w:sz w:val="18"/>
                <w:szCs w:val="18"/>
                <w:color w:val="auto"/>
              </w:rPr>
              <w:t>Item 16 — Form 10-K Summary</w:t>
            </w:r>
          </w:p>
        </w:tc>
        <w:tc>
          <w:tcPr>
            <w:tcW w:w="28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86"/>
              </w:rPr>
            </w:pPr>
            <w:hyperlink w:anchor="page162">
              <w:r>
                <w:rPr>
                  <w:rFonts w:ascii="Arial" w:cs="Arial" w:eastAsia="Arial" w:hAnsi="Arial"/>
                  <w:sz w:val="18"/>
                  <w:szCs w:val="18"/>
                  <w:b w:val="1"/>
                  <w:bCs w:val="1"/>
                  <w:color w:val="0000EE"/>
                  <w:w w:val="86"/>
                </w:rPr>
                <w:t>159</w:t>
              </w:r>
            </w:hyperlink>
          </w:p>
        </w:tc>
      </w:tr>
      <w:tr>
        <w:trPr>
          <w:trHeight w:val="480"/>
        </w:trPr>
        <w:tc>
          <w:tcPr>
            <w:tcW w:w="11080" w:type="dxa"/>
            <w:vAlign w:val="bottom"/>
          </w:tcPr>
          <w:p>
            <w:pPr>
              <w:jc w:val="center"/>
              <w:ind w:left="17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229" w:right="259" w:bottom="1440" w:gutter="0" w:footer="0" w:header="0"/>
        </w:sectPr>
      </w:pPr>
    </w:p>
    <w:bookmarkStart w:id="2" w:name="page3"/>
    <w:bookmarkEnd w:id="2"/>
    <w:p>
      <w:pPr>
        <w:ind w:left="4700"/>
        <w:spacing w:after="0"/>
        <w:rPr>
          <w:sz w:val="20"/>
          <w:szCs w:val="20"/>
          <w:color w:val="auto"/>
        </w:rPr>
      </w:pPr>
      <w:r>
        <w:rPr>
          <w:rFonts w:ascii="Arial" w:cs="Arial" w:eastAsia="Arial" w:hAnsi="Arial"/>
          <w:sz w:val="18"/>
          <w:szCs w:val="18"/>
          <w:b w:val="1"/>
          <w:bCs w:val="1"/>
          <w:color w:val="auto"/>
        </w:rPr>
        <w:t>GLOSSARY OF TERMS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When the following terms and abbreviations appear in the text of this report, they have the meanings indicated below:</w:t>
      </w:r>
    </w:p>
    <w:p>
      <w:pPr>
        <w:sectPr>
          <w:pgSz w:w="11900" w:h="16838" w:orient="portrait"/>
          <w:cols w:equalWidth="0" w:num="1">
            <w:col w:w="11360"/>
          </w:cols>
          <w:pgMar w:left="280" w:top="904"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2019 Convertible Notes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Clearway, Inc.'s $220 million aggregate principal amount of 3.50% Convertible Notes due 2019</w:t>
      </w:r>
    </w:p>
    <w:p>
      <w:pPr>
        <w:spacing w:after="0" w:line="86"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2020 Convertible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Clearway, Inc.'s $45 million aggregate principal amount of 3.25% Convertible Notes due 2020</w:t>
      </w:r>
    </w:p>
    <w:p>
      <w:pPr>
        <w:spacing w:after="0" w:line="86"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2024 Senior Notes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$500 million aggregate principal amount of 5.375% unsecured senior notes due 2024, issued by Clearway Energy Operating LLC</w:t>
      </w:r>
    </w:p>
    <w:p>
      <w:pPr>
        <w:spacing w:after="0" w:line="8"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2025 Senior Notes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$600 million aggregate principal amount of 5.750% unsecured senior notes due 2025, issued by Clearway Energy Operating LLC</w:t>
      </w:r>
    </w:p>
    <w:p>
      <w:pPr>
        <w:spacing w:after="0" w:line="8"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2026 Senior Notes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$350 million aggregate principal amount of 5.00% unsecured senior notes due 2026, issued by Clearway Energy Operating LLC</w:t>
      </w:r>
    </w:p>
    <w:p>
      <w:pPr>
        <w:spacing w:after="0" w:line="8"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2028 Senior Notes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$600 million aggregate principal amount of 4.75% unsecured senior notes due 2028, issued by Clearway Energy Operating LLC</w:t>
      </w:r>
    </w:p>
    <w:p>
      <w:pPr>
        <w:spacing w:after="0" w:line="8"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7"/>
          <w:szCs w:val="17"/>
          <w:color w:val="auto"/>
        </w:rPr>
        <w:t>Adjusted EBITDA</w:t>
      </w:r>
    </w:p>
    <w:p>
      <w:pPr>
        <w:spacing w:after="0" w:line="20" w:lineRule="exact"/>
        <w:rPr>
          <w:sz w:val="20"/>
          <w:szCs w:val="20"/>
          <w:color w:val="auto"/>
        </w:rPr>
      </w:pPr>
      <w:r>
        <w:rPr>
          <w:sz w:val="20"/>
          <w:szCs w:val="20"/>
          <w:color w:val="auto"/>
        </w:rPr>
        <w:br w:type="column"/>
      </w:r>
    </w:p>
    <w:p>
      <w:pPr>
        <w:ind w:right="20"/>
        <w:spacing w:after="0" w:line="298" w:lineRule="auto"/>
        <w:rPr>
          <w:sz w:val="20"/>
          <w:szCs w:val="20"/>
          <w:color w:val="auto"/>
        </w:rPr>
      </w:pPr>
      <w:r>
        <w:rPr>
          <w:rFonts w:ascii="Arial" w:cs="Arial" w:eastAsia="Arial" w:hAnsi="Arial"/>
          <w:sz w:val="17"/>
          <w:szCs w:val="17"/>
          <w:color w:val="auto"/>
        </w:rPr>
        <w:t>A non-GAAP measure, represents EBITDA adjusted for mark-to-market gains or losses, asset write offs and impairments; and factors which the Company does not consider indicative of future operating performance</w:t>
      </w:r>
    </w:p>
    <w:p>
      <w:pPr>
        <w:spacing w:after="0" w:line="1"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7"/>
          <w:szCs w:val="17"/>
          <w:color w:val="auto"/>
        </w:rPr>
        <w:t>AOCI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Accumulated Other Comprehensive Income</w:t>
      </w:r>
    </w:p>
    <w:p>
      <w:pPr>
        <w:spacing w:after="0" w:line="211"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ARO</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Asset Retirement Obligation</w:t>
      </w:r>
    </w:p>
    <w:p>
      <w:pPr>
        <w:spacing w:after="0" w:line="86"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7"/>
          <w:szCs w:val="17"/>
          <w:color w:val="auto"/>
        </w:rPr>
        <w:t>ARRA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American Recovery and Reinvestment Act of 2009</w:t>
      </w:r>
    </w:p>
    <w:p>
      <w:pPr>
        <w:spacing w:after="0" w:line="86"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ASC</w:t>
      </w:r>
    </w:p>
    <w:p>
      <w:pPr>
        <w:spacing w:after="0" w:line="20" w:lineRule="exact"/>
        <w:rPr>
          <w:sz w:val="20"/>
          <w:szCs w:val="20"/>
          <w:color w:val="auto"/>
        </w:rPr>
      </w:pPr>
      <w:r>
        <w:rPr>
          <w:sz w:val="20"/>
          <w:szCs w:val="20"/>
          <w:color w:val="auto"/>
        </w:rPr>
        <w:br w:type="column"/>
      </w:r>
    </w:p>
    <w:p>
      <w:pPr>
        <w:ind w:right="1760"/>
        <w:spacing w:after="0" w:line="277" w:lineRule="auto"/>
        <w:rPr>
          <w:sz w:val="20"/>
          <w:szCs w:val="20"/>
          <w:color w:val="auto"/>
        </w:rPr>
      </w:pPr>
      <w:r>
        <w:rPr>
          <w:rFonts w:ascii="Arial" w:cs="Arial" w:eastAsia="Arial" w:hAnsi="Arial"/>
          <w:sz w:val="18"/>
          <w:szCs w:val="18"/>
          <w:color w:val="auto"/>
        </w:rPr>
        <w:t>The FASB Accounting Standards Codification, which the FASB established as the source of authoritative GAAP</w:t>
      </w:r>
    </w:p>
    <w:p>
      <w:pPr>
        <w:spacing w:after="0" w:line="8"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7"/>
          <w:szCs w:val="17"/>
          <w:color w:val="auto"/>
        </w:rPr>
        <w:t>ASU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Standards Updates – updates to the ASC</w:t>
      </w:r>
    </w:p>
    <w:p>
      <w:pPr>
        <w:spacing w:after="0" w:line="86"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ATM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At-The-Market Equity Offering Program</w:t>
      </w:r>
    </w:p>
    <w:p>
      <w:pPr>
        <w:spacing w:after="0" w:line="75"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August 2017 Drop Down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remaining 25% interest in Wind TE Holdco</w:t>
      </w:r>
    </w:p>
    <w:p>
      <w:pPr>
        <w:spacing w:after="0" w:line="86" w:lineRule="exact"/>
        <w:rPr>
          <w:sz w:val="20"/>
          <w:szCs w:val="20"/>
          <w:color w:val="auto"/>
        </w:rPr>
      </w:pPr>
    </w:p>
    <w:p>
      <w:pPr>
        <w:sectPr>
          <w:pgSz w:w="11900" w:h="16838" w:orient="portrait"/>
          <w:cols w:equalWidth="0" w:num="2">
            <w:col w:w="2340" w:space="6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Bankruptcy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Chapter 11 of Title 11 of the United States Code</w:t>
      </w:r>
    </w:p>
    <w:p>
      <w:pPr>
        <w:spacing w:after="0" w:line="86"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Bankruptcy Court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Bankruptcy Court for the Northern District of California</w:t>
      </w:r>
    </w:p>
    <w:p>
      <w:pPr>
        <w:spacing w:after="0" w:line="86"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Buckthorn Solar Drop Down Asset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Buckthorn Renewables, LLC, which owns 100% of Buckthorn Solar Portfolio, LLC, which was acquired by Clearway Energy Operating LLC from NRG on March 30, 2018</w:t>
      </w:r>
    </w:p>
    <w:p>
      <w:pPr>
        <w:spacing w:after="0" w:line="8" w:lineRule="exact"/>
        <w:rPr>
          <w:sz w:val="20"/>
          <w:szCs w:val="20"/>
          <w:color w:val="auto"/>
        </w:rPr>
      </w:pPr>
    </w:p>
    <w:p>
      <w:pPr>
        <w:sectPr>
          <w:pgSz w:w="11900" w:h="16838" w:orient="portrait"/>
          <w:cols w:equalWidth="0" w:num="2">
            <w:col w:w="2520" w:space="44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8"/>
          <w:szCs w:val="18"/>
          <w:color w:val="auto"/>
        </w:rPr>
        <w:t>CAA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Clean Air Act</w:t>
      </w:r>
    </w:p>
    <w:p>
      <w:pPr>
        <w:spacing w:after="0" w:line="74"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7"/>
          <w:szCs w:val="17"/>
          <w:color w:val="auto"/>
        </w:rPr>
        <w:t>CAFD</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7"/>
          <w:szCs w:val="17"/>
          <w:color w:val="auto"/>
        </w:rPr>
        <w:t>A non-GAAP measure, Cash Available for Distribution is Adjusted EBITDA plus cash distributions/return of investment from unconsolidated affiliates, adjustments to reflect CAFD generated by unconsolidated investments that are not 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 and adjusted for development expenses</w:t>
      </w:r>
    </w:p>
    <w:p>
      <w:pPr>
        <w:spacing w:after="0" w:line="16"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Carlsbad Drop Down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acquisition by the Company of the Carlsbad Energy Center, a 527 MW natural gas fired project located in Carlsbad, CA</w:t>
      </w:r>
    </w:p>
    <w:p>
      <w:pPr>
        <w:spacing w:after="0" w:line="200"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CEG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Clearway Energy Group LLC (formerly Zephyr Renewables LLC)</w:t>
      </w:r>
    </w:p>
    <w:p>
      <w:pPr>
        <w:spacing w:after="0" w:line="86"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CEG Master Services Agreement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Master Services Agreements, entered into as of August 31, 2018, between the Company, Clearway Energy LLC, Clearway Energy Operating LLC, and CEG</w:t>
      </w:r>
    </w:p>
    <w:p>
      <w:pPr>
        <w:spacing w:after="0" w:line="8" w:lineRule="exact"/>
        <w:rPr>
          <w:sz w:val="20"/>
          <w:szCs w:val="20"/>
          <w:color w:val="auto"/>
        </w:rPr>
      </w:pPr>
    </w:p>
    <w:p>
      <w:pPr>
        <w:sectPr>
          <w:pgSz w:w="11900" w:h="16838" w:orient="portrait"/>
          <w:cols w:equalWidth="0" w:num="2">
            <w:col w:w="2400" w:space="56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CEG ROFO Agreement</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Right of First Offer Agreement, entered into as of August 31, 2018, by and between Clearway Energy Group LLC and Clearway Energy, Inc., and solely for purposes of Section 2.4, GIP III Zephyr Acquisition Partners, L.P., as amended by the First Amendment dated February 14, 2019, the Second Amendment dated August 1, 2019 and the Third Amendment dated December 6, 2019</w:t>
      </w:r>
    </w:p>
    <w:p>
      <w:pPr>
        <w:spacing w:after="0" w:line="25"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Clearway,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Clearway Energy, Inc., the holder of the Company's Class A and Class C units</w:t>
      </w:r>
    </w:p>
    <w:p>
      <w:pPr>
        <w:spacing w:after="0" w:line="86"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spacing w:after="0"/>
        <w:rPr>
          <w:sz w:val="20"/>
          <w:szCs w:val="20"/>
          <w:color w:val="auto"/>
        </w:rPr>
      </w:pPr>
      <w:r>
        <w:rPr>
          <w:rFonts w:ascii="Arial" w:cs="Arial" w:eastAsia="Arial" w:hAnsi="Arial"/>
          <w:sz w:val="16"/>
          <w:szCs w:val="16"/>
          <w:color w:val="auto"/>
        </w:rPr>
        <w:t>Clearway Energy Group LLC</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holder of the Company's Class B and Class D common shares and Clearway Energy LLC's Class B and Class D units</w:t>
      </w:r>
    </w:p>
    <w:p>
      <w:pPr>
        <w:spacing w:after="0" w:line="197" w:lineRule="exact"/>
        <w:rPr>
          <w:sz w:val="20"/>
          <w:szCs w:val="20"/>
          <w:color w:val="auto"/>
        </w:rPr>
      </w:pPr>
    </w:p>
    <w:p>
      <w:pPr>
        <w:sectPr>
          <w:pgSz w:w="11900" w:h="16838" w:orient="portrait"/>
          <w:cols w:equalWidth="0" w:num="2">
            <w:col w:w="2240" w:space="720"/>
            <w:col w:w="8400"/>
          </w:cols>
          <w:pgMar w:left="280" w:top="904" w:right="259" w:bottom="1440" w:gutter="0" w:footer="0" w:header="0"/>
          <w:type w:val="continuous"/>
        </w:sect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80" w:top="904"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t>Clearway Energy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holder of the project assets that are owned by Clearway Energy LLC</w:t>
      </w:r>
    </w:p>
    <w:p>
      <w:pPr>
        <w:spacing w:after="0" w:line="86" w:lineRule="exact"/>
        <w:rPr>
          <w:sz w:val="20"/>
          <w:szCs w:val="20"/>
          <w:color w:val="auto"/>
        </w:rPr>
      </w:pPr>
    </w:p>
    <w:p>
      <w:pPr>
        <w:sectPr>
          <w:pgSz w:w="11900" w:h="16838" w:orient="portrait"/>
          <w:cols w:equalWidth="0" w:num="2">
            <w:col w:w="2400" w:space="560"/>
            <w:col w:w="8400"/>
          </w:cols>
          <w:pgMar w:left="280" w:top="1071" w:right="259" w:bottom="1440" w:gutter="0" w:footer="0" w:header="0"/>
        </w:sectPr>
      </w:pPr>
    </w:p>
    <w:p>
      <w:pPr>
        <w:spacing w:after="0"/>
        <w:rPr>
          <w:sz w:val="20"/>
          <w:szCs w:val="20"/>
          <w:color w:val="auto"/>
        </w:rPr>
      </w:pPr>
      <w:r>
        <w:rPr>
          <w:rFonts w:ascii="Arial" w:cs="Arial" w:eastAsia="Arial" w:hAnsi="Arial"/>
          <w:sz w:val="17"/>
          <w:szCs w:val="17"/>
          <w:color w:val="auto"/>
        </w:rPr>
        <w:t>COD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Commercial Operation Date</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5"/>
          <w:szCs w:val="15"/>
          <w:color w:val="auto"/>
        </w:rPr>
        <w:t>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Internal Revenue Code of 1986, as amended</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Clearway Energy LLC, together with its consolidated subsidiaries</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CPUC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California Public Utilities Commission</w:t>
      </w:r>
    </w:p>
    <w:p>
      <w:pPr>
        <w:spacing w:after="0" w:line="75"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CVSR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California Valley Solar Ranch</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CVSR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CVSR Holdco LLC, the indirect owner of CVSR</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DGPV Holdco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DGPV Holdco 1 LLC</w:t>
      </w:r>
    </w:p>
    <w:p>
      <w:pPr>
        <w:spacing w:after="0" w:line="75"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DGPV Holdco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DGPV Holdco 2 LLC</w:t>
      </w:r>
    </w:p>
    <w:p>
      <w:pPr>
        <w:spacing w:after="0" w:line="75"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DGPV Holdco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DGPV Holdco 3 LLC</w:t>
      </w:r>
    </w:p>
    <w:p>
      <w:pPr>
        <w:spacing w:after="0" w:line="75"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Distributed Solar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Solar power projects, typically less than 20 MW in size, that primarily sell power produced to customers for usage on site, or are interconnected to sell power into the local distribution grid</w:t>
      </w:r>
    </w:p>
    <w:p>
      <w:pPr>
        <w:spacing w:after="0" w:line="8"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Drop Down Assets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Collectively, assets under common control acquired by the Company from NRG from January 1, 2014 through the period ended December 31, 2019</w:t>
      </w:r>
    </w:p>
    <w:p>
      <w:pPr>
        <w:spacing w:after="0" w:line="8"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Economic Gross Margin</w:t>
      </w:r>
    </w:p>
    <w:p>
      <w:pPr>
        <w:spacing w:after="0" w:line="20" w:lineRule="exact"/>
        <w:rPr>
          <w:sz w:val="20"/>
          <w:szCs w:val="20"/>
          <w:color w:val="auto"/>
        </w:rPr>
      </w:pPr>
      <w:r>
        <w:rPr>
          <w:sz w:val="20"/>
          <w:szCs w:val="20"/>
          <w:color w:val="auto"/>
        </w:rPr>
        <w:br w:type="column"/>
      </w:r>
    </w:p>
    <w:p>
      <w:pPr>
        <w:jc w:val="both"/>
        <w:ind w:right="20"/>
        <w:spacing w:after="0" w:line="286" w:lineRule="auto"/>
        <w:rPr>
          <w:sz w:val="20"/>
          <w:szCs w:val="20"/>
          <w:color w:val="auto"/>
        </w:rPr>
      </w:pPr>
      <w:r>
        <w:rPr>
          <w:rFonts w:ascii="Arial" w:cs="Arial" w:eastAsia="Arial" w:hAnsi="Arial"/>
          <w:sz w:val="17"/>
          <w:szCs w:val="17"/>
          <w:color w:val="auto"/>
        </w:rPr>
        <w:t>A non-GAAP measure, energy and capacity revenue, less cost of fuels. See Item 7 — Management's Discussion and Analysis of Financial Condition and Results of Operations — Management's discussion of the results of operations for the years ended December 31, 2019 and 2018 for a discussion of this measure.</w:t>
      </w:r>
    </w:p>
    <w:p>
      <w:pPr>
        <w:spacing w:after="0" w:line="200"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ECP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Energy Center Pittsburgh LLC, a subsidiary of the Company</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5"/>
          <w:szCs w:val="15"/>
          <w:color w:val="auto"/>
        </w:rPr>
        <w:t>EPA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Environmental Protection Agency</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5"/>
          <w:szCs w:val="15"/>
          <w:color w:val="auto"/>
        </w:rPr>
        <w:t>EPC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Engineering, Procurement and Construction</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ERCOT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Electric Reliability Council of Texas, the ISO and the regional reliability coordinator of the various electricity systems within Texas</w:t>
      </w:r>
    </w:p>
    <w:p>
      <w:pPr>
        <w:spacing w:after="0" w:line="8"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EWG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Exempt Wholesale Generator</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Securities Exchange Act of 1934, as amended</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FASB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Financial Accounting Standards Board</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FERC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Federal Energy Regulatory Commission</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5"/>
          <w:szCs w:val="15"/>
          <w:color w:val="auto"/>
        </w:rPr>
        <w:t>FPA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Federal Power Act</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7"/>
          <w:szCs w:val="17"/>
          <w:color w:val="auto"/>
        </w:rPr>
        <w:t>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principles generally accepted in the U.S.</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5"/>
          <w:szCs w:val="15"/>
          <w:color w:val="auto"/>
        </w:rPr>
        <w:t>GenConn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GenConn Energy LLC</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GHG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Greenhouse gas</w:t>
      </w:r>
    </w:p>
    <w:p>
      <w:pPr>
        <w:spacing w:after="0" w:line="97"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7"/>
          <w:szCs w:val="17"/>
          <w:color w:val="auto"/>
        </w:rPr>
        <w:t>GIM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Global Infrastructure Management, LLC</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GIP</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Collectively, Global Infrastructure Partners III-C Intermediate AIV 3, L.P., Global Infrastructure Partners III-A/B AIV 3, L.P., Global Infrastructure Partners III-C Intermediate AIV 2, L.P., Global Infrastructure Partners III-C2 Intermediate AIV, L.P. and GIP III Zephyr Friends &amp; Family, LLC.</w:t>
      </w:r>
    </w:p>
    <w:p>
      <w:pPr>
        <w:spacing w:after="0" w:line="19"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GIP Transaction</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On August 31, 2018, NRG transferred its full ownership interest in the Company to Clearway Energy Group LLC and subsequently sold 100% of its interests in Clearway Energy Group LLC, which includes NRG's renewable energy development and operations platform, to an affiliate of GIP. GIP, NRG and the Company also entered into a consent and indemnity agreement in connection with the purchase and sale agreement, which was signed on February 6, 2018</w:t>
      </w:r>
    </w:p>
    <w:p>
      <w:pPr>
        <w:spacing w:after="0" w:line="2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8"/>
          <w:szCs w:val="18"/>
          <w:color w:val="auto"/>
        </w:rPr>
        <w:t>HLBV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Hypothetical Liquidation at Book Value</w:t>
      </w:r>
    </w:p>
    <w:p>
      <w:pPr>
        <w:spacing w:after="0" w:line="85"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IRS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Internal Revenue Service</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ISO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Independent System Operator, also referred to as an RTO</w:t>
      </w:r>
    </w:p>
    <w:p>
      <w:pPr>
        <w:spacing w:after="0" w:line="97"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7"/>
          <w:szCs w:val="17"/>
          <w:color w:val="auto"/>
        </w:rPr>
        <w:t>ITC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Investment Tax Credit</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7"/>
          <w:szCs w:val="17"/>
          <w:color w:val="auto"/>
        </w:rPr>
        <w:t>kWh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Kilowatt Hour</w:t>
      </w:r>
    </w:p>
    <w:p>
      <w:pPr>
        <w:spacing w:after="0" w:line="75"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7"/>
          <w:szCs w:val="17"/>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Inter-Bank Offered Rate</w:t>
      </w:r>
    </w:p>
    <w:p>
      <w:pPr>
        <w:spacing w:after="0" w:line="211"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80" w:top="1071"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March 2017 Drop Down Assets</w:t>
            </w:r>
          </w:p>
        </w:tc>
        <w:tc>
          <w:tcPr>
            <w:tcW w:w="8740" w:type="dxa"/>
            <w:vAlign w:val="bottom"/>
          </w:tcPr>
          <w:p>
            <w:pPr>
              <w:ind w:left="340"/>
              <w:spacing w:after="0"/>
              <w:rPr>
                <w:sz w:val="20"/>
                <w:szCs w:val="20"/>
                <w:color w:val="auto"/>
              </w:rPr>
            </w:pPr>
            <w:r>
              <w:rPr>
                <w:rFonts w:ascii="Arial" w:cs="Arial" w:eastAsia="Arial" w:hAnsi="Arial"/>
                <w:sz w:val="18"/>
                <w:szCs w:val="18"/>
                <w:color w:val="auto"/>
                <w:w w:val="94"/>
              </w:rPr>
              <w:t>(i) Agua Caliente Borrower 2 LLC, which owns a 16% interest (approximately 31% of NRG's 51% interest) in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2"/>
              </w:rPr>
              <w:t>Agua Caliente solar farm and (ii) NRG's 100% ownership in the Class A equity interests in the Utah Solar Portfolio</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(defined below), both acquired by Clearway Energy Operating LLC on March 27, 2017</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MBTA</w:t>
            </w:r>
          </w:p>
        </w:tc>
        <w:tc>
          <w:tcPr>
            <w:tcW w:w="8740" w:type="dxa"/>
            <w:vAlign w:val="bottom"/>
          </w:tcPr>
          <w:p>
            <w:pPr>
              <w:ind w:left="340"/>
              <w:spacing w:after="0"/>
              <w:rPr>
                <w:sz w:val="20"/>
                <w:szCs w:val="20"/>
                <w:color w:val="auto"/>
              </w:rPr>
            </w:pPr>
            <w:r>
              <w:rPr>
                <w:rFonts w:ascii="Arial" w:cs="Arial" w:eastAsia="Arial" w:hAnsi="Arial"/>
                <w:sz w:val="18"/>
                <w:szCs w:val="18"/>
                <w:color w:val="auto"/>
              </w:rPr>
              <w:t>Migratory Bird Treaty Act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MMBtu</w:t>
            </w:r>
          </w:p>
        </w:tc>
        <w:tc>
          <w:tcPr>
            <w:tcW w:w="8740" w:type="dxa"/>
            <w:vAlign w:val="bottom"/>
          </w:tcPr>
          <w:p>
            <w:pPr>
              <w:ind w:left="34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MW</w:t>
            </w:r>
          </w:p>
        </w:tc>
        <w:tc>
          <w:tcPr>
            <w:tcW w:w="8740" w:type="dxa"/>
            <w:vAlign w:val="bottom"/>
          </w:tcPr>
          <w:p>
            <w:pPr>
              <w:ind w:left="34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MWh</w:t>
            </w:r>
          </w:p>
        </w:tc>
        <w:tc>
          <w:tcPr>
            <w:tcW w:w="8740" w:type="dxa"/>
            <w:vAlign w:val="bottom"/>
          </w:tcPr>
          <w:p>
            <w:pPr>
              <w:ind w:left="34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MWt</w:t>
            </w:r>
          </w:p>
        </w:tc>
        <w:tc>
          <w:tcPr>
            <w:tcW w:w="8740" w:type="dxa"/>
            <w:vAlign w:val="bottom"/>
          </w:tcPr>
          <w:p>
            <w:pPr>
              <w:ind w:left="34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NERC</w:t>
            </w:r>
          </w:p>
        </w:tc>
        <w:tc>
          <w:tcPr>
            <w:tcW w:w="8740" w:type="dxa"/>
            <w:vAlign w:val="bottom"/>
          </w:tcPr>
          <w:p>
            <w:pPr>
              <w:ind w:left="340"/>
              <w:spacing w:after="0"/>
              <w:rPr>
                <w:sz w:val="20"/>
                <w:szCs w:val="20"/>
                <w:color w:val="auto"/>
              </w:rPr>
            </w:pPr>
            <w:r>
              <w:rPr>
                <w:rFonts w:ascii="Arial" w:cs="Arial" w:eastAsia="Arial" w:hAnsi="Arial"/>
                <w:sz w:val="18"/>
                <w:szCs w:val="18"/>
                <w:color w:val="auto"/>
              </w:rPr>
              <w:t>North American Electric Reliability Corporation</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Net Exposure</w:t>
            </w:r>
          </w:p>
        </w:tc>
        <w:tc>
          <w:tcPr>
            <w:tcW w:w="8740" w:type="dxa"/>
            <w:vAlign w:val="bottom"/>
          </w:tcPr>
          <w:p>
            <w:pPr>
              <w:ind w:left="340"/>
              <w:spacing w:after="0"/>
              <w:rPr>
                <w:sz w:val="20"/>
                <w:szCs w:val="20"/>
                <w:color w:val="auto"/>
              </w:rPr>
            </w:pPr>
            <w:r>
              <w:rPr>
                <w:rFonts w:ascii="Arial" w:cs="Arial" w:eastAsia="Arial" w:hAnsi="Arial"/>
                <w:sz w:val="18"/>
                <w:szCs w:val="18"/>
                <w:color w:val="auto"/>
              </w:rPr>
              <w:t>Counterparty credit exposure to Clearway Energy LLC, net of collateral</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NOLs</w:t>
            </w:r>
          </w:p>
        </w:tc>
        <w:tc>
          <w:tcPr>
            <w:tcW w:w="8740" w:type="dxa"/>
            <w:vAlign w:val="bottom"/>
          </w:tcPr>
          <w:p>
            <w:pPr>
              <w:ind w:left="34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40" w:type="dxa"/>
            <w:vAlign w:val="bottom"/>
          </w:tcPr>
          <w:p>
            <w:pPr>
              <w:ind w:left="340"/>
              <w:spacing w:after="0"/>
              <w:rPr>
                <w:sz w:val="20"/>
                <w:szCs w:val="20"/>
                <w:color w:val="auto"/>
              </w:rPr>
            </w:pPr>
            <w:r>
              <w:rPr>
                <w:rFonts w:ascii="Arial" w:cs="Arial" w:eastAsia="Arial" w:hAnsi="Arial"/>
                <w:sz w:val="18"/>
                <w:szCs w:val="18"/>
                <w:color w:val="auto"/>
              </w:rPr>
              <w:t>Nitrogen Oxides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NPNS</w:t>
            </w:r>
          </w:p>
        </w:tc>
        <w:tc>
          <w:tcPr>
            <w:tcW w:w="8740" w:type="dxa"/>
            <w:vAlign w:val="bottom"/>
          </w:tcPr>
          <w:p>
            <w:pPr>
              <w:ind w:left="340"/>
              <w:spacing w:after="0"/>
              <w:rPr>
                <w:sz w:val="20"/>
                <w:szCs w:val="20"/>
                <w:color w:val="auto"/>
              </w:rPr>
            </w:pPr>
            <w:r>
              <w:rPr>
                <w:rFonts w:ascii="Arial" w:cs="Arial" w:eastAsia="Arial" w:hAnsi="Arial"/>
                <w:sz w:val="18"/>
                <w:szCs w:val="18"/>
                <w:color w:val="auto"/>
              </w:rPr>
              <w:t>Normal Purchases and Normal Sales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NRG</w:t>
            </w:r>
          </w:p>
        </w:tc>
        <w:tc>
          <w:tcPr>
            <w:tcW w:w="8740" w:type="dxa"/>
            <w:vAlign w:val="bottom"/>
          </w:tcPr>
          <w:p>
            <w:pPr>
              <w:ind w:left="34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NRG Power Marketing</w:t>
            </w:r>
          </w:p>
        </w:tc>
        <w:tc>
          <w:tcPr>
            <w:tcW w:w="8740" w:type="dxa"/>
            <w:vAlign w:val="bottom"/>
          </w:tcPr>
          <w:p>
            <w:pPr>
              <w:ind w:left="340"/>
              <w:spacing w:after="0"/>
              <w:rPr>
                <w:sz w:val="20"/>
                <w:szCs w:val="20"/>
                <w:color w:val="auto"/>
              </w:rPr>
            </w:pPr>
            <w:r>
              <w:rPr>
                <w:rFonts w:ascii="Arial" w:cs="Arial" w:eastAsia="Arial" w:hAnsi="Arial"/>
                <w:sz w:val="18"/>
                <w:szCs w:val="18"/>
                <w:color w:val="auto"/>
              </w:rPr>
              <w:t>NRG Power Marketing LLC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NRG TSA</w:t>
            </w:r>
          </w:p>
        </w:tc>
        <w:tc>
          <w:tcPr>
            <w:tcW w:w="8740" w:type="dxa"/>
            <w:vAlign w:val="bottom"/>
          </w:tcPr>
          <w:p>
            <w:pPr>
              <w:ind w:left="340"/>
              <w:spacing w:after="0"/>
              <w:rPr>
                <w:sz w:val="20"/>
                <w:szCs w:val="20"/>
                <w:color w:val="auto"/>
              </w:rPr>
            </w:pPr>
            <w:r>
              <w:rPr>
                <w:rFonts w:ascii="Arial" w:cs="Arial" w:eastAsia="Arial" w:hAnsi="Arial"/>
                <w:sz w:val="18"/>
                <w:szCs w:val="18"/>
                <w:color w:val="auto"/>
                <w:w w:val="98"/>
              </w:rPr>
              <w:t>Transition Services Agreement entered into as of August 31, 2018 by and between NRG and the Company</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OECD</w:t>
            </w:r>
          </w:p>
        </w:tc>
        <w:tc>
          <w:tcPr>
            <w:tcW w:w="8740" w:type="dxa"/>
            <w:vAlign w:val="bottom"/>
          </w:tcPr>
          <w:p>
            <w:pPr>
              <w:ind w:left="340"/>
              <w:spacing w:after="0"/>
              <w:rPr>
                <w:sz w:val="20"/>
                <w:szCs w:val="20"/>
                <w:color w:val="auto"/>
              </w:rPr>
            </w:pPr>
            <w:r>
              <w:rPr>
                <w:rFonts w:ascii="Arial" w:cs="Arial" w:eastAsia="Arial" w:hAnsi="Arial"/>
                <w:sz w:val="18"/>
                <w:szCs w:val="18"/>
                <w:color w:val="auto"/>
              </w:rPr>
              <w:t>The Organization for Economic Co-operation and Development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OCI/OCL</w:t>
            </w:r>
          </w:p>
        </w:tc>
        <w:tc>
          <w:tcPr>
            <w:tcW w:w="8740" w:type="dxa"/>
            <w:vAlign w:val="bottom"/>
          </w:tcPr>
          <w:p>
            <w:pPr>
              <w:ind w:left="340"/>
              <w:spacing w:after="0"/>
              <w:rPr>
                <w:sz w:val="20"/>
                <w:szCs w:val="20"/>
                <w:color w:val="auto"/>
              </w:rPr>
            </w:pPr>
            <w:r>
              <w:rPr>
                <w:rFonts w:ascii="Arial" w:cs="Arial" w:eastAsia="Arial" w:hAnsi="Arial"/>
                <w:sz w:val="18"/>
                <w:szCs w:val="18"/>
                <w:color w:val="auto"/>
              </w:rPr>
              <w:t>Other comprehensive income/loss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O&amp;M</w:t>
            </w:r>
          </w:p>
        </w:tc>
        <w:tc>
          <w:tcPr>
            <w:tcW w:w="8740" w:type="dxa"/>
            <w:vAlign w:val="bottom"/>
          </w:tcPr>
          <w:p>
            <w:pPr>
              <w:ind w:left="340"/>
              <w:spacing w:after="0"/>
              <w:rPr>
                <w:sz w:val="20"/>
                <w:szCs w:val="20"/>
                <w:color w:val="auto"/>
              </w:rPr>
            </w:pPr>
            <w:r>
              <w:rPr>
                <w:rFonts w:ascii="Arial" w:cs="Arial" w:eastAsia="Arial" w:hAnsi="Arial"/>
                <w:sz w:val="18"/>
                <w:szCs w:val="18"/>
                <w:color w:val="auto"/>
              </w:rPr>
              <w:t>Operations and Maintenance</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PG&amp;E</w:t>
            </w:r>
          </w:p>
        </w:tc>
        <w:tc>
          <w:tcPr>
            <w:tcW w:w="8740" w:type="dxa"/>
            <w:vAlign w:val="bottom"/>
          </w:tcPr>
          <w:p>
            <w:pPr>
              <w:ind w:left="34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PG&amp;E Bankruptcy</w:t>
            </w:r>
          </w:p>
        </w:tc>
        <w:tc>
          <w:tcPr>
            <w:tcW w:w="8740" w:type="dxa"/>
            <w:vAlign w:val="bottom"/>
            <w:vMerge w:val="restart"/>
          </w:tcPr>
          <w:p>
            <w:pPr>
              <w:ind w:left="340"/>
              <w:spacing w:after="0"/>
              <w:rPr>
                <w:sz w:val="20"/>
                <w:szCs w:val="20"/>
                <w:color w:val="auto"/>
              </w:rPr>
            </w:pPr>
            <w:r>
              <w:rPr>
                <w:rFonts w:ascii="Arial" w:cs="Arial" w:eastAsia="Arial" w:hAnsi="Arial"/>
                <w:sz w:val="18"/>
                <w:szCs w:val="18"/>
                <w:color w:val="auto"/>
                <w:w w:val="93"/>
              </w:rPr>
              <w:t>On January 29, 2019, PG&amp;E Corporation and Pacific Gas and Electric Company filed voluntary petitions for relief</w:t>
            </w:r>
          </w:p>
        </w:tc>
        <w:tc>
          <w:tcPr>
            <w:tcW w:w="0" w:type="dxa"/>
            <w:vAlign w:val="bottom"/>
          </w:tcPr>
          <w:p>
            <w:pPr>
              <w:spacing w:after="0"/>
              <w:rPr>
                <w:sz w:val="1"/>
                <w:szCs w:val="1"/>
                <w:color w:val="auto"/>
              </w:rPr>
            </w:pPr>
          </w:p>
        </w:tc>
      </w:tr>
      <w:tr>
        <w:trPr>
          <w:trHeight w:val="67"/>
        </w:trPr>
        <w:tc>
          <w:tcPr>
            <w:tcW w:w="2620" w:type="dxa"/>
            <w:vAlign w:val="bottom"/>
          </w:tcPr>
          <w:p>
            <w:pPr>
              <w:spacing w:after="0"/>
              <w:rPr>
                <w:sz w:val="5"/>
                <w:szCs w:val="5"/>
                <w:color w:val="auto"/>
              </w:rPr>
            </w:pPr>
          </w:p>
        </w:tc>
        <w:tc>
          <w:tcPr>
            <w:tcW w:w="8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under the Bankruptcy Code in the U.S. Bankruptcy Court for the Northern District of California</w:t>
            </w:r>
          </w:p>
        </w:tc>
        <w:tc>
          <w:tcPr>
            <w:tcW w:w="0" w:type="dxa"/>
            <w:vAlign w:val="bottom"/>
          </w:tcPr>
          <w:p>
            <w:pPr>
              <w:spacing w:after="0"/>
              <w:rPr>
                <w:sz w:val="1"/>
                <w:szCs w:val="1"/>
                <w:color w:val="auto"/>
              </w:rPr>
            </w:pPr>
          </w:p>
        </w:tc>
      </w:tr>
      <w:tr>
        <w:trPr>
          <w:trHeight w:val="351"/>
        </w:trPr>
        <w:tc>
          <w:tcPr>
            <w:tcW w:w="2620" w:type="dxa"/>
            <w:vAlign w:val="bottom"/>
          </w:tcPr>
          <w:p>
            <w:pPr>
              <w:spacing w:after="0"/>
              <w:rPr>
                <w:sz w:val="20"/>
                <w:szCs w:val="20"/>
                <w:color w:val="auto"/>
              </w:rPr>
            </w:pPr>
            <w:r>
              <w:rPr>
                <w:rFonts w:ascii="Arial" w:cs="Arial" w:eastAsia="Arial" w:hAnsi="Arial"/>
                <w:sz w:val="18"/>
                <w:szCs w:val="18"/>
                <w:color w:val="auto"/>
              </w:rPr>
              <w:t>PJM</w:t>
            </w:r>
          </w:p>
        </w:tc>
        <w:tc>
          <w:tcPr>
            <w:tcW w:w="8740" w:type="dxa"/>
            <w:vAlign w:val="bottom"/>
          </w:tcPr>
          <w:p>
            <w:pPr>
              <w:ind w:left="340"/>
              <w:spacing w:after="0"/>
              <w:rPr>
                <w:sz w:val="20"/>
                <w:szCs w:val="20"/>
                <w:color w:val="auto"/>
              </w:rPr>
            </w:pPr>
            <w:r>
              <w:rPr>
                <w:rFonts w:ascii="Arial" w:cs="Arial" w:eastAsia="Arial" w:hAnsi="Arial"/>
                <w:sz w:val="18"/>
                <w:szCs w:val="18"/>
                <w:color w:val="auto"/>
              </w:rPr>
              <w:t>PJM Interconnection, LLC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PPA</w:t>
            </w:r>
          </w:p>
        </w:tc>
        <w:tc>
          <w:tcPr>
            <w:tcW w:w="8740" w:type="dxa"/>
            <w:vAlign w:val="bottom"/>
          </w:tcPr>
          <w:p>
            <w:pPr>
              <w:ind w:left="34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PTC</w:t>
            </w:r>
          </w:p>
        </w:tc>
        <w:tc>
          <w:tcPr>
            <w:tcW w:w="8740" w:type="dxa"/>
            <w:vAlign w:val="bottom"/>
          </w:tcPr>
          <w:p>
            <w:pPr>
              <w:ind w:left="340"/>
              <w:spacing w:after="0"/>
              <w:rPr>
                <w:sz w:val="20"/>
                <w:szCs w:val="20"/>
                <w:color w:val="auto"/>
              </w:rPr>
            </w:pPr>
            <w:r>
              <w:rPr>
                <w:rFonts w:ascii="Arial" w:cs="Arial" w:eastAsia="Arial" w:hAnsi="Arial"/>
                <w:sz w:val="18"/>
                <w:szCs w:val="18"/>
                <w:color w:val="auto"/>
              </w:rPr>
              <w:t>Production Tax Credit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PUCT</w:t>
            </w:r>
          </w:p>
        </w:tc>
        <w:tc>
          <w:tcPr>
            <w:tcW w:w="8740" w:type="dxa"/>
            <w:vAlign w:val="bottom"/>
          </w:tcPr>
          <w:p>
            <w:pPr>
              <w:ind w:left="340"/>
              <w:spacing w:after="0"/>
              <w:rPr>
                <w:sz w:val="20"/>
                <w:szCs w:val="20"/>
                <w:color w:val="auto"/>
              </w:rPr>
            </w:pPr>
            <w:r>
              <w:rPr>
                <w:rFonts w:ascii="Arial" w:cs="Arial" w:eastAsia="Arial" w:hAnsi="Arial"/>
                <w:sz w:val="18"/>
                <w:szCs w:val="18"/>
                <w:color w:val="auto"/>
              </w:rPr>
              <w:t>Public Utility Commission of Texas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PUHCA</w:t>
            </w:r>
          </w:p>
        </w:tc>
        <w:tc>
          <w:tcPr>
            <w:tcW w:w="8740" w:type="dxa"/>
            <w:vAlign w:val="bottom"/>
          </w:tcPr>
          <w:p>
            <w:pPr>
              <w:ind w:left="340"/>
              <w:spacing w:after="0"/>
              <w:rPr>
                <w:sz w:val="20"/>
                <w:szCs w:val="20"/>
                <w:color w:val="auto"/>
              </w:rPr>
            </w:pPr>
            <w:r>
              <w:rPr>
                <w:rFonts w:ascii="Arial" w:cs="Arial" w:eastAsia="Arial" w:hAnsi="Arial"/>
                <w:sz w:val="18"/>
                <w:szCs w:val="18"/>
                <w:color w:val="auto"/>
              </w:rPr>
              <w:t>Public Utility Holding Company Act of 2005</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PURPA</w:t>
            </w:r>
          </w:p>
        </w:tc>
        <w:tc>
          <w:tcPr>
            <w:tcW w:w="8740" w:type="dxa"/>
            <w:vAlign w:val="bottom"/>
          </w:tcPr>
          <w:p>
            <w:pPr>
              <w:ind w:left="340"/>
              <w:spacing w:after="0"/>
              <w:rPr>
                <w:sz w:val="20"/>
                <w:szCs w:val="20"/>
                <w:color w:val="auto"/>
              </w:rPr>
            </w:pPr>
            <w:r>
              <w:rPr>
                <w:rFonts w:ascii="Arial" w:cs="Arial" w:eastAsia="Arial" w:hAnsi="Arial"/>
                <w:sz w:val="18"/>
                <w:szCs w:val="18"/>
                <w:color w:val="auto"/>
              </w:rPr>
              <w:t>Public Utility Regulatory Policies Act of 1978</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QF</w:t>
            </w:r>
          </w:p>
        </w:tc>
        <w:tc>
          <w:tcPr>
            <w:tcW w:w="8740" w:type="dxa"/>
            <w:vAlign w:val="bottom"/>
          </w:tcPr>
          <w:p>
            <w:pPr>
              <w:ind w:left="340"/>
              <w:spacing w:after="0"/>
              <w:rPr>
                <w:sz w:val="20"/>
                <w:szCs w:val="20"/>
                <w:color w:val="auto"/>
              </w:rPr>
            </w:pPr>
            <w:r>
              <w:rPr>
                <w:rFonts w:ascii="Arial" w:cs="Arial" w:eastAsia="Arial" w:hAnsi="Arial"/>
                <w:sz w:val="18"/>
                <w:szCs w:val="18"/>
                <w:color w:val="auto"/>
              </w:rPr>
              <w:t>Qualifying Facility under PURPA</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RENOM</w:t>
            </w:r>
          </w:p>
        </w:tc>
        <w:tc>
          <w:tcPr>
            <w:tcW w:w="8740" w:type="dxa"/>
            <w:vAlign w:val="bottom"/>
          </w:tcPr>
          <w:p>
            <w:pPr>
              <w:ind w:left="34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837"/>
        </w:trPr>
        <w:tc>
          <w:tcPr>
            <w:tcW w:w="2620" w:type="dxa"/>
            <w:vAlign w:val="bottom"/>
          </w:tcPr>
          <w:p>
            <w:pPr>
              <w:spacing w:after="0"/>
              <w:rPr>
                <w:sz w:val="20"/>
                <w:szCs w:val="20"/>
                <w:color w:val="auto"/>
              </w:rPr>
            </w:pPr>
            <w:r>
              <w:rPr>
                <w:rFonts w:ascii="Arial" w:cs="Arial" w:eastAsia="Arial" w:hAnsi="Arial"/>
                <w:sz w:val="18"/>
                <w:szCs w:val="18"/>
                <w:color w:val="auto"/>
              </w:rPr>
              <w:t>ROFO</w:t>
            </w:r>
          </w:p>
        </w:tc>
        <w:tc>
          <w:tcPr>
            <w:tcW w:w="8740" w:type="dxa"/>
            <w:vAlign w:val="bottom"/>
          </w:tcPr>
          <w:p>
            <w:pPr>
              <w:ind w:left="340"/>
              <w:spacing w:after="0"/>
              <w:rPr>
                <w:sz w:val="20"/>
                <w:szCs w:val="20"/>
                <w:color w:val="auto"/>
              </w:rPr>
            </w:pPr>
            <w:r>
              <w:rPr>
                <w:rFonts w:ascii="Arial" w:cs="Arial" w:eastAsia="Arial" w:hAnsi="Arial"/>
                <w:sz w:val="18"/>
                <w:szCs w:val="18"/>
                <w:color w:val="auto"/>
              </w:rPr>
              <w:t>Right of First Offer</w:t>
            </w:r>
          </w:p>
        </w:tc>
        <w:tc>
          <w:tcPr>
            <w:tcW w:w="0" w:type="dxa"/>
            <w:vAlign w:val="bottom"/>
          </w:tcPr>
          <w:p>
            <w:pPr>
              <w:spacing w:after="0"/>
              <w:rPr>
                <w:sz w:val="1"/>
                <w:szCs w:val="1"/>
                <w:color w:val="auto"/>
              </w:rPr>
            </w:pPr>
          </w:p>
        </w:tc>
      </w:tr>
      <w:tr>
        <w:trPr>
          <w:trHeight w:val="446"/>
        </w:trPr>
        <w:tc>
          <w:tcPr>
            <w:tcW w:w="2620" w:type="dxa"/>
            <w:vAlign w:val="bottom"/>
          </w:tcPr>
          <w:p>
            <w:pPr>
              <w:spacing w:after="0"/>
              <w:rPr>
                <w:sz w:val="20"/>
                <w:szCs w:val="20"/>
                <w:color w:val="auto"/>
              </w:rPr>
            </w:pPr>
            <w:r>
              <w:rPr>
                <w:rFonts w:ascii="Arial" w:cs="Arial" w:eastAsia="Arial" w:hAnsi="Arial"/>
                <w:sz w:val="18"/>
                <w:szCs w:val="18"/>
                <w:color w:val="auto"/>
              </w:rPr>
              <w:t>RPS</w:t>
            </w:r>
          </w:p>
        </w:tc>
        <w:tc>
          <w:tcPr>
            <w:tcW w:w="8740" w:type="dxa"/>
            <w:vAlign w:val="bottom"/>
          </w:tcPr>
          <w:p>
            <w:pPr>
              <w:ind w:left="340"/>
              <w:spacing w:after="0"/>
              <w:rPr>
                <w:sz w:val="20"/>
                <w:szCs w:val="20"/>
                <w:color w:val="auto"/>
              </w:rPr>
            </w:pPr>
            <w:r>
              <w:rPr>
                <w:rFonts w:ascii="Arial" w:cs="Arial" w:eastAsia="Arial" w:hAnsi="Arial"/>
                <w:sz w:val="18"/>
                <w:szCs w:val="18"/>
                <w:color w:val="auto"/>
              </w:rPr>
              <w:t>Renewable Portfolio Standards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RPV Holdco</w:t>
            </w:r>
          </w:p>
        </w:tc>
        <w:tc>
          <w:tcPr>
            <w:tcW w:w="8740" w:type="dxa"/>
            <w:vAlign w:val="bottom"/>
          </w:tcPr>
          <w:p>
            <w:pPr>
              <w:ind w:left="340"/>
              <w:spacing w:after="0"/>
              <w:rPr>
                <w:sz w:val="20"/>
                <w:szCs w:val="20"/>
                <w:color w:val="auto"/>
              </w:rPr>
            </w:pPr>
            <w:r>
              <w:rPr>
                <w:rFonts w:ascii="Arial" w:cs="Arial" w:eastAsia="Arial" w:hAnsi="Arial"/>
                <w:sz w:val="18"/>
                <w:szCs w:val="18"/>
                <w:color w:val="auto"/>
              </w:rPr>
              <w:t>RPV Holdco 1 LLC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RTO</w:t>
            </w:r>
          </w:p>
        </w:tc>
        <w:tc>
          <w:tcPr>
            <w:tcW w:w="8740" w:type="dxa"/>
            <w:vAlign w:val="bottom"/>
          </w:tcPr>
          <w:p>
            <w:pPr>
              <w:ind w:left="340"/>
              <w:spacing w:after="0"/>
              <w:rPr>
                <w:sz w:val="20"/>
                <w:szCs w:val="20"/>
                <w:color w:val="auto"/>
              </w:rPr>
            </w:pPr>
            <w:r>
              <w:rPr>
                <w:rFonts w:ascii="Arial" w:cs="Arial" w:eastAsia="Arial" w:hAnsi="Arial"/>
                <w:sz w:val="18"/>
                <w:szCs w:val="18"/>
                <w:color w:val="auto"/>
              </w:rPr>
              <w:t>Regional Transmission Organization</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SCE</w:t>
            </w:r>
          </w:p>
        </w:tc>
        <w:tc>
          <w:tcPr>
            <w:tcW w:w="8740" w:type="dxa"/>
            <w:vAlign w:val="bottom"/>
          </w:tcPr>
          <w:p>
            <w:pPr>
              <w:ind w:left="340"/>
              <w:spacing w:after="0"/>
              <w:rPr>
                <w:sz w:val="20"/>
                <w:szCs w:val="20"/>
                <w:color w:val="auto"/>
              </w:rPr>
            </w:pPr>
            <w:r>
              <w:rPr>
                <w:rFonts w:ascii="Arial" w:cs="Arial" w:eastAsia="Arial" w:hAnsi="Arial"/>
                <w:sz w:val="18"/>
                <w:szCs w:val="18"/>
                <w:color w:val="auto"/>
              </w:rPr>
              <w:t>Southern California Edison</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w:t>
            </w:r>
          </w:p>
        </w:tc>
        <w:tc>
          <w:tcPr>
            <w:tcW w:w="8740" w:type="dxa"/>
            <w:vAlign w:val="bottom"/>
          </w:tcPr>
          <w:p>
            <w:pPr>
              <w:ind w:left="34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Senior Notes</w:t>
            </w:r>
          </w:p>
        </w:tc>
        <w:tc>
          <w:tcPr>
            <w:tcW w:w="8740" w:type="dxa"/>
            <w:vAlign w:val="bottom"/>
          </w:tcPr>
          <w:p>
            <w:pPr>
              <w:ind w:left="340"/>
              <w:spacing w:after="0"/>
              <w:rPr>
                <w:sz w:val="20"/>
                <w:szCs w:val="20"/>
                <w:color w:val="auto"/>
              </w:rPr>
            </w:pPr>
            <w:r>
              <w:rPr>
                <w:rFonts w:ascii="Arial" w:cs="Arial" w:eastAsia="Arial" w:hAnsi="Arial"/>
                <w:sz w:val="18"/>
                <w:szCs w:val="18"/>
                <w:color w:val="auto"/>
                <w:w w:val="95"/>
              </w:rPr>
              <w:t>Collectively, the 2024 Senior Notes, the 2025 Senior Notes, the 2026 Senior Notes and the 2028 Senior Notes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740" w:type="dxa"/>
            <w:vAlign w:val="bottom"/>
          </w:tcPr>
          <w:p>
            <w:pPr>
              <w:ind w:left="340"/>
              <w:spacing w:after="0"/>
              <w:rPr>
                <w:sz w:val="20"/>
                <w:szCs w:val="20"/>
                <w:color w:val="auto"/>
              </w:rPr>
            </w:pPr>
            <w:r>
              <w:rPr>
                <w:rFonts w:ascii="Arial" w:cs="Arial" w:eastAsia="Arial" w:hAnsi="Arial"/>
                <w:sz w:val="18"/>
                <w:szCs w:val="18"/>
                <w:color w:val="auto"/>
              </w:rPr>
              <w:t>Sulfur Dioxide</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SPP</w:t>
            </w:r>
          </w:p>
        </w:tc>
        <w:tc>
          <w:tcPr>
            <w:tcW w:w="8740" w:type="dxa"/>
            <w:vAlign w:val="bottom"/>
          </w:tcPr>
          <w:p>
            <w:pPr>
              <w:ind w:left="340"/>
              <w:spacing w:after="0"/>
              <w:rPr>
                <w:sz w:val="20"/>
                <w:szCs w:val="20"/>
                <w:color w:val="auto"/>
              </w:rPr>
            </w:pPr>
            <w:r>
              <w:rPr>
                <w:rFonts w:ascii="Arial" w:cs="Arial" w:eastAsia="Arial" w:hAnsi="Arial"/>
                <w:sz w:val="18"/>
                <w:szCs w:val="18"/>
                <w:color w:val="auto"/>
              </w:rPr>
              <w:t>Solar Power Partners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Tax Act</w:t>
            </w:r>
          </w:p>
        </w:tc>
        <w:tc>
          <w:tcPr>
            <w:tcW w:w="8740" w:type="dxa"/>
            <w:vAlign w:val="bottom"/>
          </w:tcPr>
          <w:p>
            <w:pPr>
              <w:ind w:left="340"/>
              <w:spacing w:after="0"/>
              <w:rPr>
                <w:sz w:val="20"/>
                <w:szCs w:val="20"/>
                <w:color w:val="auto"/>
              </w:rPr>
            </w:pPr>
            <w:r>
              <w:rPr>
                <w:rFonts w:ascii="Arial" w:cs="Arial" w:eastAsia="Arial" w:hAnsi="Arial"/>
                <w:sz w:val="18"/>
                <w:szCs w:val="18"/>
                <w:color w:val="auto"/>
              </w:rPr>
              <w:t>Tax Cuts and Jobs Act of 2017</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Arial" w:cs="Arial" w:eastAsia="Arial" w:hAnsi="Arial"/>
                <w:sz w:val="18"/>
                <w:szCs w:val="18"/>
                <w:color w:val="auto"/>
              </w:rPr>
              <w:t>Thermal Business</w:t>
            </w:r>
          </w:p>
        </w:tc>
        <w:tc>
          <w:tcPr>
            <w:tcW w:w="8740" w:type="dxa"/>
            <w:vAlign w:val="bottom"/>
          </w:tcPr>
          <w:p>
            <w:pPr>
              <w:ind w:left="340"/>
              <w:spacing w:after="0"/>
              <w:rPr>
                <w:sz w:val="20"/>
                <w:szCs w:val="20"/>
                <w:color w:val="auto"/>
              </w:rPr>
            </w:pPr>
            <w:r>
              <w:rPr>
                <w:rFonts w:ascii="Arial" w:cs="Arial" w:eastAsia="Arial" w:hAnsi="Arial"/>
                <w:sz w:val="18"/>
                <w:szCs w:val="18"/>
                <w:color w:val="auto"/>
                <w:w w:val="95"/>
              </w:rPr>
              <w:t>The Company's thermal business, which consists of thermal infrastructure assets that provide steam, hot water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7"/>
              </w:rPr>
              <w:t>and/or chilled water, and in some instances electricity, to commercial businesses, universities, hospitals and</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governmental units</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Arial" w:cs="Arial" w:eastAsia="Arial" w:hAnsi="Arial"/>
                <w:sz w:val="18"/>
                <w:szCs w:val="18"/>
                <w:color w:val="auto"/>
              </w:rPr>
              <w:t>UPMC Thermal Project</w:t>
            </w:r>
          </w:p>
        </w:tc>
        <w:tc>
          <w:tcPr>
            <w:tcW w:w="8740" w:type="dxa"/>
            <w:vAlign w:val="bottom"/>
          </w:tcPr>
          <w:p>
            <w:pPr>
              <w:ind w:left="340"/>
              <w:spacing w:after="0"/>
              <w:rPr>
                <w:sz w:val="20"/>
                <w:szCs w:val="20"/>
                <w:color w:val="auto"/>
              </w:rPr>
            </w:pPr>
            <w:r>
              <w:rPr>
                <w:rFonts w:ascii="Arial" w:cs="Arial" w:eastAsia="Arial" w:hAnsi="Arial"/>
                <w:sz w:val="18"/>
                <w:szCs w:val="18"/>
                <w:color w:val="auto"/>
                <w:w w:val="93"/>
              </w:rPr>
              <w:t>The University of Pittsburgh Medical Center Thermal Project, a 73 MWt district energy system that allows ECP to</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provide steam, chilled water and 7.5 MW of emergency backup power service to UPMC.</w:t>
            </w:r>
          </w:p>
        </w:tc>
        <w:tc>
          <w:tcPr>
            <w:tcW w:w="0" w:type="dxa"/>
            <w:vAlign w:val="bottom"/>
          </w:tcPr>
          <w:p>
            <w:pPr>
              <w:spacing w:after="0"/>
              <w:rPr>
                <w:sz w:val="1"/>
                <w:szCs w:val="1"/>
                <w:color w:val="auto"/>
              </w:rPr>
            </w:pPr>
          </w:p>
        </w:tc>
      </w:tr>
      <w:tr>
        <w:trPr>
          <w:trHeight w:val="459"/>
        </w:trPr>
        <w:tc>
          <w:tcPr>
            <w:tcW w:w="2620" w:type="dxa"/>
            <w:vAlign w:val="bottom"/>
          </w:tcPr>
          <w:p>
            <w:pPr>
              <w:spacing w:after="0"/>
              <w:rPr>
                <w:sz w:val="24"/>
                <w:szCs w:val="24"/>
                <w:color w:val="auto"/>
              </w:rPr>
            </w:pPr>
          </w:p>
        </w:tc>
        <w:tc>
          <w:tcPr>
            <w:tcW w:w="8740" w:type="dxa"/>
            <w:vAlign w:val="bottom"/>
          </w:tcPr>
          <w:p>
            <w:pPr>
              <w:ind w:left="30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360"/>
          </w:cols>
          <w:pgMar w:left="280" w:top="1071"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sectPr>
      </w:pPr>
    </w:p>
    <w:p>
      <w:pPr>
        <w:spacing w:after="0"/>
        <w:rPr>
          <w:sz w:val="20"/>
          <w:szCs w:val="20"/>
          <w:color w:val="auto"/>
        </w:rPr>
      </w:pPr>
      <w:r>
        <w:rPr>
          <w:rFonts w:ascii="Arial" w:cs="Arial" w:eastAsia="Arial" w:hAnsi="Arial"/>
          <w:sz w:val="16"/>
          <w:szCs w:val="16"/>
          <w:color w:val="auto"/>
        </w:rPr>
        <w:t>U.S. DOE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Department of Energy</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Holdings, LLC, Granite Mountain Renewables, LLC, and Iron Springs Renewables,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rPr>
          <w:sz w:val="20"/>
          <w:szCs w:val="20"/>
          <w:color w:val="auto"/>
        </w:rPr>
      </w:pPr>
      <w:r>
        <w:rPr>
          <w:rFonts w:ascii="Arial" w:cs="Arial" w:eastAsia="Arial" w:hAnsi="Arial"/>
          <w:sz w:val="16"/>
          <w:szCs w:val="16"/>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Wind TE Holdco LLC, an 814 net MW portfolio of twelve wind projects</w:t>
      </w:r>
    </w:p>
    <w:p>
      <w:pPr>
        <w:spacing w:after="0" w:line="200" w:lineRule="exact"/>
        <w:rPr>
          <w:sz w:val="20"/>
          <w:szCs w:val="20"/>
          <w:color w:val="auto"/>
        </w:rPr>
      </w:pPr>
    </w:p>
    <w:p>
      <w:pPr>
        <w:sectPr>
          <w:pgSz w:w="11900" w:h="16838" w:orient="portrait"/>
          <w:cols w:equalWidth="0" w:num="2">
            <w:col w:w="2240" w:space="720"/>
            <w:col w:w="8400"/>
          </w:cols>
          <w:pgMar w:left="280" w:top="1071" w:right="259" w:bottom="1440" w:gutter="0" w:footer="0" w:header="0"/>
          <w:type w:val="continuous"/>
        </w:sectPr>
      </w:pP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80" w:top="1071"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Clearway Energy LLC, together with its consolidated subsidiaries, or the Company, is an energy infrastructure investor in and owner of modern, sustainable and long-term contracted assets across North America. As of December 31, 2019, GIP indirectly owns approximately 43% of the economic interests in the Company and approximately 55% of the voting interests in Clearway Energy, Inc., or Clearway, Inc. GIM is an independent fund manager of funds that invests in infrastructure assets in the energy, transport and water/waste sectors. The Company is sponsored by GIP through its portfolio company, CEG.</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Company’s environmentally sound asset portfolio includes over </w:t>
      </w:r>
      <w:r>
        <w:rPr>
          <w:rFonts w:ascii="Arial" w:cs="Arial" w:eastAsia="Arial" w:hAnsi="Arial"/>
          <w:sz w:val="18"/>
          <w:szCs w:val="18"/>
          <w:color w:val="231F20"/>
        </w:rPr>
        <w:t>5,875</w:t>
      </w:r>
      <w:r>
        <w:rPr>
          <w:rFonts w:ascii="Arial" w:cs="Arial" w:eastAsia="Arial" w:hAnsi="Arial"/>
          <w:sz w:val="18"/>
          <w:szCs w:val="18"/>
          <w:color w:val="auto"/>
        </w:rPr>
        <w:t xml:space="preserve"> MW of wind, solar and natural gas-fired power generation facilities, as well as district energy systems. Through this diversified and contracted portfolio, the Company endeavors to increase distributions to Clearway, Inc. The weighted average remaining contract duration of these offtake agreements, based on CAFD, was approximately </w:t>
      </w:r>
      <w:r>
        <w:rPr>
          <w:rFonts w:ascii="Arial" w:cs="Arial" w:eastAsia="Arial" w:hAnsi="Arial"/>
          <w:sz w:val="18"/>
          <w:szCs w:val="18"/>
          <w:color w:val="231F20"/>
        </w:rPr>
        <w:t>13 years as of December 31, 2019. The</w:t>
      </w:r>
      <w:r>
        <w:rPr>
          <w:rFonts w:ascii="Arial" w:cs="Arial" w:eastAsia="Arial" w:hAnsi="Arial"/>
          <w:sz w:val="18"/>
          <w:szCs w:val="18"/>
          <w:color w:val="auto"/>
        </w:rPr>
        <w:t xml:space="preserve"> </w:t>
      </w:r>
      <w:r>
        <w:rPr>
          <w:rFonts w:ascii="Arial" w:cs="Arial" w:eastAsia="Arial" w:hAnsi="Arial"/>
          <w:sz w:val="18"/>
          <w:szCs w:val="18"/>
          <w:color w:val="231F20"/>
        </w:rPr>
        <w:t>Company also owns thermal infrastructure assets with an aggregate steam and chilled water capacity of 1,530 net MWt and electric generation capacity of 139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complete listing of the Company's interests in facilities, operations and/or projects owned or leased as of December 31, 2019 can be found in Item 2 — </w:t>
      </w:r>
      <w:r>
        <w:rPr>
          <w:rFonts w:ascii="Arial" w:cs="Arial" w:eastAsia="Arial" w:hAnsi="Arial"/>
          <w:sz w:val="18"/>
          <w:szCs w:val="18"/>
          <w:i w:val="1"/>
          <w:iCs w:val="1"/>
          <w:color w:val="auto"/>
        </w:rPr>
        <w:t>Properties.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 Gas and Electric Company Bankruptcy</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January 29, 2019, PG&amp;E filed for reorganization under Chapter 11 of the U.S. Bankruptcy Code in the U.S. Bankruptcy Court for the Northern District of California, or the Bankruptcy Court.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December 31, 2019, the Company had $177 million in restricted cash, $1.4 billion of property, plant and equipment, net, $370 million investments in unconsolidated affiliates and $1.2 billion of borrowings with final maturity dates ranging from 2023 to 2038 related to these facilities. The related subsidiaries of the Company are parties to financing agreements consisting of non-recourse project-level debt and, in certain cases, non-recourse holding company debt. The PG&amp;E Bankruptcy triggered defaults under the PPAs with PG&amp;E and such related project-level financing agreements. As a result, the Company recorded $1.2 billion of principal, net of the related unamortized debt issuance costs, as short-term debt as of December 31, 2019.</w:t>
      </w:r>
    </w:p>
    <w:p>
      <w:pPr>
        <w:spacing w:after="0" w:line="12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9, 2019, PG&amp;E filed a Chapter 11 plan of reorganization, or the PG&amp;E Plan, which would provide for PG&amp;E to assume all of its PPAs with the Company. On October 17, 2019, an ad hoc group of senior noteholders filed a competing plan of reorganization, which would also provide for PG&amp;E to assume all of its PPAs with the Company.</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22, 2020, PG&amp;E announced it had reached an agreement with a group of senior noteholders, and on January 31, 2020, the PG&amp;E Plan was amended to provide for the eventual implementation of such settlement. On February 4, 2020, the Bankruptcy Court approved such settlement, and the noteholders have accordingly agreed to support the PG&amp;E Plan. On February 5, 2020, the noteholders caused the ad hoc noteholder plan to be withdrawn. There are many conditions that must be satisfied before the PG&amp;E Plan and assumption of the PPAs can become effective, including but not limited to approvals by various classes of creditors, the Bankruptcy Court, and the CPUC. A hearing before the Bankruptcy Court to consider whether the PG&amp;E Plan will be approved and confirmed is currently expected to occur on May 27, 2020.</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2, 2020, the Company's contracts with PG&amp;E have operated in the normal course and the Company currently expects these contracts to continue as such. As of March 2, 2020,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as events occur.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231F20"/>
        </w:rPr>
        <w:t>History</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was formed by NRG as a Delaware limited liability company on March 5, 2013. On August 31, 2018, NRG transferred its full ownership interest in Clearway, Inc. and its subsidiaries to CEG, the holder of NRG's renewable energy development and operations platform, and subsequently sold 100% of its interest in CEG to GIP, referred to hereinafter as the GIP Transaction.</w:t>
      </w:r>
    </w:p>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Clearway, Inc. sold a total of 5,405,405 shares of Class C common stock for gross proceeds of $101 million on December 2, 2019 and incurred commission fees of $1.3 million. Clearway, Inc. utilized the proceeds of the offering to acquire additional 5,405,405 Class C units of the Company. The Company is a holding company for the companies that directly and indirectly own and operate Clearway, Inc.'s business. As of December 31, 2019, GIP, through CEG, controls Clearway, Inc., and Clearway, Inc. in turn, as the sole managing member of the Company, controls the Company and its subsidiaries.</w:t>
      </w:r>
    </w:p>
    <w:p>
      <w:pPr>
        <w:spacing w:after="0" w:line="1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GIP, through CEG, owned 42,738,750 of each of the Company's Class B units and Class D units and Clearway, Inc. owned 34,599,645 of the Company's Class A units and 78,742,854 of the Company's Class C units. Clearway, Inc., through its holdings of Class A units and Class C units, has a 57.01% economic interest in the Company. GIP, through CEG's holdings of Class B units and Class D units, has a 42.99% economic interest in the Company.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diagram below depicts the Company’s organizational structure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5471160" cy="4098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71160"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8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Business Strategy</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primary business strategy is to focus on the acquisition and ownership of assets with predictable, long-term cash flows in order that it may be able to increase the cash distributions to Clearway, Inc. over time without compromising the ongoing stability of the business.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plan for executing its business strategy includes the following key components: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Focus on contracted renewable energy and conventional generation and thermal infrastructure assets. </w:t>
      </w:r>
      <w:r>
        <w:rPr>
          <w:rFonts w:ascii="Arial" w:cs="Arial" w:eastAsia="Arial" w:hAnsi="Arial"/>
          <w:sz w:val="17"/>
          <w:szCs w:val="17"/>
          <w:color w:val="auto"/>
        </w:rPr>
        <w:t>The Company owns and operates utility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scale and distributed renewable energy and natural gas-fired generation, thermal and other infrastructure assets with proven technologies,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Growing the business through acquisitions of contracted operating assets. </w:t>
      </w:r>
      <w:r>
        <w:rPr>
          <w:rFonts w:ascii="Arial" w:cs="Arial" w:eastAsia="Arial" w:hAnsi="Arial"/>
          <w:sz w:val="17"/>
          <w:szCs w:val="17"/>
          <w:color w:val="auto"/>
        </w:rPr>
        <w:t>The Company believes that its base of operations provides a platform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conventional and renewable power generation and thermal sectors for strategic growth through cash accretive and tax advantaged acquisitions complementary to its existing portfolio. In addition to acquiring renewable generation, conventional generation and thermal infrastructure assets from third parties where the Company believes its knowledge of the market and operating expertise provides it with a competitive advantage, the Company entered into the CEG ROFO Agreement. Under the CEG ROFO Agreement, CEG has granted the Company and its affiliates a right of first offer on any proposed sale, transfer or other disposition of certain assets of CEG, or the CEG ROFO Assets, until August 31, 2023. CEG is not obligated to sell the remaining CEG ROFO Assets to the Company and, if offered by CEG, the Company cannot be sure whether these assets will be offered on acceptable terms, or that the Company will choose to consummate such acquisitions. The assets listed below represent the Company's currently committed investments in projects with CEG and the CEG ROFO Assets: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Investments with CEG</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3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Technology</w:t>
            </w:r>
          </w:p>
        </w:tc>
        <w:tc>
          <w:tcPr>
            <w:tcW w:w="2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Net Capacity (MW)</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State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COD</w:t>
            </w:r>
          </w:p>
        </w:tc>
      </w:tr>
      <w:tr>
        <w:trPr>
          <w:trHeight w:val="47"/>
        </w:trPr>
        <w:tc>
          <w:tcPr>
            <w:tcW w:w="5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5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$33 MM remaining in distributed and community solar partnerships</w:t>
            </w:r>
            <w:r>
              <w:rPr>
                <w:rFonts w:ascii="Arial" w:cs="Arial" w:eastAsia="Arial" w:hAnsi="Arial"/>
                <w:sz w:val="21"/>
                <w:szCs w:val="21"/>
                <w:color w:val="auto"/>
                <w:vertAlign w:val="superscript"/>
              </w:rPr>
              <w:t>(a)</w:t>
            </w: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3"/>
              </w:rPr>
              <w:t>PV</w:t>
            </w:r>
          </w:p>
        </w:tc>
        <w:tc>
          <w:tcPr>
            <w:tcW w:w="22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2"/>
              </w:rPr>
              <w:t>Various</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Various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Clearway Energy Group ROFO</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3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Technology</w:t>
            </w:r>
          </w:p>
        </w:tc>
        <w:tc>
          <w:tcPr>
            <w:tcW w:w="2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Net Capacity (MW)</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State</w:t>
            </w:r>
          </w:p>
        </w:tc>
        <w:tc>
          <w:tcPr>
            <w:tcW w:w="900" w:type="dxa"/>
            <w:vAlign w:val="bottom"/>
          </w:tcPr>
          <w:p>
            <w:pPr>
              <w:ind w:left="260"/>
              <w:spacing w:after="0"/>
              <w:rPr>
                <w:sz w:val="20"/>
                <w:szCs w:val="20"/>
                <w:color w:val="auto"/>
              </w:rPr>
            </w:pPr>
            <w:r>
              <w:rPr>
                <w:rFonts w:ascii="Arial" w:cs="Arial" w:eastAsia="Arial" w:hAnsi="Arial"/>
                <w:sz w:val="16"/>
                <w:szCs w:val="16"/>
                <w:b w:val="1"/>
                <w:bCs w:val="1"/>
                <w:color w:val="auto"/>
              </w:rPr>
              <w:t>COD</w:t>
            </w:r>
          </w:p>
        </w:tc>
      </w:tr>
      <w:tr>
        <w:trPr>
          <w:trHeight w:val="47"/>
        </w:trPr>
        <w:tc>
          <w:tcPr>
            <w:tcW w:w="5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Mililani I</w:t>
            </w:r>
          </w:p>
        </w:tc>
        <w:tc>
          <w:tcPr>
            <w:tcW w:w="1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3"/>
              </w:rPr>
              <w:t>PV</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39</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HI</w:t>
            </w:r>
          </w:p>
        </w:tc>
        <w:tc>
          <w:tcPr>
            <w:tcW w:w="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2021</w:t>
            </w:r>
          </w:p>
        </w:tc>
      </w:tr>
      <w:tr>
        <w:trPr>
          <w:trHeight w:val="237"/>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Waiawa</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PV</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2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rPr>
              <w:t>HI</w:t>
            </w:r>
          </w:p>
        </w:tc>
        <w:tc>
          <w:tcPr>
            <w:tcW w:w="900" w:type="dxa"/>
            <w:vAlign w:val="bottom"/>
          </w:tcPr>
          <w:p>
            <w:pPr>
              <w:ind w:left="280"/>
              <w:spacing w:after="0"/>
              <w:rPr>
                <w:sz w:val="20"/>
                <w:szCs w:val="20"/>
                <w:color w:val="auto"/>
              </w:rPr>
            </w:pPr>
            <w:r>
              <w:rPr>
                <w:rFonts w:ascii="Arial" w:cs="Arial" w:eastAsia="Arial" w:hAnsi="Arial"/>
                <w:sz w:val="16"/>
                <w:szCs w:val="16"/>
                <w:color w:val="auto"/>
              </w:rPr>
              <w:t>2021</w:t>
            </w:r>
          </w:p>
        </w:tc>
      </w:tr>
      <w:tr>
        <w:trPr>
          <w:trHeight w:val="33"/>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Langford</w:t>
            </w:r>
          </w:p>
        </w:tc>
        <w:tc>
          <w:tcPr>
            <w:tcW w:w="1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8"/>
              </w:rPr>
              <w:t>Wind</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TX</w:t>
            </w:r>
          </w:p>
        </w:tc>
        <w:tc>
          <w:tcPr>
            <w:tcW w:w="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2009</w:t>
            </w:r>
          </w:p>
        </w:tc>
      </w:tr>
      <w:tr>
        <w:trPr>
          <w:trHeight w:val="237"/>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Up to $170 MM equity investment in business renewables</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PV</w:t>
            </w:r>
          </w:p>
        </w:tc>
        <w:tc>
          <w:tcPr>
            <w:tcW w:w="228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TBD</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Various</w:t>
            </w:r>
          </w:p>
        </w:tc>
        <w:tc>
          <w:tcPr>
            <w:tcW w:w="900" w:type="dxa"/>
            <w:vAlign w:val="bottom"/>
          </w:tcPr>
          <w:p>
            <w:pPr>
              <w:ind w:left="280"/>
              <w:spacing w:after="0"/>
              <w:rPr>
                <w:sz w:val="20"/>
                <w:szCs w:val="20"/>
                <w:color w:val="auto"/>
              </w:rPr>
            </w:pPr>
            <w:r>
              <w:rPr>
                <w:rFonts w:ascii="Arial" w:cs="Arial" w:eastAsia="Arial" w:hAnsi="Arial"/>
                <w:sz w:val="16"/>
                <w:szCs w:val="16"/>
                <w:color w:val="auto"/>
              </w:rPr>
              <w:t>TBD</w:t>
            </w:r>
          </w:p>
        </w:tc>
      </w:tr>
      <w:tr>
        <w:trPr>
          <w:trHeight w:val="33"/>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Rattlesnake</w:t>
            </w:r>
            <w:r>
              <w:rPr>
                <w:rFonts w:ascii="Arial" w:cs="Arial" w:eastAsia="Arial" w:hAnsi="Arial"/>
                <w:sz w:val="21"/>
                <w:szCs w:val="21"/>
                <w:color w:val="auto"/>
                <w:vertAlign w:val="superscript"/>
              </w:rPr>
              <w:t>(b)</w:t>
            </w: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8"/>
              </w:rPr>
              <w:t>Wind</w:t>
            </w:r>
          </w:p>
        </w:tc>
        <w:tc>
          <w:tcPr>
            <w:tcW w:w="2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144</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WA</w:t>
            </w:r>
          </w:p>
        </w:tc>
        <w:tc>
          <w:tcPr>
            <w:tcW w:w="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2020</w:t>
            </w:r>
          </w:p>
        </w:tc>
      </w:tr>
      <w:tr>
        <w:trPr>
          <w:trHeight w:val="237"/>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Black Rock</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Wind</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110</w:t>
            </w:r>
          </w:p>
        </w:tc>
        <w:tc>
          <w:tcPr>
            <w:tcW w:w="2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rPr>
              <w:t>WV</w:t>
            </w:r>
          </w:p>
        </w:tc>
        <w:tc>
          <w:tcPr>
            <w:tcW w:w="900" w:type="dxa"/>
            <w:vAlign w:val="bottom"/>
          </w:tcPr>
          <w:p>
            <w:pPr>
              <w:ind w:left="280"/>
              <w:spacing w:after="0"/>
              <w:rPr>
                <w:sz w:val="20"/>
                <w:szCs w:val="20"/>
                <w:color w:val="auto"/>
              </w:rPr>
            </w:pPr>
            <w:r>
              <w:rPr>
                <w:rFonts w:ascii="Arial" w:cs="Arial" w:eastAsia="Arial" w:hAnsi="Arial"/>
                <w:sz w:val="16"/>
                <w:szCs w:val="16"/>
                <w:color w:val="auto"/>
              </w:rPr>
              <w:t>2021</w:t>
            </w:r>
          </w:p>
        </w:tc>
      </w:tr>
      <w:tr>
        <w:trPr>
          <w:trHeight w:val="33"/>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Wildflower</w:t>
            </w:r>
          </w:p>
        </w:tc>
        <w:tc>
          <w:tcPr>
            <w:tcW w:w="1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6"/>
              </w:rPr>
              <w:t>Solar</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9"/>
              </w:rPr>
              <w:t>MS</w:t>
            </w:r>
          </w:p>
        </w:tc>
        <w:tc>
          <w:tcPr>
            <w:tcW w:w="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2022</w:t>
            </w:r>
          </w:p>
        </w:tc>
      </w:tr>
      <w:tr>
        <w:trPr>
          <w:trHeight w:val="237"/>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Pinnacle Repowering</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Wind</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2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rPr>
              <w:t>WV</w:t>
            </w:r>
          </w:p>
        </w:tc>
        <w:tc>
          <w:tcPr>
            <w:tcW w:w="900" w:type="dxa"/>
            <w:vAlign w:val="bottom"/>
          </w:tcPr>
          <w:p>
            <w:pPr>
              <w:ind w:left="280"/>
              <w:spacing w:after="0"/>
              <w:rPr>
                <w:sz w:val="20"/>
                <w:szCs w:val="20"/>
                <w:color w:val="auto"/>
              </w:rPr>
            </w:pPr>
            <w:r>
              <w:rPr>
                <w:rFonts w:ascii="Arial" w:cs="Arial" w:eastAsia="Arial" w:hAnsi="Arial"/>
                <w:sz w:val="16"/>
                <w:szCs w:val="16"/>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18"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On December 26, 2018, the Company and CEG amended the DGPV Holdco 3 partnership agreement to increase the capital commitment of $50 million to $70 million.</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On January 8, 2020, CEG offered the Company the opportunity to acquire 100% of the equity interests in Rattlesnake.</w:t>
      </w:r>
    </w:p>
    <w:p>
      <w:pPr>
        <w:spacing w:after="0" w:line="1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Primary focus on North America. </w:t>
      </w:r>
      <w:r>
        <w:rPr>
          <w:rFonts w:ascii="Arial" w:cs="Arial" w:eastAsia="Arial" w:hAnsi="Arial"/>
          <w:sz w:val="18"/>
          <w:szCs w:val="18"/>
          <w:color w:val="auto"/>
        </w:rPr>
        <w:t>The Company intends to primarily focus its investments in North America (including the unincorporated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territories of the U.S.). The Company believes that industry fundamentals in North America present it with significant opportunity to acquire renewable, natural gas-fired generation and thermal infrastructure assets, without creating significant exposure to currency and sovereign risk. By primarily focusing its efforts on North America, the Company believes it will best leverage its regional knowledge of power markets, industry relationships and skill sets to maximize the performance of the Company.</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Maintain sound financial practices to grow the distribution. </w:t>
      </w:r>
      <w:r>
        <w:rPr>
          <w:rFonts w:ascii="Arial" w:cs="Arial" w:eastAsia="Arial" w:hAnsi="Arial"/>
          <w:sz w:val="18"/>
          <w:szCs w:val="18"/>
          <w:color w:val="auto"/>
        </w:rPr>
        <w:t>The Company intends to maintain a commitment to disciplined financial analysis and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balanced capital structure to enable it to increase its distribution over time and serve the long-term 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and ensure stable distributions and maximize value. The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04"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Company intends to evaluate various alternatives for financing future acquisitions and refinancing of existing project-level debt, in each case, to reduce the cost of debt, extend maturities and maximize CAFD. The Company believes it has additional flexibility to seek alternative financing arrangements, including, but not limited to, debt financings and equity-like instruments.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1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systems generally comes from new building construction or existing building conversions within the service territory of the district energy provider.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Stable, high quality cash flows. </w:t>
      </w:r>
      <w:r>
        <w:rPr>
          <w:rFonts w:ascii="Arial" w:cs="Arial" w:eastAsia="Arial" w:hAnsi="Arial"/>
          <w:sz w:val="16"/>
          <w:szCs w:val="16"/>
          <w:color w:val="auto"/>
        </w:rPr>
        <w:t>The Company's facilities have a stable, predictable cash flow profile consisting of predominantly long-life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generation assets that sell electricity under long-term fixed priced contracts or pursuant to regulated rates with investment grade and certain other creditworthy counterparties. As discussed above, PG&amp;E, one of the Company's significant customers, filed for bankruptcy on January 29, 2019. The Company's facilities have minimal fuel risk. For the Company's conventional assets, fuel is provided by the toll counterparty or the cost thereof is a pass-through cost under the Contract for Differences. Renewable facilities have no fuel costs, and most of the Company's thermal infrastructure assets have contractual or regulatory tariff mechanisms for fuel cost recovery. The offtake agreements for the Company's conventional and renewable generation facilities have a weighted-average remaining duration, based on CAFD, of approximately </w:t>
      </w:r>
      <w:r>
        <w:rPr>
          <w:rFonts w:ascii="Arial" w:cs="Arial" w:eastAsia="Arial" w:hAnsi="Arial"/>
          <w:sz w:val="16"/>
          <w:szCs w:val="16"/>
          <w:color w:val="231F20"/>
        </w:rPr>
        <w:t>13 years</w:t>
      </w:r>
      <w:r>
        <w:rPr>
          <w:rFonts w:ascii="Arial" w:cs="Arial" w:eastAsia="Arial" w:hAnsi="Arial"/>
          <w:sz w:val="16"/>
          <w:szCs w:val="16"/>
          <w:color w:val="auto"/>
        </w:rPr>
        <w:t xml:space="preserve"> as of December 31, 2019, providing long-term cash flow stability. The Company's generation offtake agreements with counterparties for whom credit ratings are available have a weighted-average Moody’s rating of Ba1 based on rated capacity under contract. All of the Company's assets are in the U.S. and accordingly have no currency or repatriation risks.</w:t>
      </w:r>
    </w:p>
    <w:p>
      <w:pPr>
        <w:spacing w:after="0" w:line="1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High quality, long-lived assets with low operating and capital requirements. </w:t>
      </w:r>
      <w:r>
        <w:rPr>
          <w:rFonts w:ascii="Arial" w:cs="Arial" w:eastAsia="Arial" w:hAnsi="Arial"/>
          <w:sz w:val="16"/>
          <w:szCs w:val="16"/>
          <w:color w:val="auto"/>
        </w:rPr>
        <w:t>The Company benefits from a portfolio of relatively younger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thermal infrastructure assets. The Company's assets are comprised of proven and reliable technologies, provided by leading original solar and wind equipment manufacturers such as General Electric, Siemens AG, SunPower Corporation, or SunPower, First Solar Inc., or First Solar, Vestas, Suzlon and Mitsubishi. Given the modern nature of the portfolio, which includes a substantial number of relatively low operating and maintenance cost solar and wind generation assets, the Company expects to achieve high fleet availability and expend modest maintenance-related capital expenditures.</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Significant scale and diversity. </w:t>
      </w:r>
      <w:r>
        <w:rPr>
          <w:rFonts w:ascii="Arial" w:cs="Arial" w:eastAsia="Arial" w:hAnsi="Arial"/>
          <w:sz w:val="18"/>
          <w:szCs w:val="18"/>
          <w:color w:val="auto"/>
        </w:rPr>
        <w:t>The Company owns and operates a large and diverse portfolio of contracted electric generation and thermal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infrastructure assets. As of December 31, 2019, the Company's </w:t>
      </w:r>
      <w:r>
        <w:rPr>
          <w:rFonts w:ascii="Arial" w:cs="Arial" w:eastAsia="Arial" w:hAnsi="Arial"/>
          <w:sz w:val="18"/>
          <w:szCs w:val="18"/>
          <w:color w:val="231F20"/>
        </w:rPr>
        <w:t>5,875</w:t>
      </w:r>
      <w:r>
        <w:rPr>
          <w:rFonts w:ascii="Arial" w:cs="Arial" w:eastAsia="Arial" w:hAnsi="Arial"/>
          <w:sz w:val="18"/>
          <w:szCs w:val="18"/>
          <w:color w:val="auto"/>
        </w:rPr>
        <w:t xml:space="preserve"> net MW contracted generation portfolio benefits from significant diversification in terms of technology, fuel type, counterparty and geography. The Company's Thermal Business consists of thirteen operations, seven of which are district energy centers that provide steam and chilled water to approximately 700 customers, and six of which provide generation.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Relationship with GIP and CEG. </w:t>
      </w:r>
      <w:r>
        <w:rPr>
          <w:rFonts w:ascii="Arial" w:cs="Arial" w:eastAsia="Arial" w:hAnsi="Arial"/>
          <w:sz w:val="18"/>
          <w:szCs w:val="18"/>
          <w:color w:val="auto"/>
        </w:rPr>
        <w:t>The Company believes that its relationship with GIP and CEG provides significant benefits. GIM, the manager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GIP, is an independent infrastructure fund manager that invests in infrastructure assets and businesses in both OECD and select emerging market countries. GIM has a strong track record of investment and value creation in the renewable energy sector. GIM also has extensive experience with publicly traded yield vehicles and development platforms, ranging from Europe's first application of a yield company/development company model to the largest renewable platform in Asia-Pacific. Additionally, the Company believes that CEG provides the Company access to a highly capable renewable development and operations platform that is aligned to support the Company's growth.</w:t>
      </w:r>
    </w:p>
    <w:p>
      <w:pPr>
        <w:spacing w:after="0" w:line="1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Environmentally well-positioned portfolio of assets. </w:t>
      </w:r>
      <w:r>
        <w:rPr>
          <w:rFonts w:ascii="Arial" w:cs="Arial" w:eastAsia="Arial" w:hAnsi="Arial"/>
          <w:sz w:val="16"/>
          <w:szCs w:val="16"/>
          <w:color w:val="auto"/>
        </w:rPr>
        <w:t>The Company's portfolio of electric generation assets consists of 3,403 net MW of renewable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capacity that are non-emitting sources of power generation. The Company's conventional assets consist of the dual fuel-fired GenConn assets as well as the Carlsbad, Marsh Landing and Walnut Creek simple cycle natural gas-fired peaking generation facilities and the El Segundo combined cycle natural gas-fired peaking facility.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1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Thermal infrastructure business has high entry costs. </w:t>
      </w:r>
      <w:r>
        <w:rPr>
          <w:rFonts w:ascii="Arial" w:cs="Arial" w:eastAsia="Arial" w:hAnsi="Arial"/>
          <w:sz w:val="16"/>
          <w:szCs w:val="16"/>
          <w:color w:val="auto"/>
        </w:rPr>
        <w:t>Significant capital has been invested to construct the Company's thermal infrastructure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serving as a barrier to entry in the markets in which such assets operate. As of December 31, 2019, the Company's thermal gross property, plant, and equipment was approximately $648 million. The Company's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the Company believes it has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The Company's system technologies often provide economies of scale in terms of fuel procurement, ability to switch between multiple types of fuel to generate thermal energy, and fuel conversion efficiency.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following tables summarize the Company's operating revenues, net income (loss) and assets by segment for the years ended December 31, 2019, 2018 and 2017, as discussed in Item 15 — Note 12, </w:t>
      </w:r>
      <w:r>
        <w:rPr>
          <w:rFonts w:ascii="Arial" w:cs="Arial" w:eastAsia="Arial" w:hAnsi="Arial"/>
          <w:sz w:val="18"/>
          <w:szCs w:val="18"/>
          <w:i w:val="1"/>
          <w:iCs w:val="1"/>
          <w:color w:val="auto"/>
        </w:rPr>
        <w:t>Segment Reporting</w:t>
      </w:r>
      <w:r>
        <w:rPr>
          <w:rFonts w:ascii="Arial" w:cs="Arial" w:eastAsia="Arial" w:hAnsi="Arial"/>
          <w:sz w:val="18"/>
          <w:szCs w:val="18"/>
          <w:color w:val="auto"/>
        </w:rPr>
        <w:t>, to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2019</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6,186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399"/>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2018</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8,448</w:t>
            </w:r>
          </w:p>
        </w:tc>
        <w:tc>
          <w:tcPr>
            <w:tcW w:w="0" w:type="dxa"/>
            <w:vAlign w:val="bottom"/>
          </w:tcPr>
          <w:p>
            <w:pPr>
              <w:spacing w:after="0"/>
              <w:rPr>
                <w:sz w:val="1"/>
                <w:szCs w:val="1"/>
                <w:color w:val="auto"/>
              </w:rPr>
            </w:pPr>
          </w:p>
        </w:tc>
      </w:tr>
      <w:tr>
        <w:trPr>
          <w:trHeight w:val="453"/>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2017</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Incentives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Policy incentives in the U.S. have the effect of making the development of renewable energy projects more competitive by providing credits and other tax benefits for a portion of the development costs. A loss of or reduction in such incentives could decrease the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attractiveness of renewable energy projects to developers, including CEG, which could reduce the Company's future acquisition opportunities. Such a loss or reduction could also reduce the Company's willingness to pursue or develop certain renewable energy projects due to higher operating costs or decreased revenues under its PPAs.</w:t>
      </w:r>
    </w:p>
    <w:p>
      <w:pPr>
        <w:spacing w:after="0" w:line="1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U.S. federal, state and local governments have established various incentives to support the development of renewable energy projects. These incentives include accelerated tax depreciation, PTCs, ITCs, cash grants, tax abatements and RPS programs. Pursuant to the U.S. federal Modified Accelerated Cost Recovery System, or MACRS, wind and solar projects are fully depreciated for tax purposes over a five-year period even though the useful life of such projects is generally much longer than five years. The Tax Act also provides the ability for wind and solar projects to claim immediate expensing for property acquired and placed in service after September 27, 2017, and before January 1, 2023.</w:t>
      </w:r>
    </w:p>
    <w:p>
      <w:pPr>
        <w:spacing w:after="0" w:line="1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Owners of utility-scale wind facilities are eligible to claim an income tax credit (the PTC, or an ITC in lieu of the PTC) upon initially achieving commercial operation. The PTC is determined based on the amount of electricity produced by the wind facility during the first ten years of commercial operation. This incentive was created under the Energy Policy Act of 1992 and has been extended several times. Alternatively, an ITC equal to a percentage of the cost of a wind facility may be claimed in lieu of the PTC. In order to qualify for the PTC (or ITC in lieu of the PTC), construction of a wind facility must begin before a specified date and the taxpayer must maintain a continuous program of construction or continuous efforts to advance the project to completion. The Internal Revenue Service, or IRS, issued guidance stating that the safe harbor for continuous efforts and continuous construction requirements will generally be satisfied if the facility is placed in service no more than four years after the year in which construction of the facility began. The IRS also confirmed that retrofitted wind facilities may re-qualify for PTCs or ITCs pursuant to the beginning construction requirement, as long as the cost basis of the new investment is at least 80% of the facility’s total fair value.</w:t>
      </w:r>
    </w:p>
    <w:p>
      <w:pPr>
        <w:spacing w:after="0" w:line="1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solar projects are eligible to claim an ITC for new solar projects. Tax credits for qualifying wind and solar projects are subject to the following phase-down schedule.</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39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color w:val="auto"/>
                <w:w w:val="97"/>
              </w:rPr>
              <w:t>Year construction of project begins</w:t>
            </w: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39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6"/>
              </w:rPr>
              <w:t>2020</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2022</w:t>
            </w:r>
          </w:p>
        </w:tc>
      </w:tr>
      <w:tr>
        <w:trPr>
          <w:trHeight w:val="190"/>
        </w:trPr>
        <w:tc>
          <w:tcPr>
            <w:tcW w:w="39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28"/>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PTC</w:t>
            </w:r>
            <w:r>
              <w:rPr>
                <w:rFonts w:ascii="Arial" w:cs="Arial" w:eastAsia="Arial" w:hAnsi="Arial"/>
                <w:sz w:val="7"/>
                <w:szCs w:val="7"/>
                <w:color w:val="auto"/>
              </w:rPr>
              <w:t>(a)</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w:t>
            </w:r>
          </w:p>
        </w:tc>
      </w:tr>
      <w:tr>
        <w:trPr>
          <w:trHeight w:val="191"/>
        </w:trPr>
        <w:tc>
          <w:tcPr>
            <w:tcW w:w="3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2"/>
        </w:trPr>
        <w:tc>
          <w:tcPr>
            <w:tcW w:w="3980" w:type="dxa"/>
            <w:vAlign w:val="bottom"/>
          </w:tcPr>
          <w:p>
            <w:pPr>
              <w:ind w:left="20"/>
              <w:spacing w:after="0"/>
              <w:rPr>
                <w:sz w:val="20"/>
                <w:szCs w:val="20"/>
                <w:color w:val="auto"/>
              </w:rPr>
            </w:pPr>
            <w:r>
              <w:rPr>
                <w:rFonts w:ascii="Arial" w:cs="Arial" w:eastAsia="Arial" w:hAnsi="Arial"/>
                <w:sz w:val="14"/>
                <w:szCs w:val="14"/>
                <w:color w:val="auto"/>
              </w:rPr>
              <w:t>Wind ITC</w:t>
            </w:r>
          </w:p>
        </w:tc>
        <w:tc>
          <w:tcPr>
            <w:tcW w:w="760" w:type="dxa"/>
            <w:vAlign w:val="bottom"/>
          </w:tcPr>
          <w:p>
            <w:pPr>
              <w:jc w:val="right"/>
              <w:spacing w:after="0"/>
              <w:rPr>
                <w:sz w:val="20"/>
                <w:szCs w:val="20"/>
                <w:color w:val="auto"/>
              </w:rPr>
            </w:pPr>
            <w:r>
              <w:rPr>
                <w:rFonts w:ascii="Arial" w:cs="Arial" w:eastAsia="Arial" w:hAnsi="Arial"/>
                <w:sz w:val="14"/>
                <w:szCs w:val="14"/>
                <w:color w:val="auto"/>
              </w:rPr>
              <w:t>30 %</w:t>
            </w:r>
          </w:p>
        </w:tc>
        <w:tc>
          <w:tcPr>
            <w:tcW w:w="120" w:type="dxa"/>
            <w:vAlign w:val="bottom"/>
          </w:tcPr>
          <w:p>
            <w:pPr>
              <w:spacing w:after="0"/>
              <w:rPr>
                <w:sz w:val="19"/>
                <w:szCs w:val="19"/>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30 %</w:t>
            </w:r>
          </w:p>
        </w:tc>
        <w:tc>
          <w:tcPr>
            <w:tcW w:w="120" w:type="dxa"/>
            <w:vAlign w:val="bottom"/>
          </w:tcPr>
          <w:p>
            <w:pPr>
              <w:spacing w:after="0"/>
              <w:rPr>
                <w:sz w:val="19"/>
                <w:szCs w:val="19"/>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19"/>
                <w:szCs w:val="19"/>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9"/>
                <w:szCs w:val="19"/>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9"/>
                <w:szCs w:val="19"/>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0</w:t>
            </w:r>
          </w:p>
        </w:tc>
      </w:tr>
      <w:tr>
        <w:trPr>
          <w:trHeight w:val="276"/>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Solar ITC</w:t>
            </w:r>
            <w:r>
              <w:rPr>
                <w:rFonts w:ascii="Arial" w:cs="Arial" w:eastAsia="Arial" w:hAnsi="Arial"/>
                <w:sz w:val="7"/>
                <w:szCs w:val="7"/>
                <w:color w:val="auto"/>
              </w:rPr>
              <w:t>(b)</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bl>
    <w:p>
      <w:pPr>
        <w:spacing w:after="0" w:line="35"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Percentage of the full PTC available for wind projects that begin construction during the applicable year.</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ITC is limited to 10% for projects not placed in service before January 1, 2024.</w:t>
      </w:r>
    </w:p>
    <w:p>
      <w:pPr>
        <w:spacing w:after="0" w:line="3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RPS,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8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As owners of power plants and participants in wholesale and thermal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FERC</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FERC, among other things, regulates the transmission and the wholesale sale of electricity in interstate commerce under the authority of the FPA. The transmission and sale of electric energy occurring wholly within ERCOT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generating facilities qualifies as either an EWG or QF.</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that are just and reasonable.</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Public utilities are required to obtain FERC’s acceptance, pursuant to Section 205 of the FPA, of their rate schedules for the wholesale sale of electricity. All of the Company’s non-QF generating entities located outside of ERCOT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1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In addition to complying with NERC requirements, each entity must comply with the requirements of the regional reliability entity for the region in which it is located.</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PUHCA provides FERC with certain authority over and access to books and records of public utility holding companies not otherwise exempt by virtue of their ownership of EWGs, QFs, and Foreign Utility Companies. The Company is exempt from many of the accounting, record retention, and reporting requirements of the PUHCA.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number of regulations that may affect the Company are under review, including the publishing of the Affordable Clean Energy (ACE) rule and state analogs to MBTA requirements for incidental take. The Company will evaluate the impact of these regulations as they are revised but cannot fully predict the impact of each until anticipated revisions and legal challenges are resolved. To the extent the regulations restrict or otherwise impact the Company's operations, the regulations could have a negative impact on the Company's financial performance.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Clean Air Act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Affordable Clean Energy </w:t>
      </w:r>
      <w:r>
        <w:rPr>
          <w:rFonts w:ascii="Arial" w:cs="Arial" w:eastAsia="Arial" w:hAnsi="Arial"/>
          <w:sz w:val="18"/>
          <w:szCs w:val="18"/>
          <w:color w:val="auto"/>
        </w:rPr>
        <w:t>— The attention in recent years on GHG emissions has resulted in federal regulations and state legislative and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In 2015, the EPA finalized the Clean Power Plan (CPP) which addressed GHG emissions from existing electric utility steam generating units. The CPP was challenged in court and in 2016 the U.S. Supreme Court stayed the CPP. In 2018, the EPA published the proposed ACE rule to replace the CPP. The ACE rule establishes emission guidelines for states to develop plans to address greenhouse gas emissions from existing power plants. The ACE rule also reinforces the states’ broad discretion in establishing and applying emissions standards to new emission sources. The ACE rule is currently being litigated in the D.C. Circuit.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08"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i w:val="1"/>
          <w:iCs w:val="1"/>
          <w:color w:val="212121"/>
        </w:rPr>
        <w:t>Migratory Bird Treaty Act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2019, Senator Lowenthal of New York developed a draft bill — the Migratory Bird Protection Act of 2019 — to reinstate the interpretation that incidental take </w:t>
      </w:r>
      <w:r>
        <w:rPr>
          <w:rFonts w:ascii="Arial" w:cs="Arial" w:eastAsia="Arial" w:hAnsi="Arial"/>
          <w:sz w:val="18"/>
          <w:szCs w:val="18"/>
          <w:i w:val="1"/>
          <w:iCs w:val="1"/>
          <w:color w:val="auto"/>
        </w:rPr>
        <w:t>is prohibited</w:t>
      </w:r>
      <w:r>
        <w:rPr>
          <w:rFonts w:ascii="Arial" w:cs="Arial" w:eastAsia="Arial" w:hAnsi="Arial"/>
          <w:sz w:val="18"/>
          <w:szCs w:val="18"/>
          <w:color w:val="auto"/>
        </w:rPr>
        <w:t xml:space="preserve"> under the MBTA, overriding the recent Trump-administration Solicitor’s Opinion M-37050 that held the MBTA only applies to intentional takings. The draft bill also develops a general permitting program that covers incidental take of migratory birds. To the extent that renewable energy takes migratory birds, it typically is incidental to its operations.</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2019, Assembly Member Kalra introduced AB 454 to protect migratory bird species in California. This new bill was intended to backstop the MBTA. The bill, which sunsets on January 20, 2025, makes it unlawful to take or possess any migratory bird in California except as provided by pre-2017 federal guidance. The bill was approved by the State Legislature and signed into law by Governor Newsom in October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sells its electricity and environmental attributes, including RECs, primarily to local utilities under long-term, fixed-price PPAs. During the year ended December 31, 2019, the Company derived approximately 40% of its consolidated revenue from Southern California Edison, or SCE, and approximately 22% of its consolidated revenue from PG&amp;E. See </w:t>
      </w:r>
      <w:r>
        <w:rPr>
          <w:rFonts w:ascii="Arial" w:cs="Arial" w:eastAsia="Arial" w:hAnsi="Arial"/>
          <w:sz w:val="18"/>
          <w:szCs w:val="18"/>
          <w:i w:val="1"/>
          <w:iCs w:val="1"/>
          <w:color w:val="auto"/>
        </w:rPr>
        <w:t>Pacific Gas and Electric Company Bankruptcy</w:t>
      </w:r>
      <w:r>
        <w:rPr>
          <w:rFonts w:ascii="Arial" w:cs="Arial" w:eastAsia="Arial" w:hAnsi="Arial"/>
          <w:sz w:val="18"/>
          <w:szCs w:val="18"/>
          <w:color w:val="auto"/>
        </w:rPr>
        <w:t xml:space="preserve"> within this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PG&amp;E Bankruptcy</w:t>
      </w:r>
      <w:r>
        <w:rPr>
          <w:rFonts w:ascii="Arial" w:cs="Arial" w:eastAsia="Arial" w:hAnsi="Arial"/>
          <w:sz w:val="18"/>
          <w:szCs w:val="18"/>
          <w:color w:val="auto"/>
        </w:rPr>
        <w:t>" found in Item 1A,</w:t>
      </w:r>
      <w:r>
        <w:rPr>
          <w:rFonts w:ascii="Arial" w:cs="Arial" w:eastAsia="Arial" w:hAnsi="Arial"/>
          <w:sz w:val="18"/>
          <w:szCs w:val="18"/>
          <w:i w:val="1"/>
          <w:iCs w:val="1"/>
          <w:color w:val="auto"/>
        </w:rPr>
        <w:t xml:space="preserve"> Risk Factors</w:t>
      </w:r>
      <w:r>
        <w:rPr>
          <w:rFonts w:ascii="Arial" w:cs="Arial" w:eastAsia="Arial" w:hAnsi="Arial"/>
          <w:sz w:val="18"/>
          <w:szCs w:val="18"/>
          <w:color w:val="auto"/>
        </w:rPr>
        <w:t>, to this Annual Report on Form 10-K for additional information regarding the PG&amp;E</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 Company had 307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"Investor Relations" section of Clearway, Inc.'s website, </w:t>
      </w:r>
      <w:r>
        <w:rPr>
          <w:rFonts w:ascii="Arial" w:cs="Arial" w:eastAsia="Arial" w:hAnsi="Arial"/>
          <w:sz w:val="18"/>
          <w:szCs w:val="18"/>
          <w:i w:val="1"/>
          <w:iCs w:val="1"/>
          <w:color w:val="auto"/>
        </w:rPr>
        <w:t>www.clearwayenergy.com</w:t>
      </w:r>
      <w:r>
        <w:rPr>
          <w:rFonts w:ascii="Arial" w:cs="Arial" w:eastAsia="Arial" w:hAnsi="Arial"/>
          <w:sz w:val="18"/>
          <w:szCs w:val="18"/>
          <w:color w:val="auto"/>
        </w:rPr>
        <w:t>, as soon as reasonably practicable after they are electronically filed with, or furnished to, the SEC. The Company also routinely posts press releases, presentations, webcasts, and other information regarding the Company on Clearway, Inc.'s website. The information posted on Clearway, Inc.'s website is not a part of this report.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PG&amp;E Bankruptcy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PG&amp;E Bankruptcy could adversely affect the Company’s results of operations, financial condition and cash flows.</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January 29, 2019, PG&amp;E filed for reorganization under Chapter 11 of the U.S. Bankruptcy Code in the U.S. Bankruptcy Court for the Northern District of California, or the Bankruptcy Court. PG&amp;E is one of the Company's largest customers, representing approximately 22% of the Company's consolidated operating revenues during the year ended December 31, 2019 and 14% of total accounts receivable as of December 31, 2019. Certain subsidiaries of the Company, which hold interests in six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Most of the PPAs with PG&amp;E have contract prices that are higher than currently estimated market prices. These contracts are subject to review by the Bankruptcy Court.</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9, 2019, PG&amp;E filed a Chapter 11 plan of reorganization, or the PG&amp;E Plan, which would provide for PG&amp;E to assume all of its PPAs with the Company. On October 17, 2019, an ad hoc group of senior noteholders filed a competing plan of reorganization, which would also provide for PG&amp;E to assume all of its PPAs with the Company.</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22, 2020, PG&amp;E announced it had reached an agreement with a group of senior noteholders, and on January 31, 2020, the PG&amp;E Plan was amended to provide for the eventual implementation of such settlement. On February 4, 2020, the Bankruptcy Court approved such settlement, and the noteholders have accordingly agreed to support the PG&amp;E Plan. On February 5, 2020, the noteholders caused the ad hoc noteholder plan to be withdrawn. There are many conditions that must be satisfied before the PG&amp;E Plan and assumption of the PPAs can become effective, including but not limited to approvals by various classes of creditors, the Bankruptcy Court, and the CPUC. A hearing before the Bankruptcy Court to consider whether the PG&amp;E Plan will be approved and confirmed is currently expected to occur on May 27, 2020.</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648"/>
        <w:spacing w:after="0" w:line="297" w:lineRule="auto"/>
        <w:rPr>
          <w:sz w:val="20"/>
          <w:szCs w:val="20"/>
          <w:color w:val="auto"/>
        </w:rPr>
      </w:pPr>
      <w:r>
        <w:rPr>
          <w:rFonts w:ascii="Arial" w:cs="Arial" w:eastAsia="Arial" w:hAnsi="Arial"/>
          <w:sz w:val="16"/>
          <w:szCs w:val="16"/>
          <w:color w:val="auto"/>
        </w:rPr>
        <w:t xml:space="preserve">Although the PG&amp;E Bankruptcy filing triggered defaults under the PPAs with the PG&amp;E and under the related financing agreements for each respective facility, as of March 2, 2020, the Company's contracts with PG&amp;E have operated in the normal course and the Company currently expects these contracts to continue as such. As of March 2, 2020,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as events occur. For further discussion, see </w:t>
      </w:r>
      <w:r>
        <w:rPr>
          <w:rFonts w:ascii="Arial" w:cs="Arial" w:eastAsia="Arial" w:hAnsi="Arial"/>
          <w:sz w:val="16"/>
          <w:szCs w:val="16"/>
          <w:i w:val="1"/>
          <w:iCs w:val="1"/>
          <w:color w:val="auto"/>
        </w:rPr>
        <w:t>Item 15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Note 10</w:t>
      </w:r>
      <w:r>
        <w:rPr>
          <w:rFonts w:ascii="Arial" w:cs="Arial" w:eastAsia="Arial" w:hAnsi="Arial"/>
          <w:sz w:val="16"/>
          <w:szCs w:val="16"/>
          <w:i w:val="1"/>
          <w:iCs w:val="1"/>
          <w:color w:val="auto"/>
        </w:rPr>
        <w:t>,Long-term Debt</w:t>
      </w:r>
    </w:p>
    <w:p>
      <w:pPr>
        <w:spacing w:after="0" w:line="1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PG&amp;E does not have the financial means or refuses to pay the amounts owing to the Company under the PPAs, and if the Company cannot recover the amounts owed through other means, the Company may be required to write-off all, or a portion of, any outstanding accounts receivable, and to impair its fixed assets. Any such results would adversely affect the Company's financial results.</w:t>
      </w:r>
    </w:p>
    <w:p>
      <w:pPr>
        <w:spacing w:after="0" w:line="1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continues to assess the potential future impacts of the PG&amp;E Bankruptcy on the Company’s operations. The realization of any of the above risks could significantly and adversely affect the Company's ability to meet its financial expectations, its financial condition, results of operations, and cash flows, its ability to make distributions to its stockholders, the market price of its common stock, and its ability to satisfy its debt service obligations.</w:t>
      </w:r>
    </w:p>
    <w:p>
      <w:pPr>
        <w:spacing w:after="0" w:line="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 significant portion of the electric power the Company generates is sold under long-term offtake agreements with public utilities or industrial or commercial end-users, with a weighted average remaining duration, based on CAFD, of approximately 13 years. As of December 31, 2019, the largest customers of the Company's power generation assets, including assets in which the Company has less than a 100% membership interest, were SCE and PG&amp;E, which represented 40%and 22%, respectively, of total consolidated revenues generated by the Company during the year ended December 31, 2019. As previously noted, on January 29, 2019, PG&amp;E filed for reorganization under Chapter 11 of the Bankruptcy Code.</w:t>
      </w:r>
    </w:p>
    <w:p>
      <w:pPr>
        <w:spacing w:after="0" w:line="11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for any reason, any of the purchasers of power under these agreements, including PG&amp;E as a result of the PG&amp;E Bankruptcy,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11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power generation industry is characterized by intense competition and the Company's electric generation assets encounter competition from utilities, industrial companies and other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to evolving industry standards and changing customer requirements than the Company will be able to. Adoption of technology more advanced than the Company's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facilities are newly constructed and may not perform as expected.</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of the Company's conventional and renewable assets are newly constructed.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cash flows and its ability to pay distributions to Clearway, Inc. and CEG.</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Pursuant to the Company's cash distribution policy, the Company intends to distribute a significant amount of the CAFD through regular quarterly distributions, and the Company's ability to grow and make acquisitions through cash on hand could be limited.</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The incurrence of bank borrowings or other debt by Clearway Energy Operating LLC or by the Company's project-level subsidiaries to finance the Company’s growth strategy will result in increased interest expense and the imposition of additional or more restrictive covenants, which, in turn, may impact the cash distributions the Company makes to Clearway, Inc. and CEG.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effectively identify or consummate any future acquisitions on favorable terms, or at all.</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Clearway, Inc.'s common stock.</w:t>
      </w:r>
    </w:p>
    <w:p>
      <w:pPr>
        <w:spacing w:after="0" w:line="1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Furthermore, 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ability to effectively consummate future acquisitions will also depend on the Company’s ability to arrange the required or desired financing for acquisitions.</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The Company’s ability to consummate future acquisitions may also depend on the Company’s ability to obtain any required regulatory approvals for such acquisitions, including, but not limited to, approval by FERC under Section 203 of the FPA.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04" w:right="239" w:bottom="1440" w:gutter="0" w:footer="0" w:header="0"/>
        </w:sectPr>
      </w:pPr>
    </w:p>
    <w:bookmarkStart w:id="16" w:name="page17"/>
    <w:bookmarkEnd w:id="16"/>
    <w:p>
      <w:pPr>
        <w:jc w:val="both"/>
        <w:ind w:firstLine="648"/>
        <w:spacing w:after="0" w:line="291" w:lineRule="auto"/>
        <w:rPr>
          <w:sz w:val="20"/>
          <w:szCs w:val="20"/>
          <w:color w:val="auto"/>
        </w:rPr>
      </w:pPr>
      <w:r>
        <w:rPr>
          <w:rFonts w:ascii="Arial" w:cs="Arial" w:eastAsia="Arial" w:hAnsi="Arial"/>
          <w:sz w:val="16"/>
          <w:szCs w:val="16"/>
          <w:color w:val="auto"/>
        </w:rPr>
        <w:t>Finally, the acquisition of companies and assets are subject to substantial risks, including the failure to identify material problems during due diligence (for which the Company may not be indemnified post-closing), the risk of overpaying for assets (or not making acquisitions on an accretive basis) and the ability to retain customers. Further,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As a result, the consummation of acquisitions may have a material adverse effect on the Company's business, financial condition, results of operations, cash flows and ability to pay distributions to Clearway, Inc. and CEG.</w:t>
      </w:r>
    </w:p>
    <w:p>
      <w:pPr>
        <w:spacing w:after="0" w:line="113"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Even if the Company consummates acquisitions that it believes will be accretive to CAFD, those acquisitions may decrease CAFD as a result of incorrect assumptions in the Company’s evaluation of such acquisitions, unforeseen consequences or other external events beyond the Company’s control.</w:t>
      </w:r>
    </w:p>
    <w:p>
      <w:pPr>
        <w:spacing w:after="0" w:line="1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acquisition of existing generation assets involves the risk of overpaying for such projects (or not making acquisitions on an accretive basis) and failing to retain the customers of such projects. While the Company will perform due diligence on prospective acquisitions, the Company may not discover all potential risks, operational issues or other issues in such generation assets. Further, the integration and consolidation of acquisitions require substantial human, financial and other resources and, ultimately, the Company’s acquisitions may divert the Company’s management’s attention from its existing business concerns, disrupt its ongoing business or not be successfully integrated. Future acquisitions might not perform as expected or the returns from such acquisitions might not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unitholders. Any failure of the Company’s acquired generation assets to be accretive or difficulty in integrating such acquisition into the Company’s business could have a material adverse effect on the Company’s ability to grow its business and make cash distributions to its unitholders.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Company’s indebtedness could adversely affect its ability to raise additional capital to fund the Company’s operations or pay distributions.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1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2019, the Company had approximately $6,857 million of total consolidated indebtedness, $5,175 million of which was incurred by the Company's non-guarantor subsidiaries. In addition, the Company’s share of its unconsolidated affiliates’ total indebtedness and letters of credit outstanding as of December 31, 2019, totaled approximately $889 million and $83 million, respectively (calculated as the Company’s unconsolidated affiliates’ total indebtedness as of such date multiplied by the Company’s percentage membership interest in such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substantial debt could have important negative consequences on the Company’s financial condition, including:</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the Company’s vulnerability to general economic and industry conditions;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a substantial portion of the Company’s cash flow from operations to be dedicated to the payment of principal and interest on the Company’s indebtedness, therefore reducing the Company’s ability to pay distributions to Clearway, Inc. and CEG or to use the Company’s cash flow to fund its operations, capital expenditures and future business opportunities;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the Company’s ability to enter into long-term power sales or fuel purchases which require credit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the Company’s ability to fund operations or future acquisitions;</w:t>
      </w:r>
    </w:p>
    <w:p>
      <w:pPr>
        <w:spacing w:after="0" w:line="9"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the Company’s ability to make certain distributions to Clearway, Inc. and CEG and the ability of the Company’s subsidiaries to make certain distributions to it, in light of restricted payment and other financial covenants in the Company’s credit facilities and other financing agreements;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exposing the Company to the risk of increased interest rates because certain of the Company’s borrowings, which may include borrowings under the Company’s revolving credit facility, are at variable rates of interest;</w:t>
      </w: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the Company’s ability to obtain additional financing for working capital including collateral postings, capital expenditures, debt service requirements, acquisitions and general corporate or other purposes; and</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the Company’s ability to adjust to changing market conditions and placing it at a competitive disadvantage compared to the Company’s competitors who have less debt.</w:t>
      </w:r>
    </w:p>
    <w:p>
      <w:pPr>
        <w:spacing w:after="0" w:line="13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distributions, and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08"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previously discussed, the PG&amp;E Bankruptcy filing has triggered defaults under the PPAs with PG&amp;E and under the related financing agreements for each respective facility, all of which have non-recourse project level debt and in certain cases, holding company debt. 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distributions to Clearway, Inc. and CEG.</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Letter of credit facilities to support project-level contractual obligations generally need to be renewed after five to seven years, at which time the Company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Company’s ability to arrange financing, either at the corporate level or at a non-recourse project-level subsidiary, and the costs of such capital, are dependent on numerous factors, including:</w:t>
      </w:r>
    </w:p>
    <w:p>
      <w:pPr>
        <w:spacing w:after="0" w:line="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availability from banks and other financial institutions;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investor confidence in the Company, its partners, Clearway, Inc. (as the Company's sole managing member), or GIP, through CEG, as Clearway, Inc.'s principal stockholder (on a combined voting basis) and the regional wholesale power markets;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financial performance and the financial performance of the Company subsidiaries;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level of indebtedness and compliance with covenants in debt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maintenance of acceptable project credit ratings or credit quality;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of tax and securities laws that may impact raising capital.</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the London Interbank Offered Rate, or the replacement of the London Interbank Offered Rate with an alternative reference rate, may adversely affect interest expense related to outstanding debt.</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Amounts drawn under the Company's revolving credit facility and certain of the Company's project-level debt facilities currently bear interest at rates based on the London Interbank Offered Rate, or LIBOR. On July 27, 2017, the Financial Conduct Authority in the United Kingdom announced that it would phase out LIBOR as a benchmark by the end of 2021. It is unclear whether new methods of calculating LIBOR will be established such that it continues to exist after 2021. While the Company's revolving credit facility includes a mechanism to amend the facilities to reflect the establishment of an alternative rate of interest upon the occurrence of certain events related to the phase-out of LIBOR, many of the Company's project-level debt facilities and swap arrangements do not. The Company has not yet pursued any technical amendments or other contractual alternatives to address this matter and is currently evaluating the impact of the potential replacement of LIBOR. If no such amendments or other contractual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72" w:lineRule="auto"/>
        <w:rPr>
          <w:sz w:val="20"/>
          <w:szCs w:val="20"/>
          <w:color w:val="auto"/>
        </w:rPr>
      </w:pPr>
      <w:r>
        <w:rPr>
          <w:rFonts w:ascii="Arial" w:cs="Arial" w:eastAsia="Arial" w:hAnsi="Arial"/>
          <w:sz w:val="17"/>
          <w:szCs w:val="17"/>
          <w:color w:val="auto"/>
        </w:rPr>
        <w:t>alternatives are established on or prior to the phase-out of LIBOR, interest under the Company's revolving credit facility and other project-level debt facilities will bear interest at higher rates based on the prime rate until such amendments or other contractual amendments are established. Even if the Company has entered into interest rate swaps or other derivative instruments for purposes of managing its interest rate exposure, these hedging strategies may not be effective as a result of the replacement or phasing out of LIBOR, and the Company may incur losses as a result. In addition, the overall financial markets may be disrupted as a result of the phase-out or replacement of LIBOR. The potential increase in the Company’s interest expense as a result of the phase-out of LIBOR and uncertainty as to the nature of such potential phase-out and alternative reference rates or disruption in the financial market could have an adverse effect on the Company's business, financial condition, results of operations and cash flows.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the Company's long-term bilateral contracts result from state-mandated procurements and could be declared invalid by a court of competent jurisdiction.</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significant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generation of electric energy from solar and wind energy sources depends heavily on suitable meteorological conditions.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Furthermore, components of the Company's systems, such as solar panels and inverters, could be damaged by severe weather, such as wildfires, hailstorms or tornadoes.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In addition, climate change may have the long-term effect of changing wind patterns at the Company's projects. Changing wind patterns could cause changes in expected electricity generation. These events could also degrade equipment or components and the interconnection and transmission facilities’ lives or maintenance costs.</w:t>
      </w:r>
    </w:p>
    <w:p>
      <w:pPr>
        <w:spacing w:after="0" w:line="12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908" w:right="2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Power generation involves hazardous activities, including acquiring, transporting and unloading fuel, operating large pieces of rotating equipment and delivering electricity to transmission and distribution systems.</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Maintenance, expansion and refurbishment of electric generation facilities involve significant risks that could result in unplanned power outages or reduced output.</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distributions to Clearway, Inc. and CEG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CAA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facilities may operate, wholly or partially, without long-term power sales agreements.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1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Approximately 451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approximately 380 MW of capacity from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 to charge, and the revenues the Company is authorized to earn, may or may not match the costs at any given time. If the Company's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costs are not adequately recovered through these regulatory processes, it could have a material adverse effect on the business, financial condition, results of operations and cash flows.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Supplier and/or customer concentration at certain of the Company's facilities may expose the Company to significant financial credit or performance risks.</w:t>
      </w:r>
    </w:p>
    <w:p>
      <w:pPr>
        <w:spacing w:after="0" w:line="11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1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w:t>
      </w:r>
    </w:p>
    <w:p>
      <w:pPr>
        <w:spacing w:after="0" w:line="1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As described in Item 15 —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11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approval of co-venturers may also be required for the Company to receive distributions of funds from assets or to sell, pledge, transfer, assign or otherwise convey its interest in such assets, or for the Company to acquire GIP's or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10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Furthermore, certain of the Company's facilities are operated by third-party operators, such as First Solar. To the extent that third-party operators do not fulfill their obligations to manage operations of the facilities or are not effective in doing so, the amount of CAFD may be adversely affected.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08" w:right="2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assets are exposed to risks inherent in the use of interest rate swaps and forward fuel purchase contracts and the Company may be exposed to additional risks in the future if it utilizes other derivative instruments.</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uses interest rate swaps to manage interest rate risk. In addition, the Company uses forward fuel purchase contracts to hedge its limited commodity exposure with respect to the Company's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is subject to restrictions resulting from environmental, health and safety laws and regulations.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does not own all of the land on which its power generation or thermal assets are located, which could result in disruption to its operations.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does not own all of the land on which its power generation or thermal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and thermal infrastructure assets.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308" w:lineRule="auto"/>
        <w:rPr>
          <w:sz w:val="20"/>
          <w:szCs w:val="20"/>
          <w:color w:val="auto"/>
        </w:rPr>
      </w:pPr>
      <w:r>
        <w:rPr>
          <w:rFonts w:ascii="Arial" w:cs="Arial" w:eastAsia="Arial" w:hAnsi="Arial"/>
          <w:sz w:val="17"/>
          <w:szCs w:val="17"/>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or Texas within the footprint of ERCOT,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2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of the Company's generating assets are operating either as EWGs as defined under the PUHCA, or as QFs as defined under the PURPA, as amended, and therefore are exempt from certain regulation under the PUHCA and the FPA. If a facility fails to maintain its status as an EWG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13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businesses are subject to physical, market and economic risks relating to potential effects of climate change.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Climate change creates uncertainty in weather and other environmental conditions, including temperature and precipitation levels, and thus may affect consumer demand for electricity. In addition, the potential physical effects of climate change, such as increased frequency and severity of storms, cloud coverage, precipitation, floods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GHG regulation could increase the cost of electricity generated by fossil fuels, and such increases could reduce demand for the power the Company's conventional assets generate and market. Legislative and regulatory measures to address climate change and GHG emissions are in various phases of discussion or implementation. The EPA regulates GHG emissions from new and modified facilities that are potential major sources of criteria pollutants under the Clean Air Act's Prevention of Significant Deterioration and Title V programs and has adopted regulations that require, among other things, preconstruction and operating permits for certain large stationary sources and the monitoring and reporting of GHGs from certain onshore oil and natural gas production sources on an annual basis.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 addition, in 2015, the U.S., Canada and the U.K. participated in the United Nations Conference on Climate Change, which led to the creation of the Paris Agreement. The Paris Agreement, which was signed by the U.S. in April 2016, requires countries to review and “represent a progression” in their intended nationally determined contributions (which set GHG emission reduction goals) every five years beginning in 2020. In November 2019, the U.S. submitted formal notification to the United Nations that it intends to withdraw from the Paris Agreement in November 2020. There are no guarantees that the agreement will not be re-implemented in the U.S., or re-implemented in part by specific U.S. states or local governments. The U.S. Congress, along with federal and state agencies, </w:t>
      </w:r>
      <w:r>
        <w:rPr>
          <w:rFonts w:ascii="Arial" w:cs="Arial" w:eastAsia="Arial" w:hAnsi="Arial"/>
          <w:sz w:val="16"/>
          <w:szCs w:val="16"/>
          <w:color w:val="231F20"/>
        </w:rPr>
        <w:t>has</w:t>
      </w:r>
      <w:r>
        <w:rPr>
          <w:rFonts w:ascii="Arial" w:cs="Arial" w:eastAsia="Arial" w:hAnsi="Arial"/>
          <w:sz w:val="16"/>
          <w:szCs w:val="16"/>
          <w:color w:val="auto"/>
        </w:rPr>
        <w:t xml:space="preserve"> also considered measures to reduce the emissions of GHGs. Legislation or regulation that restricts carbon emissions could increase the cost of environmental compliance for the Company’s conventional assets by requiring the Company to install new equipment to reduce emissions from larger facilities and/or purchase emission allowances. Climate change and GHG legislation or regulation could also delay or otherwise negatively affect efforts to obtain and maintain permits and other regulatory approvals for the Company’s conventional assets’ existing and new facilities, impose additional monitoring and reporting requirements or adversely affect demand for the natural gas we gather, transport and store. Conversely, legislation or regulation that sets a price on or otherwise restricts carbon emissions could also benefit the Company by increasing demand for solar or wind energy sources. In addition, governmental, scientific and public concern over the threat of climate change arising from GHG emissions has resulted in increasing political risks in the U.S., including climate change related pledges made by certain candidates in the U.S. presidential campaign. The effect on the Company of any new legislative or regulatory measures will depend on the particular provisions that are ultimately adopted.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381" w:lineRule="auto"/>
        <w:rPr>
          <w:sz w:val="20"/>
          <w:szCs w:val="20"/>
          <w:color w:val="auto"/>
        </w:rPr>
      </w:pPr>
      <w:r>
        <w:rPr>
          <w:rFonts w:ascii="Arial" w:cs="Arial" w:eastAsia="Arial" w:hAnsi="Arial"/>
          <w:sz w:val="15"/>
          <w:szCs w:val="15"/>
          <w:b w:val="1"/>
          <w:bCs w:val="1"/>
          <w:i w:val="1"/>
          <w:iCs w:val="1"/>
          <w:color w:val="auto"/>
        </w:rPr>
        <w:t>Risks that are beyond the Company's control, including but not limited to acts of terrorism or related acts of war, natural disaster, hostile cyber intrusions or other catastrophic events, could have a material adverse effect on the business, financial condition, results of operations and cash flows.</w:t>
      </w:r>
    </w:p>
    <w:p>
      <w:pPr>
        <w:spacing w:after="0" w:line="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Furthermore, certain of the Company's power generation and thermal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The occurrence of a natural disaster, such as an earthquake, wildfire, drought, flood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the Company’s businesses is subject to cyber-based security and integrity risk.</w:t>
      </w: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Potential disruptive actions could result from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the Company to incur significant losses of revenues, other substantial liabilities and damages, costs to replace or repair damaged equipment and damage to the Company's reputation. In addition, the Company may experience increased capital and operating costs to implement increased security for its cyber systems and generating assets.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Government regulations providing incentives for renewable generation could change at any time and such changes may negatively impact the Company's growth strategy.</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growth strategy depends in part on government policies that support renewable generation and enhance the economic viability of owning renewable electric generation assets. Renewable generation assets currently benefit from various federal, state and local governmental incentives such as ITCs, cash grants in lieu of ITCs, loan guarantees, RPS, programs, modified accelerated cost-recovery system of depreciation and bonus depreciation. In December 2015, the U.S. Congress enacted an extension of the 30% solar ITC so that projects that began construction in 2016 through 2019 will continue to qualify for the 30% ITC. Projects beginning construction in 2020 and 2021 will be eligible for the ITC at the rates of 26% and 22%, respectively. The same legislation also extended the 10-year wind PTC for wind projects that began construction in 2016 through 2019. Wind projects that began construction in 2018 or 2019 are eligible for PTCS at 60% and 40% of the statutory rate per kWh, respectively. In December 2019, the U.S. Congress extended the 10-year wind PTC for wind projects that begin construction in 2020, and such projects are eligible for PTCs at 60% of the statutory rate per kWh. The same legislation also extended an 18% ITC in lieu of the PTC for wind projects that begin construction in 2020.</w:t>
      </w:r>
    </w:p>
    <w:p>
      <w:pPr>
        <w:spacing w:after="0" w:line="12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ARRA included incentives to encourage investment in the renewable energy sector, such as cash</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grants in lieu of ITCs, bonus depreciation and expansion of the U.S. DOE loan guarantee program. It is uncertain what loan guarantees may be made by the U.S. DOE loan guarantee program in the future.</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Company is unable to utilize various federal, state and local government incentives to acquire additional renewable assets in the future, or the terms of such incentives are revised in a manner that is less favorable to the Company, it may suffer a material adverse effect on the business, financial condition, results of operations and cash flows.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Company is deemed to be an investment company, the Company may be required to institute burdensome compliance requirements and the Company's activities may be restricted, which may make it difficult for the Company to complete strategic acquisitions or effect combinations.</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Company is deemed to be an investment company under the Investment Company Act of 1940, or the Investment Company Act, the Company's business would be subject to applicable restrictions under the Investment Company Act, which could make it impracticable for the Company to continue its business as contemplated.</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believes it is not an investment company under Section 3(b)(1) of the Investment Company Act because the Company is primarily engaged in a non-investment company business. The Company intends to conduct its operations so that the Company will not be deemed an investment company. However, if the Company were to be deemed an investment company, restrictions imposed by the Investment Company Act, including limitations on the Company's capital structure and the Company's ability to transact with affiliates, could make it impractical for the Company to continue its business as contemplated.</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depends on key personnel, the loss of any of which could have a material adverse effect on the Company's financial condition and results of operations.</w:t>
      </w:r>
    </w:p>
    <w:p>
      <w:pPr>
        <w:spacing w:after="0" w:line="11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believes its current operations and future success depend largely on the continued services of key personnel that it employs. Although the Company currently has access to the resources of CEG, the loss of key personnel employed by the Company could have a material adverse effect on the Company’s financial condition and results of operations.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the Company's Relationships with GIP and CEG</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GIP, through its ownership of CEG, exercises substantial influence over the Company through its position as controlling shareholder of Clearway,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highly dependent on GIP.</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GIP, through its ownership of CEG, owns all of the outstanding Class B and Class D common stock of Clearway, Inc. and owns 54.95% of the combined voting power of Clearway, Inc. as of December 31, 2019. As a result of GIP's ownership of Clearway, Inc. and Clearway, Inc.'s position as sole managing member of the Company, GIP has a substantial influence on the Company's affairs and its voting power will constitute a large percentage of any quorum of Clearway, Inc.'s stockholders voting on any matter requiring the approval of its stockholders. Such matters include the approval of mergers or sale of all or substantially all of its assets. This concentration of ownership may also have the effect of delaying or preventing a change in control of Clearway, Inc. or discouraging others from making tender offers for their shares. In addition, GIP has the right to elect all of Clearway, Inc.'s directors. GIP may cause corporate actions to be taken even if their interests conflict with the interests of Clearway, Inc.'s other stockholders (including holders of Clearway, Inc.'s Class A and Class C common stock).</w:t>
      </w:r>
    </w:p>
    <w:p>
      <w:pPr>
        <w:spacing w:after="0" w:line="1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Furthermore, the Company depends on certain services provided by or under the direction of CEG under the CEG Master Services Agreement.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also depends upon CEG and NRG for the provision of management, administration, O&amp;M and certain other services at certain of the Company's facilities. Any failure by CEG or NRG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GIP and its affiliates control the Company and have the ability to designate a majority of the members of Clearway, Inc.'s Board.</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Due to GIP's approximate 54.95% combined voting power in Clearway, Inc., the ability of other holders of Clearway, Inc.’s Class A and Class C common stock to exercise control over the corporate governance of the Company is limited. GIP and its affiliates have a substantial influence on Clearway, Inc.’s affairs and its voting power constitutes a large percentage of any quorum of Clearway, Inc.’s stockholders voting on any matter requiring the approval of Clearway, Inc.’s stockholders. GIP and its affiliates may hold certain interests that are different from those of the Company or other holders of Clearway, Inc.'s Class A and Class C common stock and there is no assurance that GIP and its affiliates will exercise its control over the Company in a manner that is consistent with the Company’s interests or those of the holders of Clearway, Inc.'s Class A and Class C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consummate future acquisitions from CEG.</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ability to grow through acquisitions depends, in part, on CEG's ability to identify and present the Company with acquisition opportunities. Although CEG has agreed, pursuant to the CEG ROFO Agreement, to grant the Company a right of first offer with respect to certain power generation assets that CEG may elect to sell in the future, CEG is under no obligation to sell any such power generation assets or to accept any related offers from the Company. In addition, CEG has not agreed to commit any minimum level of dedicated resources for the pursuit of renewable power-related acquisitions. There are a number of factors which could materially and adversely impact the extent to which suitable acquisition opportunities are made available from CEG, including that the same professionals within CEG's organization that are involved in acquisitions that are suitable for the Company have responsibilities within CEG's broader asset management business, which may include sourcing acquisition opportunities for CEG. Limits on the availability of such individuals will likewise result in a limitation on the availability of acquisition opportunities for the Company. In making these determinations, CEG may be influenced by factors that result in a misalignment with the Company's interests or conflict of interest.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The Company may be unable to terminate the CEG Master Services Agreement, in certain circumstances.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180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relies on CEG to provide certain services under the CEG Master Services Agreement. The CEG Master Services Agreement provides that CEG may terminate the agreement upon 180 days prior written notice of termination to the Company if the Company defaults in the performance or observance of any material term, condition or covenant contained in the agreement in a manner that results in material harm and the default continues unremedied for a period of 30 days after written notice of the breach is given. If CEG terminates the Management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liability of CEG is limited under the Company's arrangements with it and the Company has agreed to indemnify CEG against claims that it may face in connection with such arrangements, which may lead CEG to assume greater risks when making decisions relating to the Company than it otherwise might if acting solely for its own account.</w:t>
      </w:r>
    </w:p>
    <w:p>
      <w:pPr>
        <w:spacing w:after="0" w:line="1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CEG tolerating greater risks when making decisions than otherwise might be the case, including when determining whether to use leverage in connection with acquisitions. The indemnification arrangements to which CEG is a party may also give rise to legal claims for indemnification that are adverse to the Company and holders of its common stock.</w:t>
      </w:r>
    </w:p>
    <w:p>
      <w:pPr>
        <w:spacing w:after="0" w:line="115"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Certain of the Company’s PPAs and project-level financing arrangements include provisions that would permit the counterparty to terminate the contract or accelerate maturity in the event GIP or its affiliates ceases to control or own, directly or indirectly, a majority of the voting power of the Company.</w:t>
      </w:r>
    </w:p>
    <w:p>
      <w:pPr>
        <w:spacing w:after="0" w:line="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GIP or its affiliates ceases to own, directly or indirectly, capital stock representing more than 50% of the voting power of the Company’s capital stock outstanding on such date, or, in some cases, if GIP or its affiliates ceases to be the majority owner, directly or indirectly, of the applicable project subsidiary. As a result, if GIP or its affiliates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08"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This Annual Report on Form 10-K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the following:</w:t>
      </w:r>
    </w:p>
    <w:p>
      <w:pPr>
        <w:spacing w:after="0" w:line="12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risks related to the PG&amp;E Bankruptcy;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ability to successfully transition services previously provided by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descriptions of the Company's interests in facilities, operations and/or projects owned or leased as of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348"/>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Rated</w:t>
            </w:r>
          </w:p>
        </w:tc>
        <w:tc>
          <w:tcPr>
            <w:tcW w:w="680" w:type="dxa"/>
            <w:vAlign w:val="bottom"/>
            <w:vMerge w:val="restart"/>
          </w:tcPr>
          <w:p>
            <w:pPr>
              <w:jc w:val="right"/>
              <w:ind w:right="148"/>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Owner-</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ind w:left="1040"/>
              <w:spacing w:after="0"/>
              <w:rPr>
                <w:sz w:val="20"/>
                <w:szCs w:val="20"/>
                <w:color w:val="auto"/>
              </w:rPr>
            </w:pPr>
            <w:r>
              <w:rPr>
                <w:rFonts w:ascii="Arial" w:cs="Arial" w:eastAsia="Arial" w:hAnsi="Arial"/>
                <w:sz w:val="16"/>
                <w:szCs w:val="16"/>
                <w:b w:val="1"/>
                <w:bCs w:val="1"/>
                <w:color w:val="auto"/>
                <w:w w:val="88"/>
              </w:rPr>
              <w:t>PPA Terms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2"/>
                <w:szCs w:val="22"/>
                <w:color w:val="auto"/>
              </w:rPr>
            </w:pP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Location</w:t>
            </w: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MW</w:t>
            </w: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48"/>
              <w:spacing w:after="0" w:line="264" w:lineRule="exact"/>
              <w:rPr>
                <w:sz w:val="20"/>
                <w:szCs w:val="20"/>
                <w:color w:val="auto"/>
              </w:rPr>
            </w:pPr>
            <w:r>
              <w:rPr>
                <w:rFonts w:ascii="Arial" w:cs="Arial" w:eastAsia="Arial" w:hAnsi="Arial"/>
                <w:sz w:val="30"/>
                <w:szCs w:val="30"/>
                <w:b w:val="1"/>
                <w:bCs w:val="1"/>
                <w:color w:val="auto"/>
                <w:vertAlign w:val="subscript"/>
              </w:rPr>
              <w:t>MW</w:t>
            </w:r>
            <w:r>
              <w:rPr>
                <w:rFonts w:ascii="Arial" w:cs="Arial" w:eastAsia="Arial" w:hAnsi="Arial"/>
                <w:sz w:val="10"/>
                <w:szCs w:val="10"/>
                <w:b w:val="1"/>
                <w:bCs w:val="1"/>
                <w:color w:val="auto"/>
              </w:rPr>
              <w:t>(a)</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ship</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Fuel</w:t>
            </w:r>
          </w:p>
        </w:tc>
        <w:tc>
          <w:tcPr>
            <w:tcW w:w="100" w:type="dxa"/>
            <w:vAlign w:val="bottom"/>
          </w:tcPr>
          <w:p>
            <w:pPr>
              <w:spacing w:after="0"/>
              <w:rPr>
                <w:sz w:val="22"/>
                <w:szCs w:val="22"/>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COD</w:t>
            </w:r>
          </w:p>
        </w:tc>
        <w:tc>
          <w:tcPr>
            <w:tcW w:w="100" w:type="dxa"/>
            <w:vAlign w:val="bottom"/>
          </w:tcPr>
          <w:p>
            <w:pPr>
              <w:spacing w:after="0"/>
              <w:rPr>
                <w:sz w:val="22"/>
                <w:szCs w:val="22"/>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Counterparty</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rPr>
                <w:sz w:val="1"/>
                <w:szCs w:val="1"/>
                <w:color w:val="auto"/>
              </w:rPr>
            </w:pPr>
          </w:p>
        </w:tc>
      </w:tr>
      <w:tr>
        <w:trPr>
          <w:trHeight w:val="231"/>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Conventional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Carlsbad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Carlsbad, CA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2018</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San Diego Gas &amp;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El Segundo</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El Segundo, CA</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August 2013</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GenConn Devon</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Milford, CT</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Gas/Oil</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2010</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Connecticut Light &amp; Power</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GenConn Middletown</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Middletown, CT</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Natural Gas/Oil</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June 2011</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Connecticut Light &amp; Power</w:t>
            </w:r>
          </w:p>
        </w:tc>
        <w:tc>
          <w:tcPr>
            <w:tcW w:w="1020" w:type="dxa"/>
            <w:vAlign w:val="bottom"/>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Marsh Landing</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Antioch, CA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May 2013</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Walnut Creek</w:t>
            </w:r>
          </w:p>
        </w:tc>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City of Industry, CA</w:t>
            </w: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Natural Gas</w:t>
            </w:r>
          </w:p>
        </w:tc>
        <w:tc>
          <w:tcPr>
            <w:tcW w:w="1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May 2013</w:t>
            </w:r>
          </w:p>
        </w:tc>
        <w:tc>
          <w:tcPr>
            <w:tcW w:w="1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56"/>
        </w:trPr>
        <w:tc>
          <w:tcPr>
            <w:tcW w:w="1740" w:type="dxa"/>
            <w:vAlign w:val="bottom"/>
            <w:gridSpan w:val="2"/>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w w:val="93"/>
              </w:rPr>
              <w:t>Total Conventional</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2,662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2,472</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Utility Scale Solar</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Agua Caliente</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Dateland, AZ</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2014</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Alpine</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Lancaster, CA</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January 2013</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Pacific Gas and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Avenal</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Avenal, CA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August 2011</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Avra Valley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Pima County, AZ</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December 2012</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Tucson Electric Power</w:t>
            </w:r>
          </w:p>
        </w:tc>
        <w:tc>
          <w:tcPr>
            <w:tcW w:w="1020" w:type="dxa"/>
            <w:vAlign w:val="bottom"/>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Blythe</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Blythe, CA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2009</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Borrego</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Borrego Springs, CA</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February 2013</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San Diego Gas and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63"/>
        </w:trPr>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 of Georgetown,</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Buckthorn Solar </w:t>
            </w:r>
            <w:r>
              <w:rPr>
                <w:rFonts w:ascii="Arial" w:cs="Arial" w:eastAsia="Arial" w:hAnsi="Arial"/>
                <w:sz w:val="8"/>
                <w:szCs w:val="8"/>
                <w:color w:val="auto"/>
              </w:rPr>
              <w:t>(b)</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TX</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July 2018</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City of Georgetown, TX</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CVSR</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San Luis Obispo, CA</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October 2013</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Pacific Gas and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Desert Sunlight 250</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Desert Center, CA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2014</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Desert Sunlight 300</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Desert Center, CA</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December 2014</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Pacific Gas and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Kansas South</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Lemoore, CA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2013</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 xml:space="preserve">Kawailoa </w:t>
            </w:r>
            <w:r>
              <w:rPr>
                <w:rFonts w:ascii="Arial" w:cs="Arial" w:eastAsia="Arial" w:hAnsi="Arial"/>
                <w:sz w:val="8"/>
                <w:szCs w:val="8"/>
                <w:color w:val="auto"/>
              </w:rPr>
              <w:t>(b)</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Oahu, HI</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November 2019</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Hawaiian Electric Company</w:t>
            </w:r>
          </w:p>
        </w:tc>
        <w:tc>
          <w:tcPr>
            <w:tcW w:w="1020" w:type="dxa"/>
            <w:vAlign w:val="bottom"/>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8"/>
                <w:szCs w:val="8"/>
                <w:color w:val="auto"/>
              </w:rPr>
              <w:t>(b)</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Oahu, HI</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2019</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Hawaiian Electric Company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Roadrunner</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Santa Teresa, NM</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August 2011</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El Paso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 High Desert</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Lancaster, CA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2013</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8"/>
                <w:szCs w:val="8"/>
                <w:color w:val="auto"/>
              </w:rPr>
              <w:t>(b)</w:t>
            </w:r>
          </w:p>
        </w:tc>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various</w:t>
            </w: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530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July - September 2016</w:t>
            </w:r>
          </w:p>
        </w:tc>
        <w:tc>
          <w:tcPr>
            <w:tcW w:w="1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PacifiCorp</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256"/>
        </w:trPr>
        <w:tc>
          <w:tcPr>
            <w:tcW w:w="3240" w:type="dxa"/>
            <w:vAlign w:val="bottom"/>
            <w:gridSpan w:val="4"/>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Total Utility Scale Solar</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2,128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Distributed Solar</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October 2012 -</w:t>
            </w: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Apple I LLC Projects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2012</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Various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December 2010 -</w:t>
            </w: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AZ DG Solar Projects</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AZ</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January 2013</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1020" w:type="dxa"/>
            <w:vAlign w:val="bottom"/>
          </w:tcPr>
          <w:p>
            <w:pPr>
              <w:jc w:val="right"/>
              <w:spacing w:after="0"/>
              <w:rPr>
                <w:sz w:val="20"/>
                <w:szCs w:val="20"/>
                <w:color w:val="auto"/>
              </w:rPr>
            </w:pPr>
            <w:r>
              <w:rPr>
                <w:rFonts w:ascii="Arial" w:cs="Arial" w:eastAsia="Arial" w:hAnsi="Arial"/>
                <w:sz w:val="14"/>
                <w:szCs w:val="14"/>
                <w:color w:val="auto"/>
              </w:rPr>
              <w:t>2025 - 2033</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SPP Projects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2008 - June 2012</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Various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2026 - 2037</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October 2012 - October</w:t>
            </w: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Other DG Projects</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480" w:type="dxa"/>
            <w:vAlign w:val="bottom"/>
          </w:tcPr>
          <w:p>
            <w:pPr>
              <w:ind w:left="4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6"/>
                <w:szCs w:val="16"/>
                <w:color w:val="auto"/>
              </w:rPr>
            </w:pP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1020" w:type="dxa"/>
            <w:vAlign w:val="bottom"/>
          </w:tcPr>
          <w:p>
            <w:pPr>
              <w:jc w:val="right"/>
              <w:spacing w:after="0"/>
              <w:rPr>
                <w:sz w:val="20"/>
                <w:szCs w:val="20"/>
                <w:color w:val="auto"/>
              </w:rPr>
            </w:pPr>
            <w:r>
              <w:rPr>
                <w:rFonts w:ascii="Arial" w:cs="Arial" w:eastAsia="Arial" w:hAnsi="Arial"/>
                <w:sz w:val="14"/>
                <w:szCs w:val="14"/>
                <w:color w:val="auto"/>
              </w:rPr>
              <w:t>2023 - 2039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90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0"/>
        </w:trPr>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348"/>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Rated</w:t>
            </w:r>
          </w:p>
        </w:tc>
        <w:tc>
          <w:tcPr>
            <w:tcW w:w="680" w:type="dxa"/>
            <w:vAlign w:val="bottom"/>
            <w:vMerge w:val="restart"/>
          </w:tcPr>
          <w:p>
            <w:pPr>
              <w:jc w:val="right"/>
              <w:ind w:right="148"/>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Owner-</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ind w:left="1040"/>
              <w:spacing w:after="0"/>
              <w:rPr>
                <w:sz w:val="20"/>
                <w:szCs w:val="20"/>
                <w:color w:val="auto"/>
              </w:rPr>
            </w:pPr>
            <w:r>
              <w:rPr>
                <w:rFonts w:ascii="Arial" w:cs="Arial" w:eastAsia="Arial" w:hAnsi="Arial"/>
                <w:sz w:val="16"/>
                <w:szCs w:val="16"/>
                <w:b w:val="1"/>
                <w:bCs w:val="1"/>
                <w:color w:val="auto"/>
                <w:w w:val="88"/>
              </w:rPr>
              <w:t>PPA Terms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Assets</w:t>
            </w:r>
          </w:p>
        </w:tc>
        <w:tc>
          <w:tcPr>
            <w:tcW w:w="154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Location</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MW</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48"/>
              <w:spacing w:after="0" w:line="264" w:lineRule="exact"/>
              <w:rPr>
                <w:sz w:val="20"/>
                <w:szCs w:val="20"/>
                <w:color w:val="auto"/>
              </w:rPr>
            </w:pPr>
            <w:r>
              <w:rPr>
                <w:rFonts w:ascii="Arial" w:cs="Arial" w:eastAsia="Arial" w:hAnsi="Arial"/>
                <w:sz w:val="30"/>
                <w:szCs w:val="30"/>
                <w:b w:val="1"/>
                <w:bCs w:val="1"/>
                <w:color w:val="auto"/>
                <w:vertAlign w:val="subscript"/>
              </w:rPr>
              <w:t>MW</w:t>
            </w:r>
            <w:r>
              <w:rPr>
                <w:rFonts w:ascii="Arial" w:cs="Arial" w:eastAsia="Arial" w:hAnsi="Arial"/>
                <w:sz w:val="10"/>
                <w:szCs w:val="10"/>
                <w:b w:val="1"/>
                <w:bCs w:val="1"/>
                <w:color w:val="auto"/>
              </w:rPr>
              <w:t>(a)</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ship</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Fuel</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COD</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Counterparty</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rPr>
                <w:sz w:val="1"/>
                <w:szCs w:val="1"/>
                <w:color w:val="auto"/>
              </w:rPr>
            </w:pPr>
          </w:p>
        </w:tc>
      </w:tr>
      <w:tr>
        <w:trPr>
          <w:trHeight w:val="264"/>
        </w:trPr>
        <w:tc>
          <w:tcPr>
            <w:tcW w:w="3240" w:type="dxa"/>
            <w:vAlign w:val="bottom"/>
            <w:gridSpan w:val="3"/>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Total Distributed Solar</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Wind</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I</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Tehachapi, CA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2010</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rPr>
              <w:t>Alta II</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Tehachapi, CA</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December 2010</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III</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Tehachapi, CA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February 2011</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rPr>
              <w:t>Alta IV</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Tehachapi, CA</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March 2011</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V</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Tehachapi, CA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April 2011</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Tehachapi, CA</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February 2014</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Tehachapi, CA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February 2014</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Western Farmers Electric</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Buffalo Bear</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Buffalo, OK</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December 2008</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Co-operative</w:t>
            </w:r>
          </w:p>
        </w:tc>
        <w:tc>
          <w:tcPr>
            <w:tcW w:w="1020" w:type="dxa"/>
            <w:vAlign w:val="bottom"/>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Corn Belt Power</w:t>
            </w: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Crosswinds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Ayrshire, IA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2007</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Cooperative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Howard County, TX</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December 2008</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102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Nebraska Public Power</w:t>
            </w: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Elkhorn Ridge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Bloomfield, NE</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2009</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District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Constellation NewEnergy,</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Forward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Berlin, PA</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April 2008</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Inc.</w:t>
            </w:r>
          </w:p>
        </w:tc>
        <w:tc>
          <w:tcPr>
            <w:tcW w:w="1020" w:type="dxa"/>
            <w:vAlign w:val="bottom"/>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Goat Wind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Sterling City, TX</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April 2008/June 2009</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Dow Pipeline Company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Interstate Power and Light</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Hardin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Jefferson, IA</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May 2007</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Company</w:t>
            </w:r>
          </w:p>
        </w:tc>
        <w:tc>
          <w:tcPr>
            <w:tcW w:w="1020" w:type="dxa"/>
            <w:vAlign w:val="bottom"/>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Nebraska Public Power</w:t>
            </w: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Laredo Ridge</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Petersburg, NE</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February 2011</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District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Southern Maryland Electric</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Berlin, PA</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October 2008</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Cooperative</w:t>
            </w:r>
          </w:p>
        </w:tc>
        <w:tc>
          <w:tcPr>
            <w:tcW w:w="1020" w:type="dxa"/>
            <w:vAlign w:val="bottom"/>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Missouri River Energy</w:t>
            </w: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Odin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Odin, MN</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2008</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Maryland Department of</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General Services and</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University System of</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Pinnacle</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Keyser, WV</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December 2011</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102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Southwestern Public</w:t>
            </w: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San Juan Mesa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Elida, NM</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2005</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Service Company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Public Service Company of</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Sleeping Bear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Woodward, OK</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October 2007</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Oklahoma</w:t>
            </w:r>
          </w:p>
        </w:tc>
        <w:tc>
          <w:tcPr>
            <w:tcW w:w="1020" w:type="dxa"/>
            <w:vAlign w:val="bottom"/>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South Trent</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Sweetwater, TX</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January 2009</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AEP Energy Partners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Spanish Fork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Spanish Fork, UT</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July 2008</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PacifiCorp</w:t>
            </w:r>
          </w:p>
        </w:tc>
        <w:tc>
          <w:tcPr>
            <w:tcW w:w="1020" w:type="dxa"/>
            <w:vAlign w:val="bottom"/>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Platte River Power</w:t>
            </w: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Logan County, CO</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October 2014</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Authority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Platte River Power</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Spring Canyon III</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Logan County, CO</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December 2014</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Authority</w:t>
            </w:r>
          </w:p>
        </w:tc>
        <w:tc>
          <w:tcPr>
            <w:tcW w:w="1020" w:type="dxa"/>
            <w:vAlign w:val="bottom"/>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Taloga</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Putnam, OK</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July 2011</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Oklahoma Gas &amp;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Southwestern Public</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8"/>
                <w:szCs w:val="8"/>
                <w:color w:val="auto"/>
              </w:rPr>
              <w:t>(b)</w:t>
            </w:r>
          </w:p>
        </w:tc>
        <w:tc>
          <w:tcPr>
            <w:tcW w:w="1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Vega, TX</w:t>
            </w: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April 2007</w:t>
            </w:r>
          </w:p>
        </w:tc>
        <w:tc>
          <w:tcPr>
            <w:tcW w:w="1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Service Company</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256"/>
        </w:trPr>
        <w:tc>
          <w:tcPr>
            <w:tcW w:w="1580" w:type="dxa"/>
            <w:vAlign w:val="bottom"/>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Total Wind</w:t>
            </w: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2,263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Thermal Generation</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 Fuel Cell</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Tulare, CA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May 2018</w:t>
            </w:r>
          </w:p>
        </w:tc>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City of Tulare</w:t>
            </w:r>
          </w:p>
        </w:tc>
        <w:tc>
          <w:tcPr>
            <w:tcW w:w="120" w:type="dxa"/>
            <w:vAlign w:val="bottom"/>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8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349"/>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Rated</w:t>
            </w:r>
          </w:p>
        </w:tc>
        <w:tc>
          <w:tcPr>
            <w:tcW w:w="680" w:type="dxa"/>
            <w:vAlign w:val="bottom"/>
            <w:vMerge w:val="restart"/>
          </w:tcPr>
          <w:p>
            <w:pPr>
              <w:jc w:val="right"/>
              <w:ind w:right="149"/>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Owner-</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ind w:left="1040"/>
              <w:spacing w:after="0"/>
              <w:rPr>
                <w:sz w:val="20"/>
                <w:szCs w:val="20"/>
                <w:color w:val="auto"/>
              </w:rPr>
            </w:pPr>
            <w:r>
              <w:rPr>
                <w:rFonts w:ascii="Arial" w:cs="Arial" w:eastAsia="Arial" w:hAnsi="Arial"/>
                <w:sz w:val="16"/>
                <w:szCs w:val="16"/>
                <w:b w:val="1"/>
                <w:bCs w:val="1"/>
                <w:color w:val="auto"/>
                <w:w w:val="88"/>
              </w:rPr>
              <w:t>PPA Terms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2"/>
                <w:szCs w:val="22"/>
                <w:color w:val="auto"/>
              </w:rPr>
            </w:pP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Location</w:t>
            </w: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rPr>
              <w:t>MW</w:t>
            </w: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49"/>
              <w:spacing w:after="0" w:line="264" w:lineRule="exact"/>
              <w:rPr>
                <w:sz w:val="20"/>
                <w:szCs w:val="20"/>
                <w:color w:val="auto"/>
              </w:rPr>
            </w:pPr>
            <w:r>
              <w:rPr>
                <w:rFonts w:ascii="Arial" w:cs="Arial" w:eastAsia="Arial" w:hAnsi="Arial"/>
                <w:sz w:val="30"/>
                <w:szCs w:val="30"/>
                <w:b w:val="1"/>
                <w:bCs w:val="1"/>
                <w:color w:val="auto"/>
                <w:vertAlign w:val="subscript"/>
              </w:rPr>
              <w:t>MW</w:t>
            </w:r>
            <w:r>
              <w:rPr>
                <w:rFonts w:ascii="Arial" w:cs="Arial" w:eastAsia="Arial" w:hAnsi="Arial"/>
                <w:sz w:val="10"/>
                <w:szCs w:val="10"/>
                <w:b w:val="1"/>
                <w:bCs w:val="1"/>
                <w:color w:val="auto"/>
              </w:rPr>
              <w:t>(a)</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ship</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Fuel</w:t>
            </w:r>
          </w:p>
        </w:tc>
        <w:tc>
          <w:tcPr>
            <w:tcW w:w="100" w:type="dxa"/>
            <w:vAlign w:val="bottom"/>
          </w:tcPr>
          <w:p>
            <w:pPr>
              <w:spacing w:after="0"/>
              <w:rPr>
                <w:sz w:val="22"/>
                <w:szCs w:val="22"/>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COD</w:t>
            </w:r>
          </w:p>
        </w:tc>
        <w:tc>
          <w:tcPr>
            <w:tcW w:w="100" w:type="dxa"/>
            <w:vAlign w:val="bottom"/>
          </w:tcPr>
          <w:p>
            <w:pPr>
              <w:spacing w:after="0"/>
              <w:rPr>
                <w:sz w:val="22"/>
                <w:szCs w:val="22"/>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Counterparty</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rPr>
                <w:sz w:val="1"/>
                <w:szCs w:val="1"/>
                <w:color w:val="auto"/>
              </w:rPr>
            </w:pPr>
          </w:p>
        </w:tc>
      </w:tr>
      <w:tr>
        <w:trPr>
          <w:trHeight w:val="24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 xml:space="preserve">Dover </w:t>
            </w:r>
            <w:r>
              <w:rPr>
                <w:rFonts w:ascii="Arial" w:cs="Arial" w:eastAsia="Arial" w:hAnsi="Arial"/>
                <w:sz w:val="8"/>
                <w:szCs w:val="8"/>
                <w:color w:val="auto"/>
              </w:rPr>
              <w:t>(c)</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Dover, DE</w:t>
            </w:r>
          </w:p>
        </w:tc>
        <w:tc>
          <w:tcPr>
            <w:tcW w:w="700" w:type="dxa"/>
            <w:vAlign w:val="bottom"/>
          </w:tcPr>
          <w:p>
            <w:pPr>
              <w:jc w:val="right"/>
              <w:ind w:right="46"/>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1"/>
                <w:szCs w:val="21"/>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103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w w:val="93"/>
              </w:rPr>
              <w:t>Natural Gas</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June 2013</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10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ECP Uptown Campus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Pittsburgh, PA</w:t>
            </w:r>
          </w:p>
        </w:tc>
        <w:tc>
          <w:tcPr>
            <w:tcW w:w="7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w w:val="93"/>
              </w:rPr>
              <w:t>Natural Gas</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May 2019</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Duquesne University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University of Pittsburgh</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Energy Center - Pittsburgh</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Pittsburgh, PA</w:t>
            </w:r>
          </w:p>
        </w:tc>
        <w:tc>
          <w:tcPr>
            <w:tcW w:w="700" w:type="dxa"/>
            <w:vAlign w:val="bottom"/>
          </w:tcPr>
          <w:p>
            <w:pPr>
              <w:jc w:val="right"/>
              <w:ind w:right="46"/>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Diesel</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January 2019</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Medical Center</w:t>
            </w:r>
          </w:p>
        </w:tc>
        <w:tc>
          <w:tcPr>
            <w:tcW w:w="1020" w:type="dxa"/>
            <w:vAlign w:val="bottom"/>
          </w:tcPr>
          <w:p>
            <w:pPr>
              <w:jc w:val="right"/>
              <w:ind w:right="646"/>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Paxton Creek Cogen</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Harrisburg, PA</w:t>
            </w:r>
          </w:p>
        </w:tc>
        <w:tc>
          <w:tcPr>
            <w:tcW w:w="7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w w:val="93"/>
              </w:rPr>
              <w:t>Natural Gas</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November 1986</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Power sold into PJM markets</w:t>
            </w: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Princeton Hospital</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700" w:type="dxa"/>
            <w:vAlign w:val="bottom"/>
          </w:tcPr>
          <w:p>
            <w:pPr>
              <w:jc w:val="right"/>
              <w:ind w:right="46"/>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w w:val="93"/>
              </w:rPr>
              <w:t>Natural Gas</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January 2012</w:t>
            </w:r>
          </w:p>
        </w:tc>
        <w:tc>
          <w:tcPr>
            <w:tcW w:w="2840" w:type="dxa"/>
            <w:vAlign w:val="bottom"/>
            <w:gridSpan w:val="3"/>
          </w:tcPr>
          <w:p>
            <w:pPr>
              <w:ind w:left="40"/>
              <w:spacing w:after="0"/>
              <w:rPr>
                <w:sz w:val="20"/>
                <w:szCs w:val="20"/>
                <w:color w:val="auto"/>
              </w:rPr>
            </w:pPr>
            <w:r>
              <w:rPr>
                <w:rFonts w:ascii="Arial" w:cs="Arial" w:eastAsia="Arial" w:hAnsi="Arial"/>
                <w:sz w:val="14"/>
                <w:szCs w:val="14"/>
                <w:color w:val="auto"/>
              </w:rPr>
              <w:t>Excess power sold to local utility</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Tucson Convention Center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Tucson, AZ</w:t>
            </w:r>
          </w:p>
        </w:tc>
        <w:tc>
          <w:tcPr>
            <w:tcW w:w="7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w w:val="93"/>
              </w:rPr>
              <w:t>Natural Gas</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January 2003</w:t>
            </w: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Excess power sold to local utility</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University of Bridgeport</w:t>
            </w:r>
          </w:p>
        </w:tc>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Bridgeport, CT</w:t>
            </w:r>
          </w:p>
        </w:tc>
        <w:tc>
          <w:tcPr>
            <w:tcW w:w="7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gridSpan w:val="2"/>
          </w:tcPr>
          <w:p>
            <w:pPr>
              <w:jc w:val="right"/>
              <w:ind w:right="520"/>
              <w:spacing w:after="0"/>
              <w:rPr>
                <w:sz w:val="20"/>
                <w:szCs w:val="20"/>
                <w:color w:val="auto"/>
              </w:rPr>
            </w:pPr>
            <w:r>
              <w:rPr>
                <w:rFonts w:ascii="Arial" w:cs="Arial" w:eastAsia="Arial" w:hAnsi="Arial"/>
                <w:sz w:val="14"/>
                <w:szCs w:val="14"/>
                <w:color w:val="auto"/>
                <w:w w:val="93"/>
              </w:rPr>
              <w:t>Natural Gas</w:t>
            </w:r>
          </w:p>
        </w:tc>
        <w:tc>
          <w:tcPr>
            <w:tcW w:w="1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April 2015</w:t>
            </w:r>
          </w:p>
        </w:tc>
        <w:tc>
          <w:tcPr>
            <w:tcW w:w="1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University of Bridgeport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256"/>
        </w:trPr>
        <w:tc>
          <w:tcPr>
            <w:tcW w:w="3240" w:type="dxa"/>
            <w:vAlign w:val="bottom"/>
            <w:gridSpan w:val="4"/>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Total Thermal Generation</w:t>
            </w:r>
          </w:p>
        </w:tc>
        <w:tc>
          <w:tcPr>
            <w:tcW w:w="7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40" w:type="dxa"/>
            <w:vAlign w:val="bottom"/>
            <w:gridSpan w:val="4"/>
          </w:tcPr>
          <w:p>
            <w:pPr>
              <w:ind w:left="940"/>
              <w:spacing w:after="0" w:line="237" w:lineRule="exact"/>
              <w:rPr>
                <w:sz w:val="20"/>
                <w:szCs w:val="20"/>
                <w:color w:val="auto"/>
              </w:rPr>
            </w:pPr>
            <w:r>
              <w:rPr>
                <w:rFonts w:ascii="Arial" w:cs="Arial" w:eastAsia="Arial" w:hAnsi="Arial"/>
                <w:sz w:val="16"/>
                <w:szCs w:val="16"/>
                <w:b w:val="1"/>
                <w:bCs w:val="1"/>
                <w:color w:val="auto"/>
                <w:w w:val="99"/>
              </w:rPr>
              <w:t xml:space="preserve">Total Clearway Energy LLC </w:t>
            </w:r>
            <w:r>
              <w:rPr>
                <w:rFonts w:ascii="Arial" w:cs="Arial" w:eastAsia="Arial" w:hAnsi="Arial"/>
                <w:sz w:val="21"/>
                <w:szCs w:val="21"/>
                <w:b w:val="1"/>
                <w:bCs w:val="1"/>
                <w:color w:val="auto"/>
                <w:w w:val="99"/>
                <w:vertAlign w:val="superscript"/>
              </w:rPr>
              <w:t>(d)</w:t>
            </w:r>
          </w:p>
        </w:tc>
        <w:tc>
          <w:tcPr>
            <w:tcW w:w="7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7,238</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6,014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2" w:lineRule="exact"/>
        <w:rPr>
          <w:sz w:val="20"/>
          <w:szCs w:val="20"/>
          <w:color w:val="auto"/>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December 31, 2019.</w:t>
      </w:r>
    </w:p>
    <w:p>
      <w:pPr>
        <w:spacing w:after="0" w:line="32" w:lineRule="exact"/>
        <w:rPr>
          <w:rFonts w:ascii="Arial" w:cs="Arial" w:eastAsia="Arial" w:hAnsi="Arial"/>
          <w:sz w:val="9"/>
          <w:szCs w:val="9"/>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Projects are part of tax equity arrangements, as further described in Item 15</w:t>
      </w:r>
      <w:r>
        <w:rPr>
          <w:rFonts w:ascii="Arial" w:cs="Arial" w:eastAsia="Arial" w:hAnsi="Arial"/>
          <w:sz w:val="16"/>
          <w:szCs w:val="16"/>
          <w:color w:val="auto"/>
        </w:rPr>
        <w:t>—</w:t>
      </w:r>
      <w:r>
        <w:rPr>
          <w:rFonts w:ascii="Arial" w:cs="Arial" w:eastAsia="Arial" w:hAnsi="Arial"/>
          <w:sz w:val="13"/>
          <w:szCs w:val="13"/>
          <w:color w:val="auto"/>
        </w:rPr>
        <w:t xml:space="preserve">Note 2, </w:t>
      </w:r>
      <w:r>
        <w:rPr>
          <w:rFonts w:ascii="Arial" w:cs="Arial" w:eastAsia="Arial" w:hAnsi="Arial"/>
          <w:sz w:val="13"/>
          <w:szCs w:val="13"/>
          <w:i w:val="1"/>
          <w:iCs w:val="1"/>
          <w:color w:val="auto"/>
        </w:rPr>
        <w:t>Summary of Significant Accounting Policies.</w:t>
      </w:r>
    </w:p>
    <w:p>
      <w:pPr>
        <w:spacing w:after="0" w:line="71"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Includes assets held for sale as of December 31, 2019, as further described in Item 15</w:t>
      </w:r>
      <w:r>
        <w:rPr>
          <w:rFonts w:ascii="Arial" w:cs="Arial" w:eastAsia="Arial" w:hAnsi="Arial"/>
          <w:sz w:val="16"/>
          <w:szCs w:val="16"/>
          <w:color w:val="auto"/>
        </w:rPr>
        <w:t>—</w:t>
      </w:r>
      <w:r>
        <w:rPr>
          <w:rFonts w:ascii="Arial" w:cs="Arial" w:eastAsia="Arial" w:hAnsi="Arial"/>
          <w:sz w:val="13"/>
          <w:szCs w:val="13"/>
          <w:color w:val="auto"/>
        </w:rPr>
        <w:t xml:space="preserve">Note 3, </w:t>
      </w:r>
      <w:r>
        <w:rPr>
          <w:rFonts w:ascii="Arial" w:cs="Arial" w:eastAsia="Arial" w:hAnsi="Arial"/>
          <w:sz w:val="13"/>
          <w:szCs w:val="13"/>
          <w:i w:val="1"/>
          <w:iCs w:val="1"/>
          <w:color w:val="auto"/>
        </w:rPr>
        <w:t>Acquisitions and Dispositions</w:t>
      </w:r>
      <w:r>
        <w:rPr>
          <w:rFonts w:ascii="Arial" w:cs="Arial" w:eastAsia="Arial" w:hAnsi="Arial"/>
          <w:sz w:val="13"/>
          <w:szCs w:val="13"/>
          <w:color w:val="auto"/>
        </w:rPr>
        <w:t>.</w:t>
      </w:r>
    </w:p>
    <w:p>
      <w:pPr>
        <w:spacing w:after="0" w:line="56" w:lineRule="exact"/>
        <w:rPr>
          <w:rFonts w:ascii="Arial" w:cs="Arial" w:eastAsia="Arial" w:hAnsi="Arial"/>
          <w:sz w:val="16"/>
          <w:szCs w:val="16"/>
          <w:color w:val="auto"/>
          <w:vertAlign w:val="superscript"/>
        </w:rPr>
      </w:pPr>
    </w:p>
    <w:p>
      <w:pPr>
        <w:ind w:firstLine="8"/>
        <w:spacing w:after="0" w:line="273" w:lineRule="auto"/>
        <w:tabs>
          <w:tab w:leader="none" w:pos="154" w:val="left"/>
        </w:tabs>
        <w:numPr>
          <w:ilvl w:val="0"/>
          <w:numId w:val="8"/>
        </w:numPr>
        <w:rPr>
          <w:rFonts w:ascii="Arial" w:cs="Arial" w:eastAsia="Arial" w:hAnsi="Arial"/>
          <w:sz w:val="9"/>
          <w:szCs w:val="9"/>
          <w:color w:val="auto"/>
        </w:rPr>
      </w:pPr>
      <w:r>
        <w:rPr>
          <w:rFonts w:ascii="Arial" w:cs="Arial" w:eastAsia="Arial" w:hAnsi="Arial"/>
          <w:sz w:val="14"/>
          <w:szCs w:val="14"/>
          <w:color w:val="auto"/>
        </w:rPr>
        <w:t>Clearway Energy LLC's total generation capacity is net of 6 MWs for noncontrolling interest for Spring Canyon II and III. Clearway Energy, LLC's generation capacity including this noncontrolling interest was 6,020 MWs.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320 MW based on cash to be distributed. For further discussions, refer to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85"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The following table summarizes the Company's thermal steam and chilled water facilities as of December 31,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Net Megawatt</w:t>
            </w:r>
          </w:p>
        </w:tc>
        <w:tc>
          <w:tcPr>
            <w:tcW w:w="228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Rated Megawatt</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Thermal</w:t>
            </w:r>
          </w:p>
        </w:tc>
        <w:tc>
          <w:tcPr>
            <w:tcW w:w="228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Thermal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Equivalent</w:t>
            </w:r>
          </w:p>
        </w:tc>
        <w:tc>
          <w:tcPr>
            <w:tcW w:w="228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2"/>
          </w:tcPr>
          <w:p>
            <w:pPr>
              <w:ind w:left="340"/>
              <w:spacing w:after="0"/>
              <w:rPr>
                <w:sz w:val="20"/>
                <w:szCs w:val="20"/>
                <w:color w:val="auto"/>
              </w:rPr>
            </w:pPr>
            <w:r>
              <w:rPr>
                <w:rFonts w:ascii="Arial" w:cs="Arial" w:eastAsia="Arial" w:hAnsi="Arial"/>
                <w:sz w:val="16"/>
                <w:szCs w:val="16"/>
                <w:b w:val="1"/>
                <w:bCs w:val="1"/>
                <w:color w:val="auto"/>
              </w:rPr>
              <w:t>Thermal Energy Customers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Equivalent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Capacity</w:t>
            </w:r>
          </w:p>
        </w:tc>
        <w:tc>
          <w:tcPr>
            <w:tcW w:w="2280" w:type="dxa"/>
            <w:vAlign w:val="bottom"/>
          </w:tcPr>
          <w:p>
            <w:pPr>
              <w:ind w:left="740"/>
              <w:spacing w:after="0"/>
              <w:rPr>
                <w:sz w:val="20"/>
                <w:szCs w:val="20"/>
                <w:color w:val="auto"/>
              </w:rPr>
            </w:pPr>
            <w:r>
              <w:rPr>
                <w:rFonts w:ascii="Arial" w:cs="Arial" w:eastAsia="Arial" w:hAnsi="Arial"/>
                <w:sz w:val="16"/>
                <w:szCs w:val="16"/>
                <w:b w:val="1"/>
                <w:bCs w:val="1"/>
                <w:color w:val="auto"/>
              </w:rPr>
              <w:t>Generating</w:t>
            </w:r>
          </w:p>
        </w:tc>
      </w:tr>
      <w:tr>
        <w:trPr>
          <w:trHeight w:val="243"/>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Location of Facility</w:t>
            </w:r>
          </w:p>
        </w:tc>
        <w:tc>
          <w:tcPr>
            <w:tcW w:w="140" w:type="dxa"/>
            <w:vAlign w:val="bottom"/>
            <w:tcBorders>
              <w:bottom w:val="single" w:sz="8" w:color="CCEEFF"/>
            </w:tcBorders>
          </w:tcPr>
          <w:p>
            <w:pPr>
              <w:spacing w:after="0"/>
              <w:rPr>
                <w:sz w:val="21"/>
                <w:szCs w:val="21"/>
                <w:color w:val="auto"/>
              </w:rPr>
            </w:pPr>
          </w:p>
        </w:tc>
        <w:tc>
          <w:tcPr>
            <w:tcW w:w="262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(steam/chilled water )</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Owned</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Capacity (MWt)</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6"/>
              </w:rPr>
              <w:t xml:space="preserve">(MWt) </w:t>
            </w:r>
            <w:r>
              <w:rPr>
                <w:rFonts w:ascii="Arial" w:cs="Arial" w:eastAsia="Arial" w:hAnsi="Arial"/>
                <w:sz w:val="21"/>
                <w:szCs w:val="21"/>
                <w:b w:val="1"/>
                <w:bCs w:val="1"/>
                <w:color w:val="auto"/>
                <w:w w:val="96"/>
                <w:vertAlign w:val="superscript"/>
              </w:rPr>
              <w:t>(c)</w:t>
            </w:r>
          </w:p>
        </w:tc>
        <w:tc>
          <w:tcPr>
            <w:tcW w:w="228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Capacity</w:t>
            </w: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Energy Center Minneapolis, MN</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100 steam</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Steam: 1,075 MMBtu/hr.</w:t>
            </w: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55 chilled water</w:t>
            </w: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Chilled water: 38,700 tons</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ECP Uptown Campus</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Duquesne University</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Steam: 181 MMBtu/hr.</w:t>
            </w: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Duquesne University</w:t>
            </w: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Chilled water: 5,790 tons</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Energy Center San Francisco, CA</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180 steam</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Steam: 454 MMBtu/hr.</w:t>
            </w: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Energy Center Omaha, NE</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60 steam</w:t>
            </w: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Steam: 675 MMBtu/hr.</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65 chilled water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Chilled water: 28,000 tons</w:t>
            </w:r>
          </w:p>
        </w:tc>
      </w:tr>
      <w:tr>
        <w:trPr>
          <w:trHeight w:val="224"/>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Energy Center Harrisburg, PA</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125 steam</w:t>
            </w: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Steam: 370 MMBtu/hr.</w:t>
            </w:r>
          </w:p>
        </w:tc>
      </w:tr>
      <w:tr>
        <w:trPr>
          <w:trHeight w:val="47"/>
        </w:trPr>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r>
      <w:tr>
        <w:trPr>
          <w:trHeight w:val="250"/>
        </w:trPr>
        <w:tc>
          <w:tcPr>
            <w:tcW w:w="2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5 chilled water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Chilled water: 3,900 tons</w:t>
            </w:r>
          </w:p>
        </w:tc>
      </w:tr>
      <w:tr>
        <w:trPr>
          <w:trHeight w:val="224"/>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Energy Center Phoenix, AZ</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40 chilled water</w:t>
            </w: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Steam: 17 MMBtu/hr.</w:t>
            </w:r>
          </w:p>
        </w:tc>
      </w:tr>
      <w:tr>
        <w:trPr>
          <w:trHeight w:val="47"/>
        </w:trPr>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r>
      <w:tr>
        <w:trPr>
          <w:trHeight w:val="250"/>
        </w:trPr>
        <w:tc>
          <w:tcPr>
            <w:tcW w:w="2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0.12 (a)</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Chilled water: 3,920 tons</w:t>
            </w: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Chilled water: 29,600 tons</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shd w:val="clear" w:color="auto" w:fill="CCEEFF"/>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 (a)</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Chilled water: 8,000 tons</w:t>
            </w: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Energy Center Pittsburgh, PA</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25 steam</w:t>
            </w: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Steam: 452 MMBtu/hr.</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25 chilled water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Chilled water: 22,224 tons</w:t>
            </w: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Energy Center San Diego, CA</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20 chilled water</w:t>
            </w: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Chilled water: 9,295 tons</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0"/>
        </w:trPr>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Kraft Heinz Company; Proctor and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39"/>
        </w:trPr>
        <w:tc>
          <w:tcPr>
            <w:tcW w:w="2880" w:type="dxa"/>
            <w:vAlign w:val="bottom"/>
            <w:gridSpan w:val="2"/>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Energy Center Dover, DE </w:t>
            </w:r>
            <w:r>
              <w:rPr>
                <w:rFonts w:ascii="Arial" w:cs="Arial" w:eastAsia="Arial" w:hAnsi="Arial"/>
                <w:sz w:val="21"/>
                <w:szCs w:val="21"/>
                <w:color w:val="auto"/>
                <w:vertAlign w:val="superscript"/>
              </w:rPr>
              <w:t>(b)</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Gamble</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Steam: 225 MMBtu/hr.</w:t>
            </w: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Energy Center Princeton, NJ</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Princeton HealthCare System</w:t>
            </w: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Steam: 72 MMBtu/hr.</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Princeton HealthCare System</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Chilled water: 4,700 tons</w:t>
            </w:r>
          </w:p>
        </w:tc>
      </w:tr>
      <w:tr>
        <w:trPr>
          <w:trHeight w:val="244"/>
        </w:trPr>
        <w:tc>
          <w:tcPr>
            <w:tcW w:w="2880" w:type="dxa"/>
            <w:vAlign w:val="bottom"/>
            <w:gridSpan w:val="2"/>
          </w:tcPr>
          <w:p>
            <w:pPr>
              <w:ind w:left="1080"/>
              <w:spacing w:after="0"/>
              <w:rPr>
                <w:sz w:val="20"/>
                <w:szCs w:val="20"/>
                <w:color w:val="auto"/>
              </w:rPr>
            </w:pPr>
            <w:r>
              <w:rPr>
                <w:rFonts w:ascii="Arial" w:cs="Arial" w:eastAsia="Arial" w:hAnsi="Arial"/>
                <w:sz w:val="16"/>
                <w:szCs w:val="16"/>
                <w:color w:val="auto"/>
                <w:w w:val="99"/>
              </w:rPr>
              <w:t>Total generating capacity</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1,574</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2" w:lineRule="exact"/>
        <w:rPr>
          <w:sz w:val="20"/>
          <w:szCs w:val="20"/>
          <w:color w:val="auto"/>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Net MWt capacity excludes 19 MWt available under the right-to-use provisions contained in agreements between one of the Company's thermal facilities and certain of its customers.</w:t>
      </w:r>
    </w:p>
    <w:p>
      <w:pPr>
        <w:spacing w:after="0" w:line="41" w:lineRule="exact"/>
        <w:rPr>
          <w:rFonts w:ascii="Arial" w:cs="Arial" w:eastAsia="Arial" w:hAnsi="Arial"/>
          <w:sz w:val="9"/>
          <w:szCs w:val="9"/>
          <w:color w:val="auto"/>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 xml:space="preserve">Project is deemed to be held for sale as of December 31, 2019. For further information see Item 15 — Note 3, </w:t>
      </w:r>
      <w:r>
        <w:rPr>
          <w:rFonts w:ascii="Arial" w:cs="Arial" w:eastAsia="Arial" w:hAnsi="Arial"/>
          <w:sz w:val="14"/>
          <w:szCs w:val="14"/>
          <w:i w:val="1"/>
          <w:iCs w:val="1"/>
          <w:color w:val="auto"/>
        </w:rPr>
        <w:t>Acquisitions and Dispositions.</w:t>
      </w:r>
    </w:p>
    <w:p>
      <w:pPr>
        <w:spacing w:after="0" w:line="55" w:lineRule="exact"/>
        <w:rPr>
          <w:rFonts w:ascii="Arial" w:cs="Arial" w:eastAsia="Arial" w:hAnsi="Arial"/>
          <w:sz w:val="9"/>
          <w:szCs w:val="9"/>
          <w:color w:val="auto"/>
        </w:rPr>
      </w:pPr>
    </w:p>
    <w:p>
      <w:pPr>
        <w:ind w:right="20" w:firstLine="8"/>
        <w:spacing w:after="0" w:line="273" w:lineRule="auto"/>
        <w:tabs>
          <w:tab w:leader="none" w:pos="163" w:val="left"/>
        </w:tabs>
        <w:numPr>
          <w:ilvl w:val="0"/>
          <w:numId w:val="9"/>
        </w:numPr>
        <w:rPr>
          <w:rFonts w:ascii="Arial" w:cs="Arial" w:eastAsia="Arial" w:hAnsi="Arial"/>
          <w:sz w:val="9"/>
          <w:szCs w:val="9"/>
          <w:color w:val="auto"/>
        </w:rPr>
      </w:pPr>
      <w:r>
        <w:rPr>
          <w:rFonts w:ascii="Arial" w:cs="Arial" w:eastAsia="Arial" w:hAnsi="Arial"/>
          <w:sz w:val="14"/>
          <w:szCs w:val="14"/>
          <w:color w:val="auto"/>
        </w:rPr>
        <w:t>Net megawatt thermal equivalent capacity represents the maximum, or rated, generating capacity of the facility multiplied by the Company's percentage ownership in the facility as of December 31, 2019.</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6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 Legal Proceedings</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See "Pacific Gas and Electric Company Bankruptcy" found in Item 1</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of this Annual Report on Form 10-K and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for discussion of the material legal proceedings to which the Company is a party</w:t>
      </w:r>
      <w:r>
        <w:rPr>
          <w:rFonts w:ascii="Arial" w:cs="Arial" w:eastAsia="Arial" w:hAnsi="Arial"/>
          <w:sz w:val="18"/>
          <w:szCs w:val="18"/>
          <w:i w:val="1"/>
          <w:iCs w:val="1"/>
          <w:color w:val="auto"/>
        </w:rPr>
        <w:t xml:space="preserve"> </w:t>
      </w:r>
      <w:r>
        <w:rPr>
          <w:rFonts w:ascii="Arial" w:cs="Arial" w:eastAsia="Arial" w:hAnsi="Arial"/>
          <w:sz w:val="18"/>
          <w:szCs w:val="18"/>
          <w:color w:val="auto"/>
        </w:rPr>
        <w:t>or of which any of its properties is subject.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67" w:right="239" w:bottom="1440" w:gutter="0" w:footer="0" w:header="0"/>
        </w:sectPr>
      </w:pPr>
    </w:p>
    <w:bookmarkStart w:id="34" w:name="page35"/>
    <w:bookmarkEnd w:id="34"/>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the date of this report, there is no publicly-traded market for the Company's membership units. All of the Company's Class A and Class C units are held by Clearway, Inc. and all of the Company's Class B and Class D units are held by CEG.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lists the distributions paid on the Company's Class A, Class B, Class C and Class D units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 2019</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Third Quarter 2019</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First Quarter 2019</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per Class A and Class B unit</w:t>
            </w: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Distributions per Class C and Class D unit</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0.20</w:t>
            </w:r>
          </w:p>
        </w:tc>
      </w:tr>
    </w:tbl>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18, 2020, the Company declared a quarterly distribution on its Class A, Class B, Class C and Class D units of $0.21 per unit payable on March 16, 2020.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historical data in the table below should be read in conjunction with the Consolidated Financial Statements and the related notes thereto in Item 15 and Item 7, </w:t>
      </w:r>
      <w:r>
        <w:rPr>
          <w:rFonts w:ascii="Arial" w:cs="Arial" w:eastAsia="Arial" w:hAnsi="Arial"/>
          <w:sz w:val="18"/>
          <w:szCs w:val="18"/>
          <w:i w:val="1"/>
          <w:iCs w:val="1"/>
          <w:color w:val="auto"/>
        </w:rPr>
        <w:t>Management's Discussion and Analysis of Financial Condition and Results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Fiscal year ended December 31,</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Statement of Income Data:</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Operating Revenues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operating revenues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Operating Costs and Expenses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operations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303</w:t>
            </w: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losses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Transaction and integration costs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Development costs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62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operating costs and expenses</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806</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r>
      <w:tr>
        <w:trPr>
          <w:trHeight w:val="24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Operating Income</w:t>
            </w: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328</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Equity in earnings of unconsolidated affiliates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net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Loss on debt extinguishment</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r>
      <w:tr>
        <w:trPr>
          <w:trHeight w:val="250"/>
        </w:trPr>
        <w:tc>
          <w:tcPr>
            <w:tcW w:w="62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other expense, net</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r>
      <w:tr>
        <w:trPr>
          <w:trHeight w:val="25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r>
      <w:tr>
        <w:trPr>
          <w:trHeight w:val="250"/>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Net (loss) income attributable to noncontrolling interests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r>
      <w:tr>
        <w:trPr>
          <w:trHeight w:val="243"/>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Clearway Energy LLC</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64"/>
        </w:trPr>
        <w:tc>
          <w:tcPr>
            <w:tcW w:w="6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Financial Data:</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280" w:type="dxa"/>
            <w:vAlign w:val="bottom"/>
          </w:tcPr>
          <w:p>
            <w:pPr>
              <w:ind w:left="100"/>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 Data:</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6280" w:type="dxa"/>
            <w:vAlign w:val="bottom"/>
          </w:tcPr>
          <w:p>
            <w:pPr>
              <w:ind w:left="100"/>
              <w:spacing w:after="0"/>
              <w:rPr>
                <w:sz w:val="20"/>
                <w:szCs w:val="20"/>
                <w:color w:val="auto"/>
              </w:rPr>
            </w:pPr>
            <w:r>
              <w:rPr>
                <w:rFonts w:ascii="Arial" w:cs="Arial" w:eastAsia="Arial" w:hAnsi="Arial"/>
                <w:sz w:val="14"/>
                <w:szCs w:val="14"/>
                <w:color w:val="auto"/>
              </w:rPr>
              <w:t>Net cash provided by (used in):</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w:t>
            </w: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Investing activities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(1,098)</w:t>
            </w: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Financing activities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Balance Sheet Data (at period end):</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r>
      <w:tr>
        <w:trPr>
          <w:trHeight w:val="264"/>
        </w:trPr>
        <w:tc>
          <w:tcPr>
            <w:tcW w:w="6280" w:type="dxa"/>
            <w:vAlign w:val="bottom"/>
          </w:tcPr>
          <w:p>
            <w:pPr>
              <w:ind w:left="10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5,410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5,579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5,980</w:t>
            </w:r>
          </w:p>
        </w:tc>
      </w:tr>
      <w:tr>
        <w:trPr>
          <w:trHeight w:val="276"/>
        </w:trPr>
        <w:tc>
          <w:tcPr>
            <w:tcW w:w="6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assets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9,605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8,759</w:t>
            </w:r>
          </w:p>
        </w:tc>
      </w:tr>
      <w:tr>
        <w:trPr>
          <w:trHeight w:val="264"/>
        </w:trPr>
        <w:tc>
          <w:tcPr>
            <w:tcW w:w="6280" w:type="dxa"/>
            <w:vAlign w:val="bottom"/>
          </w:tcPr>
          <w:p>
            <w:pPr>
              <w:ind w:left="100"/>
              <w:spacing w:after="0"/>
              <w:rPr>
                <w:sz w:val="20"/>
                <w:szCs w:val="20"/>
                <w:color w:val="auto"/>
              </w:rPr>
            </w:pPr>
            <w:r>
              <w:rPr>
                <w:rFonts w:ascii="Arial" w:cs="Arial" w:eastAsia="Arial" w:hAnsi="Arial"/>
                <w:sz w:val="14"/>
                <w:szCs w:val="14"/>
                <w:color w:val="auto"/>
              </w:rPr>
              <w:t>Long-term debt, including current maturities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6,780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6,006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6,069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5,692</w:t>
            </w:r>
          </w:p>
        </w:tc>
      </w:tr>
      <w:tr>
        <w:trPr>
          <w:trHeight w:val="276"/>
        </w:trPr>
        <w:tc>
          <w:tcPr>
            <w:tcW w:w="6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liabilities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6,054</w:t>
            </w:r>
          </w:p>
        </w:tc>
      </w:tr>
      <w:tr>
        <w:trPr>
          <w:trHeight w:val="258"/>
        </w:trPr>
        <w:tc>
          <w:tcPr>
            <w:tcW w:w="6280" w:type="dxa"/>
            <w:vAlign w:val="bottom"/>
          </w:tcPr>
          <w:p>
            <w:pPr>
              <w:ind w:left="100"/>
              <w:spacing w:after="0"/>
              <w:rPr>
                <w:sz w:val="20"/>
                <w:szCs w:val="20"/>
                <w:color w:val="auto"/>
              </w:rPr>
            </w:pPr>
            <w:r>
              <w:rPr>
                <w:rFonts w:ascii="Arial" w:cs="Arial" w:eastAsia="Arial" w:hAnsi="Arial"/>
                <w:sz w:val="14"/>
                <w:szCs w:val="14"/>
                <w:color w:val="auto"/>
              </w:rPr>
              <w:t>Total members' equity</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2,705</w:t>
            </w:r>
          </w:p>
        </w:tc>
      </w:tr>
    </w:tbl>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0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w:t>
      </w:r>
      <w:r>
        <w:rPr>
          <w:rFonts w:ascii="Arial" w:cs="Arial" w:eastAsia="Arial" w:hAnsi="Arial"/>
          <w:sz w:val="18"/>
          <w:szCs w:val="18"/>
          <w:b w:val="1"/>
          <w:bCs w:val="1"/>
          <w:color w:val="auto"/>
        </w:rPr>
        <w:t xml:space="preserve"> Management's Discussion and Analysis of Financial Condition and the Results of Operations</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As you read this discussion and analysis, refer to the Company's Consolidated Statements of Operations to this Form 10-K. Also refer to Item 1 — </w:t>
      </w:r>
      <w:r>
        <w:rPr>
          <w:rFonts w:ascii="Arial" w:cs="Arial" w:eastAsia="Arial" w:hAnsi="Arial"/>
          <w:sz w:val="16"/>
          <w:szCs w:val="16"/>
          <w:i w:val="1"/>
          <w:iCs w:val="1"/>
          <w:color w:val="auto"/>
        </w:rPr>
        <w:t xml:space="preserve">Business </w:t>
      </w:r>
      <w:r>
        <w:rPr>
          <w:rFonts w:ascii="Arial" w:cs="Arial" w:eastAsia="Arial" w:hAnsi="Arial"/>
          <w:sz w:val="16"/>
          <w:szCs w:val="16"/>
          <w:color w:val="auto"/>
        </w:rPr>
        <w:t>and Item 1A —</w:t>
      </w:r>
      <w:r>
        <w:rPr>
          <w:rFonts w:ascii="Arial" w:cs="Arial" w:eastAsia="Arial" w:hAnsi="Arial"/>
          <w:sz w:val="16"/>
          <w:szCs w:val="16"/>
          <w:i w:val="1"/>
          <w:iCs w:val="1"/>
          <w:color w:val="auto"/>
        </w:rPr>
        <w:t xml:space="preserve"> Risk Factors</w:t>
      </w:r>
      <w:r>
        <w:rPr>
          <w:rFonts w:ascii="Arial" w:cs="Arial" w:eastAsia="Arial" w:hAnsi="Arial"/>
          <w:sz w:val="16"/>
          <w:szCs w:val="16"/>
          <w:color w:val="auto"/>
        </w:rPr>
        <w:t>, which include detailed discussions of various items impacting the Company's business, results of operations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condition. Discussions of the year ended December 31, 2017 that are not included in this Annual Report on Form 10-K and year-to-year comparisons of the year ended December 31, 2018 and the year ended December 31, 2017 can be found in “Management’s Discussion and Analysis of Financial Condition and the Results of Operations” in Part II, Item 7 of the Company’s Annual Report on Form 10-K for the year ended December 31, 2018.</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17" w:lineRule="exact"/>
        <w:rPr>
          <w:sz w:val="20"/>
          <w:szCs w:val="20"/>
          <w:color w:val="auto"/>
        </w:rPr>
      </w:pPr>
    </w:p>
    <w:p>
      <w:pPr>
        <w:ind w:left="1300" w:right="640" w:hanging="320"/>
        <w:spacing w:after="0" w:line="277" w:lineRule="auto"/>
        <w:tabs>
          <w:tab w:leader="none" w:pos="130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sponsored by GIP through GIP's portfolio company, CEG.</w:t>
      </w:r>
    </w:p>
    <w:p>
      <w:pPr>
        <w:spacing w:after="0" w:line="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Company’s environmentally-sound asset portfolio includes over </w:t>
      </w:r>
      <w:r>
        <w:rPr>
          <w:rFonts w:ascii="Arial" w:cs="Arial" w:eastAsia="Arial" w:hAnsi="Arial"/>
          <w:sz w:val="18"/>
          <w:szCs w:val="18"/>
          <w:color w:val="231F20"/>
        </w:rPr>
        <w:t>5,875</w:t>
      </w:r>
      <w:r>
        <w:rPr>
          <w:rFonts w:ascii="Arial" w:cs="Arial" w:eastAsia="Arial" w:hAnsi="Arial"/>
          <w:sz w:val="18"/>
          <w:szCs w:val="18"/>
          <w:color w:val="auto"/>
        </w:rPr>
        <w:t xml:space="preserve"> MW of wind, solar and natural gas-fired power generation facilities, as well as district energy systems. </w:t>
      </w:r>
      <w:r>
        <w:rPr>
          <w:rFonts w:ascii="Arial" w:cs="Arial" w:eastAsia="Arial" w:hAnsi="Arial"/>
          <w:sz w:val="18"/>
          <w:szCs w:val="18"/>
          <w:color w:val="231F20"/>
        </w:rPr>
        <w:t>Nearly all</w:t>
      </w:r>
      <w:r>
        <w:rPr>
          <w:rFonts w:ascii="Arial" w:cs="Arial" w:eastAsia="Arial" w:hAnsi="Arial"/>
          <w:sz w:val="18"/>
          <w:szCs w:val="18"/>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8"/>
          <w:szCs w:val="18"/>
          <w:color w:val="231F20"/>
        </w:rPr>
        <w:t>13 years as of December 31, 2019 based on</w:t>
      </w:r>
      <w:r>
        <w:rPr>
          <w:rFonts w:ascii="Arial" w:cs="Arial" w:eastAsia="Arial" w:hAnsi="Arial"/>
          <w:sz w:val="18"/>
          <w:szCs w:val="18"/>
          <w:color w:val="auto"/>
        </w:rPr>
        <w:t xml:space="preserve"> </w:t>
      </w:r>
      <w:r>
        <w:rPr>
          <w:rFonts w:ascii="Arial" w:cs="Arial" w:eastAsia="Arial" w:hAnsi="Arial"/>
          <w:sz w:val="18"/>
          <w:szCs w:val="18"/>
          <w:color w:val="231F20"/>
        </w:rPr>
        <w:t>CAFD. The Company also owns thermal infrastructure assets with an aggregate steam and chilled water capacity of 1,530 net MWt and electric generation capacity of 139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 Gas and Electric Company Bankruptcy</w:t>
      </w:r>
    </w:p>
    <w:p>
      <w:pPr>
        <w:spacing w:after="0" w:line="90" w:lineRule="exact"/>
        <w:rPr>
          <w:sz w:val="20"/>
          <w:szCs w:val="20"/>
          <w:color w:val="auto"/>
        </w:rPr>
      </w:pPr>
    </w:p>
    <w:p>
      <w:pPr>
        <w:jc w:val="both"/>
        <w:ind w:left="660" w:hanging="328"/>
        <w:spacing w:after="0" w:line="289"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January 29, 2019, PG&amp;E filed for reorganization under Chapter 11 of the U.S. Bankruptcy Code in the U.S. Bankruptcy Court for the Northern District of California.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December 31, 2019, the Company had $177 million in restricted cash, $1.4 billion of property, plant and equipment, net, $370 million in investments in unconsolidated affiliates and $1.2 billion of borrowings with final maturity dates ranging from 2023 to 2038 related to these facilities. The related subsidiaries of the Company are parties to financing agreements consisting of non-recourse project-level debt and, in certain cases, non-recourse holding company debt. The PG&amp;E Bankruptcy triggered defaults under the PPAs with PG&amp;E and such related project-level financing agreements. As a result, the Company recorded $1.2 billion of principal, net of the related unamortized debt issuance costs, as short-term debt as of December 31, 2019.</w:t>
      </w:r>
    </w:p>
    <w:p>
      <w:pPr>
        <w:spacing w:after="0" w:line="112"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8"/>
          <w:szCs w:val="18"/>
          <w:color w:val="auto"/>
        </w:rPr>
        <w:t>On September 9, 2019, PG&amp;E filed a Chapter 11 plan of reorganization, or the PG&amp;E Plan, which would provide for PG&amp;E to assume all of its PPAs with the Company. On October 17, 2019, an ad hoc group of senior noteholders filed a competing plan of reorganization, which would also provide for PG&amp;E to assume all of its PPAs with the Company.</w:t>
      </w:r>
    </w:p>
    <w:p>
      <w:pPr>
        <w:spacing w:after="0" w:line="181" w:lineRule="exact"/>
        <w:rPr>
          <w:rFonts w:ascii="Arial" w:cs="Arial" w:eastAsia="Arial" w:hAnsi="Arial"/>
          <w:sz w:val="16"/>
          <w:szCs w:val="16"/>
          <w:color w:val="auto"/>
        </w:rPr>
      </w:pPr>
    </w:p>
    <w:p>
      <w:pPr>
        <w:jc w:val="both"/>
        <w:ind w:left="660"/>
        <w:spacing w:after="0" w:line="273" w:lineRule="auto"/>
        <w:rPr>
          <w:rFonts w:ascii="Arial" w:cs="Arial" w:eastAsia="Arial" w:hAnsi="Arial"/>
          <w:sz w:val="16"/>
          <w:szCs w:val="16"/>
          <w:color w:val="auto"/>
        </w:rPr>
      </w:pPr>
      <w:r>
        <w:rPr>
          <w:rFonts w:ascii="Arial" w:cs="Arial" w:eastAsia="Arial" w:hAnsi="Arial"/>
          <w:sz w:val="17"/>
          <w:szCs w:val="17"/>
          <w:color w:val="auto"/>
        </w:rPr>
        <w:t>On January 22, 2020, PG&amp;E announced it had reached an agreement with a group of senior noteholders, and on January 31, 2020, the PG&amp;E Plan was amended to provide for the eventual implementation of such settlement. On February 4, 2020, the Bankruptcy Court approved such settlement, and the noteholders have accordingly agreed to support the PG&amp;E Plan. On February 5, 2020, the noteholders caused the ad hoc noteholder plan to be withdrawn. There are many conditions that must be satisfied before the PG&amp;E Plan and assumption of the PPAs can become effective, including but not limited to approvals by various classes of creditors, the Bankruptcy Court, and the CPUC. A hearing before the Bankruptcy Court to consider whether the PG&amp;E Plan will be approved and confirmed is currently expected to occur on May 27, 2020.</w:t>
      </w:r>
    </w:p>
    <w:p>
      <w:pPr>
        <w:spacing w:after="0" w:line="178" w:lineRule="exact"/>
        <w:rPr>
          <w:rFonts w:ascii="Arial" w:cs="Arial" w:eastAsia="Arial" w:hAnsi="Arial"/>
          <w:sz w:val="16"/>
          <w:szCs w:val="16"/>
          <w:color w:val="auto"/>
        </w:rPr>
      </w:pPr>
    </w:p>
    <w:p>
      <w:pPr>
        <w:jc w:val="both"/>
        <w:ind w:left="660"/>
        <w:spacing w:after="0" w:line="259" w:lineRule="auto"/>
        <w:rPr>
          <w:rFonts w:ascii="Arial" w:cs="Arial" w:eastAsia="Arial" w:hAnsi="Arial"/>
          <w:sz w:val="16"/>
          <w:szCs w:val="16"/>
          <w:color w:val="auto"/>
        </w:rPr>
      </w:pPr>
      <w:r>
        <w:rPr>
          <w:rFonts w:ascii="Arial" w:cs="Arial" w:eastAsia="Arial" w:hAnsi="Arial"/>
          <w:sz w:val="18"/>
          <w:szCs w:val="18"/>
          <w:color w:val="auto"/>
        </w:rPr>
        <w:t>As of March 2, 2020, the Company's contracts with PG&amp;E have operated in the normal course and the Company currently expects these contracts to continue as such. As of March 2, 2020,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as events occur.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2020 Drop Down Offer</w:t>
      </w:r>
    </w:p>
    <w:p>
      <w:pPr>
        <w:spacing w:after="0" w:line="252" w:lineRule="exact"/>
        <w:rPr>
          <w:sz w:val="20"/>
          <w:szCs w:val="20"/>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On January 8, 2020, CEG offered the Company the opportunity to acquire and invest in a portfolio of the following projects: (i) 100% of the equity interests in Rattlesnake Flat, LLC, which owns the Rattlesnake Wind Project, a 144 net MW wind facility located in Adams County, WA; (ii) CEG's interest in Repowering Partnership II LLC (Repowering 1.0), would give the Company a 100% equity interest in Repowering 1.0; and (iii) a new partnership with CEG to repower the Pinnacle Wind Project, a 55 net MW wind facility located in Mineral County, WV. The Company expects to sign binding agreements for the drop down offer in the first half of 2020 though these agreements remain subject to negotiation and approval by the Company's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90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CEG ROFO Agreement Amendment</w:t>
      </w:r>
    </w:p>
    <w:p>
      <w:pPr>
        <w:spacing w:after="0" w:line="171" w:lineRule="exact"/>
        <w:rPr>
          <w:sz w:val="20"/>
          <w:szCs w:val="20"/>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On August 1, 2019, the CEG ROFO Agreement was amended to grant the Company a right of first offer for four additional projects: Rattlesnake, a 144 net MW wind facility located in Adams County, WA with an expected COD in 2020; Repowering 2.0, which will consist of membership interests in one or more partnerships formed to repower certain wind assets owned by the Company using turbines provided by CEG; Black Rock, a 110 MW utility scale wind facility located in West Virginia with an expected COD in 2021; and Wildflower, a 100 MW utility scale solar facility located in Mississippi with an expected COD in 2022. Both Rattlesnake and the Pinnacle repowering were part of January 2020 Drop Down Offer described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Carlsbad Drop Down</w:t>
      </w:r>
    </w:p>
    <w:p>
      <w:pPr>
        <w:spacing w:after="0" w:line="90" w:lineRule="exact"/>
        <w:rPr>
          <w:sz w:val="20"/>
          <w:szCs w:val="20"/>
          <w:color w:val="auto"/>
        </w:rPr>
      </w:pPr>
    </w:p>
    <w:p>
      <w:pPr>
        <w:jc w:val="both"/>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On December 6, 2019, the Company acquired 100% of GIP's membership interests in CBAD Holdings, LLC, which indirectly owns Carlsbad Energy Center LLC, a 527 megawatt natural gas fired power project located in Carlsbad, California, or the Carlsbad Drop Down Asset. The purchase price for the Carlsbad Drop Down was $184 million in cash, plus assumption of $803 million in project level financing including non-recourse senior secured notes described below. The acquisition was funded with proceeds from the Clearway Energy, Inc. equity issuance, as described further below, as well as borrowings from the Company's revolving credit facility. The Carlsbad acquisition is the result of the Company having elected its option to purchase Carlsbad pursuant to the ROFO agreement, as amended, by and among the Company, CEG and GIP. For further discussion, see Item 15 —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HSD Solar Holdings, LLC Assets</w:t>
      </w:r>
    </w:p>
    <w:p>
      <w:pPr>
        <w:spacing w:after="0" w:line="171" w:lineRule="exact"/>
        <w:rPr>
          <w:sz w:val="20"/>
          <w:szCs w:val="20"/>
          <w:color w:val="auto"/>
        </w:rPr>
      </w:pPr>
    </w:p>
    <w:p>
      <w:pPr>
        <w:jc w:val="both"/>
        <w:ind w:left="660" w:hanging="328"/>
        <w:spacing w:after="0" w:line="279" w:lineRule="auto"/>
        <w:tabs>
          <w:tab w:leader="none" w:pos="660" w:val="left"/>
        </w:tabs>
        <w:numPr>
          <w:ilvl w:val="0"/>
          <w:numId w:val="15"/>
        </w:numPr>
        <w:rPr>
          <w:rFonts w:ascii="Arial" w:cs="Arial" w:eastAsia="Arial" w:hAnsi="Arial"/>
          <w:sz w:val="17"/>
          <w:szCs w:val="17"/>
          <w:i w:val="1"/>
          <w:iCs w:val="1"/>
          <w:color w:val="auto"/>
        </w:rPr>
      </w:pPr>
      <w:r>
        <w:rPr>
          <w:rFonts w:ascii="Arial" w:cs="Arial" w:eastAsia="Arial" w:hAnsi="Arial"/>
          <w:sz w:val="17"/>
          <w:szCs w:val="17"/>
          <w:color w:val="auto"/>
        </w:rPr>
        <w:t>On October 8, 2019, the Company, through HSD Solar Holdings, LLC, or HSD, sold 100% of its interests in certain distributed generation solar facilities totaling 6 MW to the offtaker under the PPA, for cash consideration of $20 million, as a result of the offtaker exercising its right to purchase the project pursuant to the PPA. In conjunction with the sale, the Company repaid in full the non-recourse lease financing associated with the HSD projects. The repaid amount was net of cash released at closing and totaled $23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Repowering Transaction</w:t>
      </w:r>
    </w:p>
    <w:p>
      <w:pPr>
        <w:spacing w:after="0" w:line="225" w:lineRule="exact"/>
        <w:rPr>
          <w:sz w:val="20"/>
          <w:szCs w:val="20"/>
          <w:color w:val="auto"/>
        </w:rPr>
      </w:pPr>
    </w:p>
    <w:p>
      <w:pPr>
        <w:jc w:val="both"/>
        <w:ind w:left="660" w:hanging="328"/>
        <w:spacing w:after="0" w:line="25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 xml:space="preserve">On June 14, 2019, the Company, through an indirect subsidiary, entered into binding equity commitment agreements in the previously announced partnership with CEG to enable the repowering of two of its existing wind assets, Wildorado and Elbow Creek, which total a combined 283 MW. The Company invested $102 million in net corporate capital to fund the repowering of the wind facilities during the fourth quarter of 2019 and the first quarter of 2020. These repowered assets have reached COD. For further discussion, see Item 15 — Note 5, </w:t>
      </w:r>
      <w:r>
        <w:rPr>
          <w:rFonts w:ascii="Arial" w:cs="Arial" w:eastAsia="Arial" w:hAnsi="Arial"/>
          <w:sz w:val="18"/>
          <w:szCs w:val="18"/>
          <w:i w:val="1"/>
          <w:iCs w:val="1"/>
          <w:color w:val="auto"/>
        </w:rPr>
        <w:t>Investments Accounted for by the</w:t>
      </w:r>
      <w:r>
        <w:rPr>
          <w:rFonts w:ascii="Arial" w:cs="Arial" w:eastAsia="Arial" w:hAnsi="Arial"/>
          <w:sz w:val="18"/>
          <w:szCs w:val="18"/>
          <w:color w:val="auto"/>
        </w:rPr>
        <w:t xml:space="preserve"> </w:t>
      </w:r>
      <w:r>
        <w:rPr>
          <w:rFonts w:ascii="Arial" w:cs="Arial" w:eastAsia="Arial" w:hAnsi="Arial"/>
          <w:sz w:val="18"/>
          <w:szCs w:val="18"/>
          <w:i w:val="1"/>
          <w:iCs w:val="1"/>
          <w:color w:val="auto"/>
        </w:rPr>
        <w:t>Equity Method and Variable Interest Entities</w:t>
      </w:r>
      <w:r>
        <w:rPr>
          <w:rFonts w:ascii="Arial" w:cs="Arial" w:eastAsia="Arial" w:hAnsi="Arial"/>
          <w:sz w:val="18"/>
          <w:szCs w:val="18"/>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Solar Partnerships</w:t>
      </w:r>
    </w:p>
    <w:p>
      <w:pPr>
        <w:spacing w:after="0" w:line="221" w:lineRule="exact"/>
        <w:rPr>
          <w:sz w:val="20"/>
          <w:szCs w:val="20"/>
          <w:color w:val="auto"/>
        </w:rPr>
      </w:pPr>
    </w:p>
    <w:p>
      <w:pPr>
        <w:jc w:val="both"/>
        <w:ind w:left="660" w:hanging="328"/>
        <w:spacing w:after="0" w:line="281" w:lineRule="auto"/>
        <w:tabs>
          <w:tab w:leader="none" w:pos="66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Kawailoa Solar Partnership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May 1, 2019, the Company entered into a partnership with Clearway Renew LLC, a subsidiary of CEG, to own,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finance, operate, and maintain the Kawailoa Solar Partnership, which consists of the Kawailoa Solar project, a 49 MW utility-scale solar generation project located in Oahu, Hawaii. The Company contributed $9 million into the partnership during the year ended December 31, 2019. For further discussion, see Item 15 — Note 5, </w:t>
      </w:r>
      <w:r>
        <w:rPr>
          <w:rFonts w:ascii="Arial" w:cs="Arial" w:eastAsia="Arial" w:hAnsi="Arial"/>
          <w:sz w:val="17"/>
          <w:szCs w:val="17"/>
          <w:i w:val="1"/>
          <w:iCs w:val="1"/>
          <w:color w:val="auto"/>
        </w:rPr>
        <w:t>Investments Accounted for by the Equity Method and Variable Interest Entities.</w:t>
      </w:r>
    </w:p>
    <w:p>
      <w:pPr>
        <w:spacing w:after="0" w:line="164" w:lineRule="exact"/>
        <w:rPr>
          <w:rFonts w:ascii="Arial" w:cs="Arial" w:eastAsia="Arial" w:hAnsi="Arial"/>
          <w:sz w:val="17"/>
          <w:szCs w:val="17"/>
          <w:i w:val="1"/>
          <w:iCs w:val="1"/>
          <w:color w:val="auto"/>
        </w:rPr>
      </w:pPr>
    </w:p>
    <w:p>
      <w:pPr>
        <w:jc w:val="both"/>
        <w:ind w:left="660" w:hanging="328"/>
        <w:spacing w:after="0" w:line="287"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Oahu Solar Partnership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March 8, 2019, the Company entered into a partnership with Clearway Renew LLC, a subsidiary of CEG, to own,</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operate, and maintain the Oahu Solar projects, which consist of Lanikuhana and Waipio, 15 MW and 46 MW utility-scale solar generation projects, respectively, located in Oahu, Hawaii, which both reached COD in September 2019 and began to sell power to HECO pursuant to the long-term PPAs. The Company contributed $20 million into the partnership during the year ended December 31, 2019. For further discussion, see Item 15</w:t>
      </w:r>
    </w:p>
    <w:p>
      <w:pPr>
        <w:spacing w:after="0" w:line="2" w:lineRule="exact"/>
        <w:rPr>
          <w:rFonts w:ascii="Arial" w:cs="Arial" w:eastAsia="Arial" w:hAnsi="Arial"/>
          <w:sz w:val="16"/>
          <w:szCs w:val="16"/>
          <w:i w:val="1"/>
          <w:iCs w:val="1"/>
          <w:color w:val="auto"/>
        </w:rPr>
      </w:pPr>
    </w:p>
    <w:p>
      <w:pPr>
        <w:ind w:left="660"/>
        <w:spacing w:after="0"/>
        <w:rPr>
          <w:rFonts w:ascii="Arial" w:cs="Arial" w:eastAsia="Arial" w:hAnsi="Arial"/>
          <w:sz w:val="16"/>
          <w:szCs w:val="16"/>
          <w:i w:val="1"/>
          <w:iCs w:val="1"/>
          <w:color w:val="auto"/>
        </w:rPr>
      </w:pPr>
      <w:r>
        <w:rPr>
          <w:rFonts w:ascii="Arial" w:cs="Arial" w:eastAsia="Arial" w:hAnsi="Arial"/>
          <w:sz w:val="18"/>
          <w:szCs w:val="18"/>
          <w:color w:val="auto"/>
        </w:rPr>
        <w:t xml:space="preserve">— Note 5, </w:t>
      </w:r>
      <w:r>
        <w:rPr>
          <w:rFonts w:ascii="Arial" w:cs="Arial" w:eastAsia="Arial" w:hAnsi="Arial"/>
          <w:sz w:val="18"/>
          <w:szCs w:val="18"/>
          <w:i w:val="1"/>
          <w:iCs w:val="1"/>
          <w:color w:val="auto"/>
        </w:rPr>
        <w:t>Investments Accounted for by the Equity Method and Variable Interest Entities.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Corporate-Level Financing and Equity Activities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212529"/>
        </w:rPr>
        <w:t>On December 20, 2019, the Company entered into the Fifth Amendment to Amended and Restated Credit Agreement to provide for an increase of 0.50x to the borrower leverage ratio, as defined in the Amended and Restated Credit Agreement, for the last two fiscal quarters of 2020 and to implement certain other technical modifications.</w:t>
      </w:r>
    </w:p>
    <w:p>
      <w:pPr>
        <w:spacing w:after="0" w:line="46"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December 11, 2019, Clearway Energy Operating LLC completed the sale of $600 million aggregate principal amount of senior unsecured notes due 2028, or the 2028 Senior Notes. The 2028 Senior Notes bear interest at 4.75% and mature on March 15, 2028. Interest on the 2028 Senior Notes is payable semi-annually on March 15 and September 15 of each</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08" w:right="239" w:bottom="1440" w:gutter="0" w:footer="0" w:header="0"/>
        </w:sectPr>
      </w:pPr>
    </w:p>
    <w:bookmarkStart w:id="39" w:name="page40"/>
    <w:bookmarkEnd w:id="39"/>
    <w:p>
      <w:pPr>
        <w:jc w:val="both"/>
        <w:ind w:left="660"/>
        <w:spacing w:after="0" w:line="259" w:lineRule="auto"/>
        <w:rPr>
          <w:sz w:val="20"/>
          <w:szCs w:val="20"/>
          <w:color w:val="auto"/>
        </w:rPr>
      </w:pPr>
      <w:r>
        <w:rPr>
          <w:rFonts w:ascii="Arial" w:cs="Arial" w:eastAsia="Arial" w:hAnsi="Arial"/>
          <w:sz w:val="18"/>
          <w:szCs w:val="18"/>
          <w:color w:val="auto"/>
        </w:rPr>
        <w:t>year, and interest payments will commence on September 15, 2020. The 2028 Senior Notes are unsecured obligations of Clearway Energy Operating LLC and are guaranteed by Clearway Energy LLC and by certain of Clearway Energy Operating LLC's wholly owned current and future subsidiaries. The proceeds from the 2028 Senior Notes were used to partially fund investments into Repowering 1.0, repay the 2024 Senior Notes as described below, and pay transaction fees and expenses.</w:t>
      </w:r>
    </w:p>
    <w:p>
      <w:pPr>
        <w:spacing w:after="0" w:line="133" w:lineRule="exact"/>
        <w:rPr>
          <w:sz w:val="20"/>
          <w:szCs w:val="20"/>
          <w:color w:val="auto"/>
        </w:rPr>
      </w:pPr>
    </w:p>
    <w:p>
      <w:pPr>
        <w:jc w:val="both"/>
        <w:ind w:left="660" w:hanging="328"/>
        <w:spacing w:after="0" w:line="27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On December 13, 2019, the Company repurchased an aggregate principal amount of $412 million or 82.4%, of the 2024 Senior Notes that were validly tendered and not validly withdrawn as part of the previously announced cash tender offer. Concurrently with the launch of the tender offer, the Company exercised its right to optionally redeem any 2024 Senior Notes not validly tendered and purchased in the tender offer, pursuant to the terms of the indenture governing the 2024 Senior Notes. This redemption of the remaining $88 million of outstanding 2024 Senior Notes occurred on January 3, 2020. For further discussion, see Item 15 —Note 10, </w:t>
      </w:r>
      <w:r>
        <w:rPr>
          <w:rFonts w:ascii="Arial" w:cs="Arial" w:eastAsia="Arial" w:hAnsi="Arial"/>
          <w:sz w:val="17"/>
          <w:szCs w:val="17"/>
          <w:i w:val="1"/>
          <w:iCs w:val="1"/>
          <w:color w:val="auto"/>
        </w:rPr>
        <w:t>Long-term Debt</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December 2, 2019, Clearway, Inc. issued and sold 5,405,405 shares of Class C common stock for net proceeds of $100 million. Clearway, Inc. utilized the proceeds of the offering to acquire 5,405,405 Class C units of Clearway Energy LLC, which used the proceeds to partially fund the acquisition of the Carlsbad Drop Down Asset to pay transaction fees and for general corporate purposes.</w:t>
      </w:r>
    </w:p>
    <w:p>
      <w:pPr>
        <w:spacing w:after="0" w:line="12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January 2019, Clearway, Inc. repurchased an aggregate principal amount of $50 million of the 2019 Convertible Notes in open market transactions. The repurchases were funded through a partial repayment of the intercompany note between Clearway Operating LLC and Clearway Energy, Inc. The 2019 Convertible Notes matured on February 1, 2019 and the Company paid off the remaining balance of an aggregate principal amount of $170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71"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November 4, 2019, Carlsbad Energy Holdings LLC, a subsidiary of GIP and the owner of the Carlsbad Energy Center LLC, issued $216 million of senior secured, non-recourse notes. The notes bear an interest rate of 4.21% and are fully amortizing over 19 years.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October 21, 2019, the Company, through Agua Caliente Borrower 2 LLC, repaid $40 million of the outstanding notes balance, including accrued interest and premiums, issued under the Agua Caliente Holdco Financing Agreement. The repayment was funded with the Company's existing liquidity.</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April 29, 2019, the Company, through Tapestry Wind LLC, refinanced $147 million of non-recourse debt due 2021 by issuing $164 million of new non-recourse financing due 2031 at an interest rate of LIBOR plus 1.375%. As a result of this refinancing, the Company received $11 million, net of fees and financing costs.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9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Thermal Activities</w:t>
      </w:r>
    </w:p>
    <w:p>
      <w:pPr>
        <w:spacing w:after="0" w:line="171" w:lineRule="exact"/>
        <w:rPr>
          <w:sz w:val="20"/>
          <w:szCs w:val="20"/>
          <w:color w:val="auto"/>
        </w:rPr>
      </w:pPr>
    </w:p>
    <w:p>
      <w:pPr>
        <w:jc w:val="both"/>
        <w:ind w:left="660" w:hanging="328"/>
        <w:spacing w:after="0" w:line="27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September 29, 2019, the Company entered into a tolling agreement with Cayo Largo LLC to supply electricity, chilled water, hot water and natural gas to Cayo Largo LLC's customer through a dedicated combined heat and power facility to be constructed by the Company. The Company anticipates the project to total $13 million in capital expenditures and is expected to commence commercial operations in the fourth quarter of 2020. The Company incurred $6 million of capital expenditures during the year ended December 31, 2019.</w:t>
      </w:r>
    </w:p>
    <w:p>
      <w:pPr>
        <w:spacing w:after="0" w:line="171"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September 5, 2019, the Company entered into a purchase and sale agreement with DB Energy Assets, LLC to sell 100% of its interests in Energy Center Dover LLC and Energy Center Smyrna LLC. The transaction is subject to standard regulatory approvals and the completion of certain maintenance activities. The related assets and liabilities are recorded as held for sale as of December 31, 2019. The Company recorded an impairment loss of $19 million related to the project during the second quarter of 2019 and recorded the related assets and liabilities as held for sale as of December 31, 2019.</w:t>
      </w:r>
    </w:p>
    <w:p>
      <w:pPr>
        <w:spacing w:after="0" w:line="134"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is party to an Energy Services Agreement with Mylan LLC to supply chilled water, hot water and electricity through a dedicated combined heat and power facility located at Mylan's Caguas, Puerto Rico facility. The Company incurred $4 million and $7 million in capital expenditures during the years ended December 31, 2019 and December 31, 2018, respectively. The project reached COD in the first quarter of 2020.</w:t>
      </w:r>
    </w:p>
    <w:p>
      <w:pPr>
        <w:spacing w:after="0" w:line="92"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On May 1, 2019, the Company, through its indirect subsidiary ECP Uptown Campus LLC, acquired the Duquesne University district energy system, totaling 82 combined MWt, located in Pittsburgh, Pennsylvania. The total investment for the project is approximately $107 million. This includes $100 million related to the purchase of district energy assets, which was funded through a combination of issuance of non-recourse debt in the amount of $95 million, as well as cash on hand. For further discussion see Item 15 —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xml:space="preserve">, and Note 10, </w:t>
      </w:r>
      <w:r>
        <w:rPr>
          <w:rFonts w:ascii="Arial" w:cs="Arial" w:eastAsia="Arial" w:hAnsi="Arial"/>
          <w:sz w:val="16"/>
          <w:szCs w:val="16"/>
          <w:i w:val="1"/>
          <w:iCs w:val="1"/>
          <w:color w:val="auto"/>
        </w:rPr>
        <w:t>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Debt</w:t>
      </w:r>
      <w:r>
        <w:rPr>
          <w:rFonts w:ascii="Arial" w:cs="Arial" w:eastAsia="Arial" w:hAnsi="Arial"/>
          <w:sz w:val="16"/>
          <w:szCs w:val="16"/>
          <w:color w:val="auto"/>
        </w:rPr>
        <w:t>. As part of the acquisition, Duquesne University entered into a 40-year Energy Services Agreement through which ECP Uptown Campus LLC</w:t>
      </w:r>
      <w:r>
        <w:rPr>
          <w:rFonts w:ascii="Arial" w:cs="Arial" w:eastAsia="Arial" w:hAnsi="Arial"/>
          <w:sz w:val="16"/>
          <w:szCs w:val="16"/>
          <w:i w:val="1"/>
          <w:iCs w:val="1"/>
          <w:color w:val="auto"/>
        </w:rPr>
        <w:t xml:space="preserve"> </w:t>
      </w:r>
      <w:r>
        <w:rPr>
          <w:rFonts w:ascii="Arial" w:cs="Arial" w:eastAsia="Arial" w:hAnsi="Arial"/>
          <w:sz w:val="16"/>
          <w:szCs w:val="16"/>
          <w:color w:val="auto"/>
        </w:rPr>
        <w:t>will fulfill the university’s electricity, chilled water and steam requirements in exchange for monthly capacity payments.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 Start Services at Marsh Landing</w:t>
      </w:r>
    </w:p>
    <w:p>
      <w:pPr>
        <w:spacing w:after="0" w:line="360" w:lineRule="exact"/>
        <w:rPr>
          <w:sz w:val="20"/>
          <w:szCs w:val="20"/>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December 1, 2017, the California Independent System Operator selected a proposal by the Company's Marsh Landing project to provide black start capability in the greater San Francisco Bay Area. The black start service would restart Marsh Landing in the event of a blackout to support the California Independent System Operator’s directed restoration of the electrical grid in response to an emergency condition. The Company has advanced the project and will provide additional details dependent on FERC approval rulings.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CVSR Outage</w:t>
      </w:r>
    </w:p>
    <w:p>
      <w:pPr>
        <w:spacing w:after="0" w:line="171" w:lineRule="exact"/>
        <w:rPr>
          <w:sz w:val="20"/>
          <w:szCs w:val="20"/>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June 5, 2019, a fire occurred at the California Valley Solar Ranch project, which affected approximately 1,200 acres of property. While the fire did not impact solar arrays, damage occurred to associated infrastructure including distribution poles and cabling. The facility was restored to full operations on July 1, 2019. The full year impact of the fire was approximately $8 million of lost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Regulatory Matters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Details of environmental matters and regulatory matters are presented in Item 1 — </w:t>
      </w:r>
      <w:r>
        <w:rPr>
          <w:rFonts w:ascii="Arial" w:cs="Arial" w:eastAsia="Arial" w:hAnsi="Arial"/>
          <w:sz w:val="17"/>
          <w:szCs w:val="17"/>
          <w:i w:val="1"/>
          <w:iCs w:val="1"/>
          <w:color w:val="auto"/>
        </w:rPr>
        <w:t>Business, Regulatory Matters</w:t>
      </w:r>
      <w:r>
        <w:rPr>
          <w:rFonts w:ascii="Arial" w:cs="Arial" w:eastAsia="Arial" w:hAnsi="Arial"/>
          <w:sz w:val="17"/>
          <w:szCs w:val="17"/>
          <w:color w:val="auto"/>
        </w:rPr>
        <w:t xml:space="preserve"> and Item 1A—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Details of some of this information relate to costs that may impact the Company's financial results.</w:t>
      </w:r>
    </w:p>
    <w:p>
      <w:pPr>
        <w:spacing w:after="0" w:line="153" w:lineRule="exact"/>
        <w:rPr>
          <w:sz w:val="20"/>
          <w:szCs w:val="20"/>
          <w:color w:val="auto"/>
        </w:rPr>
      </w:pPr>
    </w:p>
    <w:p>
      <w:pPr>
        <w:ind w:right="4900"/>
        <w:spacing w:after="0" w:line="440" w:lineRule="auto"/>
        <w:rPr>
          <w:sz w:val="20"/>
          <w:szCs w:val="20"/>
          <w:color w:val="auto"/>
        </w:rPr>
      </w:pPr>
      <w:r>
        <w:rPr>
          <w:rFonts w:ascii="Arial" w:cs="Arial" w:eastAsia="Arial" w:hAnsi="Arial"/>
          <w:sz w:val="18"/>
          <w:szCs w:val="18"/>
          <w:b w:val="1"/>
          <w:bCs w:val="1"/>
          <w:color w:val="auto"/>
        </w:rPr>
        <w:t xml:space="preserve">Trends or Matters Affecting Results of Operations and Future Business Performance </w:t>
      </w:r>
      <w:r>
        <w:rPr>
          <w:rFonts w:ascii="Arial" w:cs="Arial" w:eastAsia="Arial" w:hAnsi="Arial"/>
          <w:sz w:val="18"/>
          <w:szCs w:val="18"/>
          <w:i w:val="1"/>
          <w:iCs w:val="1"/>
          <w:color w:val="auto"/>
        </w:rPr>
        <w:t>PG&amp;E Bankruptcy</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discussed above, the Company continues to assess the potential future impacts of the PG&amp;E Bankruptcy filing as events occur. However, no impact to the Company’s immediate operating activities has occurred as of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 and Solar Resource Availability</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Capital Market Conditions</w:t>
      </w:r>
    </w:p>
    <w:p>
      <w:pPr>
        <w:spacing w:after="0" w:line="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capital markets in general are often subject to volatility that is unrelated to the operating performance of particular companies. The Company’s growth strategy depends on its ability to identify and acquire additional renewable facilities from CEG and additional conventional and renewable facilities from unaffiliated third parties, which will require access to debt and equity financing to complete such acquisitions or replenish capital for future acquisitions. Any broad market fluctuations may affect the Company’s ability to access such capital through debt or equity financings.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4"/>
                <w:szCs w:val="14"/>
                <w:b w:val="1"/>
                <w:bCs w:val="1"/>
                <w:color w:val="auto"/>
                <w:w w:val="99"/>
              </w:rPr>
              <w:t>Year ended December 31,</w:t>
            </w:r>
          </w:p>
        </w:tc>
        <w:tc>
          <w:tcPr>
            <w:tcW w:w="900" w:type="dxa"/>
            <w:vAlign w:val="bottom"/>
            <w:tcBorders>
              <w:bottom w:val="single" w:sz="8" w:color="auto"/>
            </w:tcBorders>
          </w:tcPr>
          <w:p>
            <w:pPr>
              <w:spacing w:after="0"/>
              <w:rPr>
                <w:sz w:val="16"/>
                <w:szCs w:val="16"/>
                <w:color w:val="auto"/>
              </w:rPr>
            </w:pPr>
          </w:p>
        </w:tc>
      </w:tr>
      <w:tr>
        <w:trPr>
          <w:trHeight w:val="229"/>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Energy and capacity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8"/>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1,038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revenues</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Contract amortization</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Mark-to-market for economic hedges</w:t>
            </w: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5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Cost of fuels</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28"/>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Other costs of operations</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28"/>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Impairment losses</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2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Transaction and integration costs</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2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Development costs</w:t>
            </w: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706</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5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28"/>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Interest expense, net</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(Loss) Income</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720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(Loss) Income Attributable to Clearway Energy LLC</w:t>
            </w:r>
          </w:p>
        </w:tc>
        <w:tc>
          <w:tcPr>
            <w:tcW w:w="5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72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132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70"/>
        </w:trPr>
        <w:tc>
          <w:tcPr>
            <w:tcW w:w="72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3"/>
              </w:rPr>
              <w:t>6,584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7,197</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6,844</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Thermal MWt sold (in thousands)</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11"/>
              <w:spacing w:after="0"/>
              <w:rPr>
                <w:sz w:val="20"/>
                <w:szCs w:val="20"/>
                <w:color w:val="auto"/>
              </w:rPr>
            </w:pPr>
            <w:r>
              <w:rPr>
                <w:rFonts w:ascii="Arial" w:cs="Arial" w:eastAsia="Arial" w:hAnsi="Arial"/>
                <w:sz w:val="18"/>
                <w:szCs w:val="18"/>
                <w:color w:val="auto"/>
                <w:w w:val="93"/>
              </w:rPr>
              <w:t>2,153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1,926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2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(c)</w:t>
            </w: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w:t>
            </w:r>
          </w:p>
        </w:tc>
      </w:tr>
      <w:tr>
        <w:trPr>
          <w:trHeight w:val="270"/>
        </w:trPr>
        <w:tc>
          <w:tcPr>
            <w:tcW w:w="72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(a)(b)</w:t>
            </w: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111"/>
              <w:spacing w:after="0"/>
              <w:rPr>
                <w:sz w:val="20"/>
                <w:szCs w:val="20"/>
                <w:color w:val="auto"/>
              </w:rPr>
            </w:pPr>
            <w:r>
              <w:rPr>
                <w:rFonts w:ascii="Arial" w:cs="Arial" w:eastAsia="Arial" w:hAnsi="Arial"/>
                <w:sz w:val="18"/>
                <w:szCs w:val="18"/>
                <w:color w:val="auto"/>
                <w:w w:val="93"/>
              </w:rPr>
              <w:t>1,095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1,809</w:t>
            </w:r>
          </w:p>
        </w:tc>
      </w:tr>
      <w:tr>
        <w:trPr>
          <w:trHeight w:val="243"/>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Conventional equivalent availability factor</w:t>
            </w: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4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2" w:lineRule="exact"/>
        <w:rPr>
          <w:sz w:val="20"/>
          <w:szCs w:val="20"/>
          <w:color w:val="auto"/>
        </w:rPr>
      </w:pPr>
    </w:p>
    <w:p>
      <w:pPr>
        <w:ind w:left="5620" w:right="5620" w:hanging="5615"/>
        <w:spacing w:after="0" w:line="586" w:lineRule="auto"/>
        <w:rPr>
          <w:sz w:val="20"/>
          <w:szCs w:val="20"/>
          <w:color w:val="auto"/>
        </w:rPr>
      </w:pPr>
      <w:r>
        <w:rPr>
          <w:rFonts w:ascii="Arial" w:cs="Arial" w:eastAsia="Arial" w:hAnsi="Arial"/>
          <w:sz w:val="8"/>
          <w:szCs w:val="8"/>
          <w:color w:val="auto"/>
        </w:rPr>
        <w:t xml:space="preserve">(a) </w:t>
      </w:r>
      <w:r>
        <w:rPr>
          <w:rFonts w:ascii="Arial" w:cs="Arial" w:eastAsia="Arial" w:hAnsi="Arial"/>
          <w:sz w:val="13"/>
          <w:szCs w:val="13"/>
          <w:color w:val="auto"/>
        </w:rPr>
        <w:t>Volumes do not include the MWh generated/sold by the Company's equity method investments.</w:t>
      </w:r>
      <w:r>
        <w:rPr>
          <w:rFonts w:ascii="Arial" w:cs="Arial" w:eastAsia="Arial" w:hAnsi="Arial"/>
          <w:sz w:val="8"/>
          <w:szCs w:val="8"/>
          <w:color w:val="auto"/>
        </w:rPr>
        <w:t xml:space="preserve"> </w:t>
      </w:r>
      <w:r>
        <w:rPr>
          <w:rFonts w:ascii="Arial" w:cs="Arial" w:eastAsia="Arial" w:hAnsi="Arial"/>
          <w:sz w:val="16"/>
          <w:szCs w:val="16"/>
          <w:color w:val="auto"/>
        </w:rPr>
        <w:t>42</w:t>
      </w:r>
    </w:p>
    <w:p>
      <w:pPr>
        <w:sectPr>
          <w:pgSz w:w="11900" w:h="16838" w:orient="portrait"/>
          <w:cols w:equalWidth="0" w:num="1">
            <w:col w:w="11420"/>
          </w:cols>
          <w:pgMar w:left="240" w:top="990" w:right="239" w:bottom="1440" w:gutter="0" w:footer="0" w:header="0"/>
        </w:sectPr>
      </w:pPr>
    </w:p>
    <w:bookmarkStart w:id="42" w:name="page43"/>
    <w:bookmarkEnd w:id="42"/>
    <w:p>
      <w:pPr>
        <w:ind w:left="132" w:hanging="132"/>
        <w:spacing w:after="0"/>
        <w:tabs>
          <w:tab w:leader="none" w:pos="132" w:val="left"/>
        </w:tabs>
        <w:numPr>
          <w:ilvl w:val="0"/>
          <w:numId w:val="24"/>
        </w:numPr>
        <w:rPr>
          <w:rFonts w:ascii="Arial" w:cs="Arial" w:eastAsia="Arial" w:hAnsi="Arial"/>
          <w:sz w:val="9"/>
          <w:szCs w:val="9"/>
          <w:color w:val="auto"/>
        </w:rPr>
      </w:pPr>
      <w:r>
        <w:rPr>
          <w:rFonts w:ascii="Arial" w:cs="Arial" w:eastAsia="Arial" w:hAnsi="Arial"/>
          <w:sz w:val="14"/>
          <w:szCs w:val="14"/>
          <w:color w:val="auto"/>
        </w:rPr>
        <w:t>Volumes generated are not sold as the Conventional facilities sell capacity rather than energy.</w:t>
      </w:r>
    </w:p>
    <w:p>
      <w:pPr>
        <w:spacing w:after="0" w:line="13" w:lineRule="exact"/>
        <w:rPr>
          <w:rFonts w:ascii="Arial" w:cs="Arial" w:eastAsia="Arial" w:hAnsi="Arial"/>
          <w:sz w:val="9"/>
          <w:szCs w:val="9"/>
          <w:color w:val="auto"/>
        </w:rPr>
      </w:pPr>
    </w:p>
    <w:p>
      <w:pPr>
        <w:ind w:left="132" w:hanging="132"/>
        <w:spacing w:after="0"/>
        <w:tabs>
          <w:tab w:leader="none" w:pos="132" w:val="left"/>
        </w:tabs>
        <w:numPr>
          <w:ilvl w:val="0"/>
          <w:numId w:val="24"/>
        </w:numPr>
        <w:rPr>
          <w:rFonts w:ascii="Arial" w:cs="Arial" w:eastAsia="Arial" w:hAnsi="Arial"/>
          <w:sz w:val="8"/>
          <w:szCs w:val="8"/>
          <w:color w:val="auto"/>
        </w:rPr>
      </w:pPr>
      <w:r>
        <w:rPr>
          <w:rFonts w:ascii="Arial" w:cs="Arial" w:eastAsia="Arial" w:hAnsi="Arial"/>
          <w:sz w:val="13"/>
          <w:szCs w:val="13"/>
          <w:color w:val="auto"/>
        </w:rPr>
        <w:t>MWh sold do not include 108 MWh generated by Dover, a subsidiary of the Company, under the PPA with NRG Power Marketing during the year ended December 31, 2018.</w:t>
      </w:r>
    </w:p>
    <w:p>
      <w:pPr>
        <w:spacing w:after="0" w:line="200" w:lineRule="exact"/>
        <w:rPr>
          <w:sz w:val="20"/>
          <w:szCs w:val="20"/>
          <w:color w:val="auto"/>
        </w:rPr>
      </w:pPr>
    </w:p>
    <w:p>
      <w:pPr>
        <w:spacing w:after="0" w:line="345"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11"/>
          </w:cols>
          <w:pgMar w:left="248" w:top="904" w:right="1440" w:bottom="1440" w:gutter="0" w:footer="0" w:header="0"/>
        </w:sectPr>
      </w:pPr>
    </w:p>
    <w:bookmarkStart w:id="43" w:name="page44"/>
    <w:bookmarkEnd w:id="43"/>
    <w:p>
      <w:pPr>
        <w:ind w:right="3620"/>
        <w:spacing w:after="0" w:line="440" w:lineRule="auto"/>
        <w:rPr>
          <w:sz w:val="20"/>
          <w:szCs w:val="20"/>
          <w:color w:val="auto"/>
        </w:rPr>
      </w:pPr>
      <w:r>
        <w:rPr>
          <w:rFonts w:ascii="Arial" w:cs="Arial" w:eastAsia="Arial" w:hAnsi="Arial"/>
          <w:sz w:val="18"/>
          <w:szCs w:val="18"/>
          <w:b w:val="1"/>
          <w:bCs w:val="1"/>
          <w:color w:val="auto"/>
        </w:rPr>
        <w:t xml:space="preserve">Management’s discussion of the results of operations for the years ended December 31, 2019 and 2018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plus other revenues,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years ended December 31, 2019 and 2018:</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Conventional</w:t>
            </w:r>
          </w:p>
        </w:tc>
        <w:tc>
          <w:tcPr>
            <w:tcW w:w="14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Renewables</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6"/>
                <w:szCs w:val="16"/>
                <w:color w:val="auto"/>
              </w:rPr>
            </w:pPr>
          </w:p>
        </w:tc>
        <w:tc>
          <w:tcPr>
            <w:tcW w:w="900" w:type="dxa"/>
            <w:vAlign w:val="bottom"/>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160"/>
              <w:spacing w:after="0"/>
              <w:rPr>
                <w:sz w:val="20"/>
                <w:szCs w:val="20"/>
                <w:color w:val="auto"/>
              </w:rPr>
            </w:pPr>
            <w:r>
              <w:rPr>
                <w:rFonts w:ascii="Arial" w:cs="Arial" w:eastAsia="Arial" w:hAnsi="Arial"/>
                <w:sz w:val="18"/>
                <w:szCs w:val="18"/>
                <w:color w:val="auto"/>
              </w:rPr>
              <w:t>Energy and capacity revenues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revenues</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280" w:type="dxa"/>
            <w:vAlign w:val="bottom"/>
          </w:tcPr>
          <w:p>
            <w:pPr>
              <w:ind w:left="160"/>
              <w:spacing w:after="0"/>
              <w:rPr>
                <w:sz w:val="20"/>
                <w:szCs w:val="20"/>
                <w:color w:val="auto"/>
              </w:rPr>
            </w:pPr>
            <w:r>
              <w:rPr>
                <w:rFonts w:ascii="Arial" w:cs="Arial" w:eastAsia="Arial" w:hAnsi="Arial"/>
                <w:sz w:val="18"/>
                <w:szCs w:val="18"/>
                <w:color w:val="auto"/>
              </w:rPr>
              <w:t>Cost of fuels</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Contract amortization</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280" w:type="dxa"/>
            <w:vAlign w:val="bottom"/>
          </w:tcPr>
          <w:p>
            <w:pPr>
              <w:ind w:left="160"/>
              <w:spacing w:after="0"/>
              <w:rPr>
                <w:sz w:val="20"/>
                <w:szCs w:val="20"/>
                <w:color w:val="auto"/>
              </w:rPr>
            </w:pPr>
            <w:r>
              <w:rPr>
                <w:rFonts w:ascii="Arial" w:cs="Arial" w:eastAsia="Arial" w:hAnsi="Arial"/>
                <w:sz w:val="18"/>
                <w:szCs w:val="18"/>
                <w:color w:val="auto"/>
              </w:rPr>
              <w:t>Mark-to-market for economic hedges</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Gross margin</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7"/>
        </w:trPr>
        <w:tc>
          <w:tcPr>
            <w:tcW w:w="428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14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Mark-to-market economic hedging activities</w:t>
            </w:r>
          </w:p>
        </w:tc>
        <w:tc>
          <w:tcPr>
            <w:tcW w:w="1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4280" w:type="dxa"/>
            <w:vAlign w:val="bottom"/>
            <w:tcBorders>
              <w:bottom w:val="single" w:sz="8" w:color="CCEEFF"/>
            </w:tcBorders>
          </w:tcPr>
          <w:p>
            <w:pPr>
              <w:ind w:left="260"/>
              <w:spacing w:after="0"/>
              <w:rPr>
                <w:sz w:val="20"/>
                <w:szCs w:val="20"/>
                <w:color w:val="auto"/>
              </w:rPr>
            </w:pPr>
            <w:r>
              <w:rPr>
                <w:rFonts w:ascii="Arial" w:cs="Arial" w:eastAsia="Arial" w:hAnsi="Arial"/>
                <w:sz w:val="18"/>
                <w:szCs w:val="18"/>
                <w:b w:val="1"/>
                <w:bCs w:val="1"/>
                <w:color w:val="auto"/>
              </w:rPr>
              <w:t>Economic gross margin</w:t>
            </w:r>
          </w:p>
        </w:tc>
        <w:tc>
          <w:tcPr>
            <w:tcW w:w="14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Year ended December 31, 2018</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Energy and capacity revenues</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43"/>
        </w:trPr>
        <w:tc>
          <w:tcPr>
            <w:tcW w:w="428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fuels</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428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Gross margin</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37"/>
        </w:trPr>
        <w:tc>
          <w:tcPr>
            <w:tcW w:w="428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14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Economic gross margin</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2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7"/>
          <w:szCs w:val="17"/>
          <w:color w:val="auto"/>
        </w:rPr>
        <w:t>Gross margin decreased by $21 million during the year ended December 31, 2019, compared to the same period in 2018, primarily due to:</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(Decrease)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Segment</w:t>
            </w:r>
          </w:p>
        </w:tc>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Increase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Reason for (Decrease) Increase</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millions)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Primarily driven by a decrease of $28 million related to unfavorable wind and solar resources across the</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portfolio, an $8 million decrease at CVSR related to the June 2019 outage and $9 million in mark-to-market loss</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on the Elbow Creek forward power sale contract entered into during the first quarter of 2019. This decrease was</w:t>
            </w:r>
          </w:p>
        </w:tc>
        <w:tc>
          <w:tcPr>
            <w:tcW w:w="0" w:type="dxa"/>
            <w:vAlign w:val="bottom"/>
          </w:tcPr>
          <w:p>
            <w:pPr>
              <w:spacing w:after="0"/>
              <w:rPr>
                <w:sz w:val="1"/>
                <w:szCs w:val="1"/>
                <w:color w:val="auto"/>
              </w:rPr>
            </w:pPr>
          </w:p>
        </w:tc>
      </w:tr>
      <w:tr>
        <w:trPr>
          <w:trHeight w:val="216"/>
        </w:trPr>
        <w:tc>
          <w:tcPr>
            <w:tcW w:w="16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Renewables: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partially offset by $7 million of revenue generated at the Buckthorn Solar project which reached COD in July</w:t>
            </w: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gridSpan w:val="2"/>
            <w:vMerge w:val="continue"/>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9"/>
        </w:trPr>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Conventional:</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w w:val="98"/>
              </w:rPr>
              <w:t>Increase of $8 million due to the Carlsbad Energy Center acquisition on December 5, 2019 as well as $2</w:t>
            </w:r>
          </w:p>
        </w:tc>
        <w:tc>
          <w:tcPr>
            <w:tcW w:w="0" w:type="dxa"/>
            <w:vAlign w:val="bottom"/>
          </w:tcPr>
          <w:p>
            <w:pPr>
              <w:spacing w:after="0"/>
              <w:rPr>
                <w:sz w:val="1"/>
                <w:szCs w:val="1"/>
                <w:color w:val="auto"/>
              </w:rPr>
            </w:pPr>
          </w:p>
        </w:tc>
      </w:tr>
      <w:tr>
        <w:trPr>
          <w:trHeight w:val="230"/>
        </w:trPr>
        <w:tc>
          <w:tcPr>
            <w:tcW w:w="1620" w:type="dxa"/>
            <w:vAlign w:val="bottom"/>
            <w:gridSpan w:val="2"/>
            <w:vMerge w:val="continue"/>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8220" w:type="dxa"/>
            <w:vAlign w:val="bottom"/>
          </w:tcPr>
          <w:p>
            <w:pPr>
              <w:ind w:left="40"/>
              <w:spacing w:after="0"/>
              <w:rPr>
                <w:sz w:val="20"/>
                <w:szCs w:val="20"/>
                <w:color w:val="auto"/>
              </w:rPr>
            </w:pPr>
            <w:r>
              <w:rPr>
                <w:rFonts w:ascii="Arial" w:cs="Arial" w:eastAsia="Arial" w:hAnsi="Arial"/>
                <w:sz w:val="18"/>
                <w:szCs w:val="18"/>
                <w:color w:val="auto"/>
              </w:rPr>
              <w:t>million primarily due to lower outages in 2019 compared to 2018.</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Thermal</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Increase of $5 million due to the acquisition of Duquesne University District Energy System on May 1, 2019,</w:t>
            </w:r>
          </w:p>
        </w:tc>
        <w:tc>
          <w:tcPr>
            <w:tcW w:w="0" w:type="dxa"/>
            <w:vAlign w:val="bottom"/>
          </w:tcPr>
          <w:p>
            <w:pPr>
              <w:spacing w:after="0"/>
              <w:rPr>
                <w:sz w:val="1"/>
                <w:szCs w:val="1"/>
                <w:color w:val="auto"/>
              </w:rPr>
            </w:pPr>
          </w:p>
        </w:tc>
      </w:tr>
      <w:tr>
        <w:trPr>
          <w:trHeight w:val="257"/>
        </w:trPr>
        <w:tc>
          <w:tcPr>
            <w:tcW w:w="1620" w:type="dxa"/>
            <w:vAlign w:val="bottom"/>
            <w:tcBorders>
              <w:bottom w:val="single" w:sz="8" w:color="CCEEFF"/>
            </w:tcBorders>
            <w:gridSpan w:val="2"/>
            <w:vMerge w:val="continue"/>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as well as $2 million related to the UPMC Thermal Project, which was completed in the second quarter of 2018.</w:t>
            </w: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Operations and maintenance expense increased by $7 million during the year ended December 31, 2019 compared to the same period in 2018, primarily driven by higher insurance claims, which lowered expense in 2018, as well higher operations and maintenance costs in the Renewables segment in connection with fire damages at CVSR.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costs of operations increased by $3 million primarily due to higher insurance costs across the segments, as well as ARO accretion due to certain Renewables projects, which reached COD in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7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 xml:space="preserve">Depreciation and amortization expense increased by $65 million during the year ended December 31, 2019, compared to 2018, primarily due to </w:t>
      </w:r>
      <w:r>
        <w:rPr>
          <w:rFonts w:ascii="Arial" w:cs="Arial" w:eastAsia="Arial" w:hAnsi="Arial"/>
          <w:sz w:val="15"/>
          <w:szCs w:val="15"/>
          <w:color w:val="auto"/>
        </w:rPr>
        <w:t xml:space="preserve">accelerated depreciation at the Wildorado Wind and Elbow Creek projects in connection with the repowering activities, which resulted in an additional </w:t>
      </w:r>
      <w:r>
        <w:rPr>
          <w:rFonts w:ascii="Arial" w:cs="Arial" w:eastAsia="Arial" w:hAnsi="Arial"/>
          <w:sz w:val="16"/>
          <w:szCs w:val="16"/>
          <w:color w:val="auto"/>
        </w:rPr>
        <w:t>$54 million</w:t>
      </w:r>
      <w:r>
        <w:rPr>
          <w:rFonts w:ascii="Arial" w:cs="Arial" w:eastAsia="Arial" w:hAnsi="Arial"/>
          <w:sz w:val="15"/>
          <w:szCs w:val="15"/>
          <w:color w:val="auto"/>
        </w:rPr>
        <w:t xml:space="preserve"> of depreciation expense. The remaining increase in depreciation expense is due to several projects in the Renewables segment reaching COD throughout 2018 and 2019, as well as increased acquisition activity in the Thermal and Conventional segments in 2019, as further described in Item 15 </w:t>
      </w:r>
      <w:r>
        <w:rPr>
          <w:rFonts w:ascii="Arial" w:cs="Arial" w:eastAsia="Arial" w:hAnsi="Arial"/>
          <w:sz w:val="16"/>
          <w:szCs w:val="16"/>
          <w:color w:val="auto"/>
        </w:rPr>
        <w:t>—</w:t>
      </w:r>
      <w:r>
        <w:rPr>
          <w:rFonts w:ascii="Arial" w:cs="Arial" w:eastAsia="Arial" w:hAnsi="Arial"/>
          <w:sz w:val="15"/>
          <w:szCs w:val="15"/>
          <w:color w:val="auto"/>
        </w:rPr>
        <w:t xml:space="preserve"> Note 3, </w:t>
      </w:r>
      <w:r>
        <w:rPr>
          <w:rFonts w:ascii="Arial" w:cs="Arial" w:eastAsia="Arial" w:hAnsi="Arial"/>
          <w:sz w:val="15"/>
          <w:szCs w:val="15"/>
          <w:i w:val="1"/>
          <w:iCs w:val="1"/>
          <w:color w:val="auto"/>
        </w:rPr>
        <w:t>Acquisitions and Dispositions.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recorded impairment losses of $33 million for the year ended December 31, 2019, of which $19 million relates to a project within Thermal segment and was recorded in connection with the Company entering into a purchase and sale agreement with DB Energy Assets, LLC on September 9, 2019, as further described in Item 15 —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xml:space="preserve">. The Company also recorded an impairment loss of $14 million related to several wind projects from the Renewables segment, as further described in Item 15 — Note 9, </w:t>
      </w:r>
      <w:r>
        <w:rPr>
          <w:rFonts w:ascii="Arial" w:cs="Arial" w:eastAsia="Arial" w:hAnsi="Arial"/>
          <w:sz w:val="17"/>
          <w:szCs w:val="17"/>
          <w:i w:val="1"/>
          <w:iCs w:val="1"/>
          <w:color w:val="auto"/>
        </w:rPr>
        <w:t>Asset Impairments</w:t>
      </w:r>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General and administrative expenses increased by $7 million for the year ended December 31, 2019 compared to the same period in 2018 due to increase in headcount, primarily in the Corporate and Thermal segments, resulting from the separation from NRG due to the GIP Transaction.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Integration Costs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Transaction and integration related costs of $3 million during the year ended December 31, 2019, reflect costs incurred by the Company under the TSA with NRG, as further described in </w:t>
      </w:r>
      <w:r>
        <w:rPr>
          <w:rFonts w:ascii="Arial" w:cs="Arial" w:eastAsia="Arial" w:hAnsi="Arial"/>
          <w:sz w:val="16"/>
          <w:szCs w:val="16"/>
          <w:color w:val="auto"/>
        </w:rPr>
        <w:t>Item 15</w:t>
      </w:r>
      <w:r>
        <w:rPr>
          <w:rFonts w:ascii="Arial" w:cs="Arial" w:eastAsia="Arial" w:hAnsi="Arial"/>
          <w:sz w:val="17"/>
          <w:szCs w:val="17"/>
          <w:color w:val="auto"/>
        </w:rPr>
        <w:t xml:space="preserve"> —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 as well as fees paid in connection with the acquisitions that took place in 2019. Transaction and integration costs of $20 million during the year ended December 31, 2018, reflect fees paid to advisors and other costs associated with the GIP Transaction, as well as fees paid in connection with the acquisitions that took place in 2018.</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Development Costs</w:t>
      </w:r>
    </w:p>
    <w:p>
      <w:pPr>
        <w:spacing w:after="0" w:line="21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Development costs increased by $2 million during the year ended December 31, 2019 primarily due to higher business development activity within the Thermal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Equity in earnings of unconsolidated affiliates increased by $9 million during the year ended December 31, 2019 compared to the same period in 2018, primarily due to higher income allocated to RPV Holdco in 2019 compared to 2018, partially offset by higher losses at Desert Sunlight, DGPV Holdco entities, as well as GenConn and Avenal.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recorded loss on debt extinguishment of $16 million for the year ended December 31, 2019, $15 million of which relates to the redemption of the 2024 Senior Notes. On December 13, 2019, the Company repurchased an aggregate principal amount of $412 million, or 82.4% of the 2024 Senior Notes, which was effectuated at a premium of 103% for a total consideration of $424 million and as a result, the Company recorded a loss on extinguishment in the amount of $12 million. In addition, the Company recorded a $3 million debt extinguishment loss in connection with the write off of the deferred financing fees related to the 2024 Senior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expense increased by $109 million during the year ended December 31, 2019, compared to the same period in 2018 primarily due to:</w:t>
      </w:r>
    </w:p>
    <w:p>
      <w:pPr>
        <w:sectPr>
          <w:pgSz w:w="11900" w:h="16838" w:orient="portrait"/>
          <w:cols w:equalWidth="0" w:num="1">
            <w:col w:w="11420"/>
          </w:cols>
          <w:pgMar w:left="240" w:top="962"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Reason for 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3720" cy="308610"/>
                    </a:xfrm>
                    <a:prstGeom prst="rect">
                      <a:avLst/>
                    </a:prstGeom>
                    <a:noFill/>
                  </pic:spPr>
                </pic:pic>
              </a:graphicData>
            </a:graphic>
          </wp:anchor>
        </w:drawing>
      </w:r>
    </w:p>
    <w:p>
      <w:pPr>
        <w:spacing w:after="0" w:line="30" w:lineRule="exact"/>
        <w:rPr>
          <w:sz w:val="20"/>
          <w:szCs w:val="20"/>
          <w:color w:val="auto"/>
        </w:rPr>
      </w:pPr>
    </w:p>
    <w:p>
      <w:pPr>
        <w:ind w:left="460" w:right="320" w:hanging="161"/>
        <w:spacing w:after="0" w:line="277" w:lineRule="auto"/>
        <w:rPr>
          <w:sz w:val="20"/>
          <w:szCs w:val="20"/>
          <w:color w:val="auto"/>
        </w:rPr>
      </w:pPr>
      <w:r>
        <w:rPr>
          <w:rFonts w:ascii="Arial" w:cs="Arial" w:eastAsia="Arial" w:hAnsi="Arial"/>
          <w:sz w:val="18"/>
          <w:szCs w:val="18"/>
          <w:color w:val="auto"/>
        </w:rPr>
        <w:t>Change in fair value of interest rate swaps as well as reclassification of losses previously deferred in AOCI to the statement of operations in connection with project-level debt financing activities</w:t>
      </w:r>
    </w:p>
    <w:p>
      <w:pPr>
        <w:spacing w:after="0" w:line="8" w:lineRule="exact"/>
        <w:rPr>
          <w:sz w:val="20"/>
          <w:szCs w:val="20"/>
          <w:color w:val="auto"/>
        </w:rPr>
      </w:pPr>
    </w:p>
    <w:p>
      <w:pPr>
        <w:ind w:left="460" w:right="60" w:hanging="161"/>
        <w:spacing w:after="0" w:line="298" w:lineRule="auto"/>
        <w:rPr>
          <w:sz w:val="20"/>
          <w:szCs w:val="20"/>
          <w:color w:val="auto"/>
        </w:rPr>
      </w:pPr>
      <w:r>
        <w:rPr>
          <w:rFonts w:ascii="Arial" w:cs="Arial" w:eastAsia="Arial" w:hAnsi="Arial"/>
          <w:sz w:val="17"/>
          <w:szCs w:val="17"/>
          <w:color w:val="auto"/>
        </w:rPr>
        <w:t>Issuance of 2025 Senior Notes, partially offset by lower interest expense for the intercompany notes between Clearway Operating LLC and Clearway, Inc., which were partially repaid in connection with the tender offer in October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-6985</wp:posOffset>
            </wp:positionV>
            <wp:extent cx="69037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3720" cy="445770"/>
                    </a:xfrm>
                    <a:prstGeom prst="rect">
                      <a:avLst/>
                    </a:prstGeom>
                    <a:noFill/>
                  </pic:spPr>
                </pic:pic>
              </a:graphicData>
            </a:graphic>
          </wp:anchor>
        </w:drawing>
      </w:r>
    </w:p>
    <w:p>
      <w:pPr>
        <w:jc w:val="both"/>
        <w:ind w:left="460" w:hanging="161"/>
        <w:spacing w:after="0" w:line="264" w:lineRule="auto"/>
        <w:rPr>
          <w:sz w:val="20"/>
          <w:szCs w:val="20"/>
          <w:color w:val="auto"/>
        </w:rPr>
      </w:pPr>
      <w:r>
        <w:rPr>
          <w:rFonts w:ascii="Arial" w:cs="Arial" w:eastAsia="Arial" w:hAnsi="Arial"/>
          <w:sz w:val="18"/>
          <w:szCs w:val="18"/>
          <w:color w:val="auto"/>
        </w:rPr>
        <w:t>Additional interest expense primarily from the issuance of Energy Center Minneapolis Series E, F, G, H Notes in June 2018 and in connection with acquisitions in the Thermal and Conventional segments, partially offset by lower interest expense due to lower principal balances of project level debt across the segments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33"/>
        <w:spacing w:after="0"/>
        <w:rPr>
          <w:sz w:val="20"/>
          <w:szCs w:val="20"/>
          <w:color w:val="auto"/>
        </w:rPr>
      </w:pPr>
      <w:r>
        <w:rPr>
          <w:rFonts w:ascii="Arial" w:cs="Arial" w:eastAsia="Arial" w:hAnsi="Arial"/>
          <w:sz w:val="14"/>
          <w:szCs w:val="14"/>
          <w:b w:val="1"/>
          <w:bCs w:val="1"/>
          <w:color w:val="auto"/>
        </w:rPr>
        <w:t>(In millions)</w:t>
      </w:r>
    </w:p>
    <w:p>
      <w:pPr>
        <w:spacing w:after="0" w:line="284" w:lineRule="exact"/>
        <w:rPr>
          <w:sz w:val="20"/>
          <w:szCs w:val="20"/>
          <w:color w:val="auto"/>
        </w:rPr>
      </w:pPr>
    </w:p>
    <w:p>
      <w:pPr>
        <w:ind w:left="973" w:hanging="973"/>
        <w:spacing w:after="0"/>
        <w:tabs>
          <w:tab w:leader="none" w:pos="973" w:val="left"/>
        </w:tabs>
        <w:numPr>
          <w:ilvl w:val="0"/>
          <w:numId w:val="25"/>
        </w:numPr>
        <w:rPr>
          <w:rFonts w:ascii="Arial" w:cs="Arial" w:eastAsia="Arial" w:hAnsi="Arial"/>
          <w:sz w:val="14"/>
          <w:szCs w:val="14"/>
          <w:color w:val="auto"/>
        </w:rPr>
      </w:pPr>
      <w:r>
        <w:rPr>
          <w:rFonts w:ascii="Arial" w:cs="Arial" w:eastAsia="Arial" w:hAnsi="Arial"/>
          <w:sz w:val="14"/>
          <w:szCs w:val="14"/>
          <w:color w:val="auto"/>
        </w:rPr>
        <w:t>91</w:t>
      </w:r>
    </w:p>
    <w:p>
      <w:pPr>
        <w:spacing w:after="0" w:line="325" w:lineRule="exact"/>
        <w:rPr>
          <w:rFonts w:ascii="Arial" w:cs="Arial" w:eastAsia="Arial" w:hAnsi="Arial"/>
          <w:sz w:val="14"/>
          <w:szCs w:val="14"/>
          <w:color w:val="auto"/>
        </w:rPr>
      </w:pPr>
    </w:p>
    <w:p>
      <w:pPr>
        <w:ind w:left="973"/>
        <w:spacing w:after="0"/>
        <w:rPr>
          <w:rFonts w:ascii="Arial" w:cs="Arial" w:eastAsia="Arial" w:hAnsi="Arial"/>
          <w:sz w:val="14"/>
          <w:szCs w:val="14"/>
          <w:color w:val="auto"/>
        </w:rPr>
      </w:pPr>
      <w:r>
        <w:rPr>
          <w:rFonts w:ascii="Arial" w:cs="Arial" w:eastAsia="Arial" w:hAnsi="Arial"/>
          <w:sz w:val="14"/>
          <w:szCs w:val="14"/>
          <w:color w:val="auto"/>
        </w:rPr>
        <w:t>11</w:t>
      </w:r>
    </w:p>
    <w:p>
      <w:pPr>
        <w:spacing w:after="0" w:line="200" w:lineRule="exact"/>
        <w:rPr>
          <w:sz w:val="20"/>
          <w:szCs w:val="20"/>
          <w:color w:val="auto"/>
        </w:rPr>
      </w:pPr>
    </w:p>
    <w:p>
      <w:pPr>
        <w:spacing w:after="0" w:line="341" w:lineRule="exact"/>
        <w:rPr>
          <w:sz w:val="20"/>
          <w:szCs w:val="20"/>
          <w:color w:val="auto"/>
        </w:rPr>
      </w:pPr>
    </w:p>
    <w:p>
      <w:pPr>
        <w:ind w:left="1053"/>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49530</wp:posOffset>
            </wp:positionV>
            <wp:extent cx="8058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85" w:lineRule="exact"/>
        <w:rPr>
          <w:sz w:val="20"/>
          <w:szCs w:val="20"/>
          <w:color w:val="auto"/>
        </w:rPr>
      </w:pPr>
    </w:p>
    <w:p>
      <w:pPr>
        <w:ind w:left="873" w:hanging="873"/>
        <w:spacing w:after="0"/>
        <w:tabs>
          <w:tab w:leader="none" w:pos="873" w:val="left"/>
        </w:tabs>
        <w:numPr>
          <w:ilvl w:val="0"/>
          <w:numId w:val="26"/>
        </w:numPr>
        <w:rPr>
          <w:rFonts w:ascii="Arial" w:cs="Arial" w:eastAsia="Arial" w:hAnsi="Arial"/>
          <w:sz w:val="15"/>
          <w:szCs w:val="15"/>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53975</wp:posOffset>
            </wp:positionV>
            <wp:extent cx="8058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71120</wp:posOffset>
            </wp:positionV>
            <wp:extent cx="8058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651" w:lineRule="exact"/>
        <w:rPr>
          <w:sz w:val="20"/>
          <w:szCs w:val="20"/>
          <w:color w:val="auto"/>
        </w:rPr>
      </w:pPr>
    </w:p>
    <w:p>
      <w:pPr>
        <w:sectPr>
          <w:pgSz w:w="11900" w:h="16838" w:orient="portrait"/>
          <w:cols w:equalWidth="0" w:num="2">
            <w:col w:w="9700" w:space="207"/>
            <w:col w:w="1513"/>
          </w:cols>
          <w:pgMar w:left="240" w:top="962" w:right="239" w:bottom="1440" w:gutter="0" w:footer="0" w:header="0"/>
          <w:type w:val="continuous"/>
        </w:sect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2019, the Company had a net loss of $57 million attributable to noncontrolling interests with respect to its tax equity financing arrangements and the application of the HLBV method, as well as a net loss of $21 million attributable to CEG's economic interest in Repowering, Oahu and Kawailoa partnerships. The losses were partially offset by $7 million of income attributable to a third party's interest in Kawailoa partnership.</w:t>
      </w:r>
    </w:p>
    <w:p>
      <w:pPr>
        <w:spacing w:after="0" w:line="13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the year ended December 31, 2018, the Company had a loss of $1 million attributable to CEG's economic interest in Repowering LLC and a loss of $104 million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962"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 the</w:t>
      </w:r>
      <w:r>
        <w:rPr>
          <w:rFonts w:ascii="Arial" w:cs="Arial" w:eastAsia="Arial" w:hAnsi="Arial"/>
          <w:sz w:val="17"/>
          <w:szCs w:val="17"/>
          <w:color w:val="231F20"/>
        </w:rPr>
        <w:t xml:space="preserve"> </w:t>
      </w:r>
      <w:r>
        <w:rPr>
          <w:rFonts w:ascii="Arial" w:cs="Arial" w:eastAsia="Arial" w:hAnsi="Arial"/>
          <w:sz w:val="17"/>
          <w:szCs w:val="17"/>
          <w:color w:val="000000"/>
        </w:rPr>
        <w:t>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2019</w:t>
      </w:r>
      <w:r>
        <w:rPr>
          <w:rFonts w:ascii="Arial" w:cs="Arial" w:eastAsia="Arial" w:hAnsi="Arial"/>
          <w:sz w:val="18"/>
          <w:szCs w:val="18"/>
          <w:color w:val="231F20"/>
        </w:rPr>
        <w:t xml:space="preserve"> and 2018, the Company's liquidity was approximately $839 million and $1,037 million, respectively, comprised of cash, restricted cash and availability under the Company's revolving credit facility.</w:t>
      </w:r>
    </w:p>
    <w:p>
      <w:pPr>
        <w:spacing w:after="0" w:line="338"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w w:val="90"/>
              </w:rPr>
              <w:t>As of December 31,</w:t>
            </w:r>
          </w:p>
        </w:tc>
        <w:tc>
          <w:tcPr>
            <w:tcW w:w="500" w:type="dxa"/>
            <w:vAlign w:val="bottom"/>
            <w:tcBorders>
              <w:bottom w:val="single" w:sz="8" w:color="auto"/>
            </w:tcBorders>
          </w:tcPr>
          <w:p>
            <w:pPr>
              <w:spacing w:after="0"/>
              <w:rPr>
                <w:sz w:val="16"/>
                <w:szCs w:val="16"/>
                <w:color w:val="auto"/>
              </w:rPr>
            </w:pPr>
          </w:p>
        </w:tc>
      </w:tr>
      <w:tr>
        <w:trPr>
          <w:trHeight w:val="264"/>
        </w:trPr>
        <w:tc>
          <w:tcPr>
            <w:tcW w:w="78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50"/>
        </w:trPr>
        <w:tc>
          <w:tcPr>
            <w:tcW w:w="78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21"/>
                <w:szCs w:val="2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260"/>
              <w:spacing w:after="0"/>
              <w:rPr>
                <w:sz w:val="20"/>
                <w:szCs w:val="20"/>
                <w:color w:val="auto"/>
              </w:rPr>
            </w:pPr>
            <w:r>
              <w:rPr>
                <w:rFonts w:ascii="Arial" w:cs="Arial" w:eastAsia="Arial" w:hAnsi="Arial"/>
                <w:sz w:val="16"/>
                <w:szCs w:val="16"/>
                <w:color w:val="auto"/>
              </w:rPr>
              <w:t>Clearway Energy LLC, excluding subsidiaries</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298</w:t>
            </w:r>
          </w:p>
        </w:tc>
      </w:tr>
      <w:tr>
        <w:trPr>
          <w:trHeight w:val="33"/>
        </w:trPr>
        <w:tc>
          <w:tcPr>
            <w:tcW w:w="7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Subsidiaries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r>
        <w:trPr>
          <w:trHeight w:val="237"/>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Restricted cash:</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Operating accounts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37"/>
        </w:trPr>
        <w:tc>
          <w:tcPr>
            <w:tcW w:w="7820" w:type="dxa"/>
            <w:vAlign w:val="bottom"/>
          </w:tcPr>
          <w:p>
            <w:pPr>
              <w:ind w:left="26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840" w:type="dxa"/>
            <w:vAlign w:val="bottom"/>
          </w:tcPr>
          <w:p>
            <w:pPr>
              <w:spacing w:after="0"/>
              <w:rPr>
                <w:sz w:val="20"/>
                <w:szCs w:val="20"/>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33"/>
        </w:trPr>
        <w:tc>
          <w:tcPr>
            <w:tcW w:w="78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r>
      <w:tr>
        <w:trPr>
          <w:trHeight w:val="237"/>
        </w:trPr>
        <w:tc>
          <w:tcPr>
            <w:tcW w:w="7820" w:type="dxa"/>
            <w:vAlign w:val="bottom"/>
          </w:tcPr>
          <w:p>
            <w:pPr>
              <w:ind w:left="20"/>
              <w:spacing w:after="0"/>
              <w:rPr>
                <w:sz w:val="20"/>
                <w:szCs w:val="20"/>
                <w:color w:val="auto"/>
              </w:rPr>
            </w:pPr>
            <w:r>
              <w:rPr>
                <w:rFonts w:ascii="Arial" w:cs="Arial" w:eastAsia="Arial" w:hAnsi="Arial"/>
                <w:sz w:val="16"/>
                <w:szCs w:val="16"/>
                <w:color w:val="auto"/>
              </w:rPr>
              <w:t>Revolving credit facility availability</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454</w:t>
            </w:r>
          </w:p>
        </w:tc>
      </w:tr>
      <w:tr>
        <w:trPr>
          <w:trHeight w:val="33"/>
        </w:trPr>
        <w:tc>
          <w:tcPr>
            <w:tcW w:w="78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liquidity</w:t>
            </w: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1,037</w:t>
            </w:r>
          </w:p>
        </w:tc>
      </w:tr>
      <w:tr>
        <w:trPr>
          <w:trHeight w:val="20"/>
        </w:trPr>
        <w:tc>
          <w:tcPr>
            <w:tcW w:w="7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 xml:space="preserve">The Company's liquidity includes $262 million and $176 million of restricted cash balances as of December 31, 2019 and </w:t>
      </w:r>
      <w:r>
        <w:rPr>
          <w:rFonts w:ascii="Arial" w:cs="Arial" w:eastAsia="Arial" w:hAnsi="Arial"/>
          <w:sz w:val="17"/>
          <w:szCs w:val="17"/>
          <w:color w:val="000000"/>
        </w:rPr>
        <w:t>2018</w:t>
      </w:r>
      <w:r>
        <w:rPr>
          <w:rFonts w:ascii="Arial" w:cs="Arial" w:eastAsia="Arial" w:hAnsi="Arial"/>
          <w:sz w:val="17"/>
          <w:szCs w:val="17"/>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7"/>
          <w:szCs w:val="17"/>
          <w:color w:val="000000"/>
        </w:rPr>
        <w:t>December 31, 2019, these restricted funds comprised of $129 million designated to fund operating expenses, approximately $24</w:t>
      </w:r>
      <w:r>
        <w:rPr>
          <w:rFonts w:ascii="Arial" w:cs="Arial" w:eastAsia="Arial" w:hAnsi="Arial"/>
          <w:sz w:val="17"/>
          <w:szCs w:val="17"/>
          <w:color w:val="231F20"/>
        </w:rPr>
        <w:t xml:space="preserve"> </w:t>
      </w:r>
      <w:r>
        <w:rPr>
          <w:rFonts w:ascii="Arial" w:cs="Arial" w:eastAsia="Arial" w:hAnsi="Arial"/>
          <w:sz w:val="17"/>
          <w:szCs w:val="17"/>
          <w:color w:val="000000"/>
        </w:rPr>
        <w:t>million designated for current debt service payments, and $30 million restricted for reserves including debt service, performance obligations and other reserves, as well as capital expenditures. The remaining $79 million is held in distribution reserve accounts, of which $58 million related to subsidiaries affected by the PG&amp;E Bankruptcy as discussed further below and may not be distributed during the pendency of the bankruptcy. Such subsidiaries had a total of $177 million in restricted cash as of December 31, 2019.</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2019</w:t>
      </w:r>
      <w:r>
        <w:rPr>
          <w:rFonts w:ascii="Arial" w:cs="Arial" w:eastAsia="Arial" w:hAnsi="Arial"/>
          <w:sz w:val="18"/>
          <w:szCs w:val="18"/>
          <w:color w:val="231F20"/>
        </w:rPr>
        <w:t xml:space="preserve">, the Company had no borrowings under the revolving credit facility and $70 million of letters of credit were outstanding under the revolving credit facility. </w:t>
      </w:r>
      <w:r>
        <w:rPr>
          <w:rFonts w:ascii="Arial" w:cs="Arial" w:eastAsia="Arial" w:hAnsi="Arial"/>
          <w:sz w:val="18"/>
          <w:szCs w:val="18"/>
          <w:color w:val="000000"/>
        </w:rPr>
        <w:t>The Company had $170 million outstanding under the revolving credit facility and a total of $69 million in letters of credit</w:t>
      </w:r>
      <w:r>
        <w:rPr>
          <w:rFonts w:ascii="Arial" w:cs="Arial" w:eastAsia="Arial" w:hAnsi="Arial"/>
          <w:sz w:val="18"/>
          <w:szCs w:val="18"/>
          <w:color w:val="231F20"/>
        </w:rPr>
        <w:t xml:space="preserve"> </w:t>
      </w:r>
      <w:r>
        <w:rPr>
          <w:rFonts w:ascii="Arial" w:cs="Arial" w:eastAsia="Arial" w:hAnsi="Arial"/>
          <w:sz w:val="18"/>
          <w:szCs w:val="18"/>
          <w:color w:val="000000"/>
        </w:rPr>
        <w:t>outstanding as of February 24, 2020.</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29, 2019, PG&amp;E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filing is an event of default under the related financing agreements which caused uncertainty around the timing of when certain project-level cash distributions will be available to the Company. As of December 31, 2019, all project level cash balances for these subsidiaries were classified as restricted cash.</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12529"/>
        </w:rPr>
        <w:t>On December 20, 2019, each of Clearway Energy Operating LLC, as borrower, and Clearway Energy LLC, as guarantor, entered into the Fifth Amendment to Amended and Restated Credit Agreement to provide for an increase of 0.50x to the Borrower Leverage Ratio, as defined in the Amended and Restated Credit Agreement, for the last two fiscal quarters of 2020 and to implement certain other technical modifications.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05" w:right="239" w:bottom="1440" w:gutter="0" w:footer="0" w:header="0"/>
        </w:sectPr>
      </w:pPr>
    </w:p>
    <w:bookmarkStart w:id="47" w:name="page48"/>
    <w:bookmarkEnd w:id="47"/>
    <w:p>
      <w:pPr>
        <w:jc w:val="both"/>
        <w:ind w:right="20" w:firstLine="648"/>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Clearway Energy Group, LLC. Management continues to regularly monitor the Company's ability to finance the needs of its operating, financing and investing activity within the dictates of prudent balance sheet management.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December 31, 2019, the Company's 2024 Senior Notes, 2025 Senior Notes, 2026 Senior Notes, and 2028 Senior Notes are rated BB by S&amp;P and Ba2 by Moody's.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w:t>
      </w:r>
      <w:r>
        <w:rPr>
          <w:rFonts w:ascii="Arial" w:cs="Arial" w:eastAsia="Arial" w:hAnsi="Arial"/>
          <w:sz w:val="17"/>
          <w:szCs w:val="17"/>
          <w:color w:val="000000"/>
        </w:rPr>
        <w:t>Item 15— 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color w:val="231F20"/>
        </w:rPr>
        <w:t xml:space="preserve">, to the Consolidated Financial Statements, and above in </w:t>
      </w:r>
      <w:r>
        <w:rPr>
          <w:rFonts w:ascii="Arial" w:cs="Arial" w:eastAsia="Arial" w:hAnsi="Arial"/>
          <w:sz w:val="17"/>
          <w:szCs w:val="17"/>
          <w:i w:val="1"/>
          <w:iCs w:val="1"/>
          <w:color w:val="000000"/>
        </w:rPr>
        <w:t>Significant Events During the</w:t>
      </w:r>
      <w:r>
        <w:rPr>
          <w:rFonts w:ascii="Arial" w:cs="Arial" w:eastAsia="Arial" w:hAnsi="Arial"/>
          <w:sz w:val="17"/>
          <w:szCs w:val="17"/>
          <w:color w:val="231F20"/>
        </w:rPr>
        <w:t xml:space="preserve"> </w:t>
      </w:r>
      <w:r>
        <w:rPr>
          <w:rFonts w:ascii="Arial" w:cs="Arial" w:eastAsia="Arial" w:hAnsi="Arial"/>
          <w:sz w:val="17"/>
          <w:szCs w:val="17"/>
          <w:i w:val="1"/>
          <w:iCs w:val="1"/>
          <w:color w:val="000000"/>
        </w:rPr>
        <w:t xml:space="preserve">Year Ended December 31, 2019, </w:t>
      </w:r>
      <w:r>
        <w:rPr>
          <w:rFonts w:ascii="Arial" w:cs="Arial" w:eastAsia="Arial" w:hAnsi="Arial"/>
          <w:sz w:val="17"/>
          <w:szCs w:val="17"/>
          <w:color w:val="231F20"/>
        </w:rPr>
        <w:t>the Company's financing arrangements consist of Clearway, Inc.'s equity offering of Class C common stock on September</w:t>
      </w:r>
      <w:r>
        <w:rPr>
          <w:rFonts w:ascii="Arial" w:cs="Arial" w:eastAsia="Arial" w:hAnsi="Arial"/>
          <w:sz w:val="17"/>
          <w:szCs w:val="17"/>
          <w:i w:val="1"/>
          <w:iCs w:val="1"/>
          <w:color w:val="000000"/>
        </w:rPr>
        <w:t xml:space="preserve"> </w:t>
      </w:r>
      <w:r>
        <w:rPr>
          <w:rFonts w:ascii="Arial" w:cs="Arial" w:eastAsia="Arial" w:hAnsi="Arial"/>
          <w:sz w:val="17"/>
          <w:szCs w:val="17"/>
          <w:color w:val="231F20"/>
        </w:rPr>
        <w:t>27, 2018, corporate level debt, which includes Senior Notes, intercompany borrowings with Clearway, Inc., and the revolving credit facility; the ATM Program; and project-level financings for its various assets.</w:t>
      </w:r>
    </w:p>
    <w:p>
      <w:pPr>
        <w:spacing w:after="0" w:line="12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2028 Senior Notes </w:t>
      </w:r>
      <w:r>
        <w:rPr>
          <w:rFonts w:ascii="Arial" w:cs="Arial" w:eastAsia="Arial" w:hAnsi="Arial"/>
          <w:sz w:val="17"/>
          <w:szCs w:val="17"/>
          <w:color w:val="auto"/>
        </w:rPr>
        <w:t>— On December 11, 2019, Clearway Energy Operating LLC completed the sale of $600 million aggregate principal amount due</w:t>
      </w:r>
      <w:r>
        <w:rPr>
          <w:rFonts w:ascii="Arial" w:cs="Arial" w:eastAsia="Arial" w:hAnsi="Arial"/>
          <w:sz w:val="17"/>
          <w:szCs w:val="17"/>
          <w:i w:val="1"/>
          <w:iCs w:val="1"/>
          <w:color w:val="auto"/>
        </w:rPr>
        <w:t xml:space="preserve"> </w:t>
      </w:r>
      <w:r>
        <w:rPr>
          <w:rFonts w:ascii="Arial" w:cs="Arial" w:eastAsia="Arial" w:hAnsi="Arial"/>
          <w:sz w:val="17"/>
          <w:szCs w:val="17"/>
          <w:color w:val="auto"/>
        </w:rPr>
        <w:t>2028, or the 2028 Senior Notes. The 2028 Senior Notes bear interest at 4.75% and mature on March 15, 2028.The proceeds from the 2028 Senior Notes were used to partially fund investments into Repowering 1.0, repay the 2024 Senior Notes, and pay transaction fees and expenses.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2019 Equity Offering </w:t>
      </w:r>
      <w:r>
        <w:rPr>
          <w:rFonts w:ascii="Arial" w:cs="Arial" w:eastAsia="Arial" w:hAnsi="Arial"/>
          <w:sz w:val="18"/>
          <w:szCs w:val="18"/>
          <w:color w:val="auto"/>
        </w:rPr>
        <w:t>— On December 2, 2019, Clearway, Inc. issued and sold 5,405,405 shares of Class C common stock for net proceeds of $100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Clearway, Inc. utilized the proceeds of the offering to acquire 5,405,405 Class C units of Clearway Energy LLC.</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The Company has a total of $425 million available under the revolving credit facility as of December 31,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will continue to be used for general corporate purposes including financing of future acquisitions and posting letters of credit.</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ATM Program </w:t>
      </w:r>
      <w:r>
        <w:rPr>
          <w:rFonts w:ascii="Arial" w:cs="Arial" w:eastAsia="Arial" w:hAnsi="Arial"/>
          <w:sz w:val="18"/>
          <w:szCs w:val="18"/>
          <w:color w:val="auto"/>
        </w:rPr>
        <w:t>— As of December 31, 2019, approximately $36 million of Clearway, Inc.'s Class C common stock remains available for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8"/>
          <w:szCs w:val="18"/>
          <w:color w:val="000000"/>
        </w:rPr>
        <w:t>Item 15 — 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distributions.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Debt Service Obligations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payments on debt as of December 31, 2019, are due in the following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There-</w:t>
            </w:r>
          </w:p>
        </w:tc>
        <w:tc>
          <w:tcPr>
            <w:tcW w:w="660" w:type="dxa"/>
            <w:vAlign w:val="bottom"/>
          </w:tcPr>
          <w:p>
            <w:pPr>
              <w:spacing w:after="0"/>
              <w:rPr>
                <w:sz w:val="17"/>
                <w:szCs w:val="17"/>
                <w:color w:val="auto"/>
              </w:rPr>
            </w:pPr>
          </w:p>
        </w:tc>
      </w:tr>
      <w:tr>
        <w:trPr>
          <w:trHeight w:val="203"/>
        </w:trPr>
        <w:tc>
          <w:tcPr>
            <w:tcW w:w="628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6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b w:val="1"/>
                <w:bCs w:val="1"/>
                <w:color w:val="auto"/>
                <w:w w:val="84"/>
              </w:rPr>
              <w:t>2024</w:t>
            </w:r>
          </w:p>
        </w:tc>
        <w:tc>
          <w:tcPr>
            <w:tcW w:w="10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after</w:t>
            </w: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6"/>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debt - affiliate, due 2020</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3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Clearway Energy Operating LLC Senior Notes, due 2024</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88</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Clearway Energy Operating LLC Senior Notes, due 2025</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r>
      <w:tr>
        <w:trPr>
          <w:trHeight w:val="23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Clearway Energy Operating LLC Senior Notes, due 2026</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350</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Clearway Energy Operating LLC Senior Notes, due 2028</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r>
      <w:tr>
        <w:trPr>
          <w:trHeight w:val="217"/>
        </w:trPr>
        <w:tc>
          <w:tcPr>
            <w:tcW w:w="40" w:type="dxa"/>
            <w:vAlign w:val="bottom"/>
          </w:tcPr>
          <w:p>
            <w:pPr>
              <w:spacing w:after="0"/>
              <w:rPr>
                <w:sz w:val="18"/>
                <w:szCs w:val="18"/>
                <w:color w:val="auto"/>
              </w:rPr>
            </w:pPr>
          </w:p>
        </w:tc>
        <w:tc>
          <w:tcPr>
            <w:tcW w:w="6240" w:type="dxa"/>
            <w:vAlign w:val="bottom"/>
            <w:gridSpan w:val="2"/>
          </w:tcPr>
          <w:p>
            <w:pPr>
              <w:ind w:left="120"/>
              <w:spacing w:after="0"/>
              <w:rPr>
                <w:sz w:val="20"/>
                <w:szCs w:val="20"/>
                <w:color w:val="auto"/>
              </w:rPr>
            </w:pPr>
            <w:r>
              <w:rPr>
                <w:rFonts w:ascii="Arial" w:cs="Arial" w:eastAsia="Arial" w:hAnsi="Arial"/>
                <w:sz w:val="16"/>
                <w:szCs w:val="16"/>
                <w:color w:val="auto"/>
              </w:rPr>
              <w:t>Total Corporate-level debt</w:t>
            </w:r>
          </w:p>
        </w:tc>
        <w:tc>
          <w:tcPr>
            <w:tcW w:w="7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1,550</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1,682</w:t>
            </w:r>
          </w:p>
        </w:tc>
      </w:tr>
      <w:tr>
        <w:trPr>
          <w:trHeight w:val="33"/>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Project-level debt:</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 xml:space="preserve">Alpine, due 2022 </w:t>
            </w:r>
            <w:r>
              <w:rPr>
                <w:rFonts w:ascii="Arial" w:cs="Arial" w:eastAsia="Arial" w:hAnsi="Arial"/>
                <w:sz w:val="21"/>
                <w:szCs w:val="21"/>
                <w:color w:val="auto"/>
                <w:vertAlign w:val="superscript"/>
              </w:rPr>
              <w:t>(a)</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25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Alta Wind I - V lease financing arrangements, due 2034 and 2035</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w:t>
            </w:r>
          </w:p>
        </w:tc>
      </w:tr>
      <w:tr>
        <w:trPr>
          <w:trHeight w:val="23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Buckthorn Solar, due 2025</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Carlsbad Energy Holdings LLC, due 2027</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w:t>
            </w:r>
          </w:p>
        </w:tc>
      </w:tr>
      <w:tr>
        <w:trPr>
          <w:trHeight w:val="23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Carlsbad Holdco, due 2038</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CVSR, due 2037 (a)</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r>
      <w:tr>
        <w:trPr>
          <w:trHeight w:val="23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CVSR Holdco Notes, due 2037 (a)</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182</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Duquesne, due 2059</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r>
      <w:tr>
        <w:trPr>
          <w:trHeight w:val="23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El Segundo Energy Center, due 2023</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Energy Center Minneapolis Series D, E, F, G, H Notes, due 2025-2037</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 xml:space="preserve">Kansas South, due 2030 </w:t>
            </w:r>
            <w:r>
              <w:rPr>
                <w:rFonts w:ascii="Arial" w:cs="Arial" w:eastAsia="Arial" w:hAnsi="Arial"/>
                <w:sz w:val="21"/>
                <w:szCs w:val="21"/>
                <w:color w:val="auto"/>
                <w:vertAlign w:val="superscript"/>
              </w:rPr>
              <w:t>(a)</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5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Kawailoa Solar Holdings LLC, due 2026</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23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Laredo Ridge, due 2028</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Marsh Landing, due 2023 </w:t>
            </w:r>
            <w:r>
              <w:rPr>
                <w:rFonts w:ascii="Arial" w:cs="Arial" w:eastAsia="Arial" w:hAnsi="Arial"/>
                <w:sz w:val="21"/>
                <w:szCs w:val="21"/>
                <w:color w:val="auto"/>
                <w:vertAlign w:val="superscript"/>
              </w:rPr>
              <w:t>(a)</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r>
      <w:tr>
        <w:trPr>
          <w:trHeight w:val="23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Oahu Solar Holdings LLC, due 2026</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Repowering Partnership Holdco LLC, due 2020</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r>
      <w:tr>
        <w:trPr>
          <w:trHeight w:val="264"/>
        </w:trPr>
        <w:tc>
          <w:tcPr>
            <w:tcW w:w="6280" w:type="dxa"/>
            <w:vAlign w:val="bottom"/>
            <w:gridSpan w:val="3"/>
          </w:tcPr>
          <w:p>
            <w:pPr>
              <w:ind w:left="40"/>
              <w:spacing w:after="0"/>
              <w:rPr>
                <w:sz w:val="20"/>
                <w:szCs w:val="20"/>
                <w:color w:val="auto"/>
              </w:rPr>
            </w:pPr>
            <w:r>
              <w:rPr>
                <w:rFonts w:ascii="Arial" w:cs="Arial" w:eastAsia="Arial" w:hAnsi="Arial"/>
                <w:sz w:val="14"/>
                <w:szCs w:val="14"/>
                <w:color w:val="auto"/>
              </w:rPr>
              <w:t>South Trent Wind, due 2028</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56"/>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Tapestry, due 2031</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3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Utah Solar Portfolio, due 2022</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254</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Viento, due 2023</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Walnut Creek, due 2023</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175</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r>
      <w:tr>
        <w:trPr>
          <w:trHeight w:val="217"/>
        </w:trPr>
        <w:tc>
          <w:tcPr>
            <w:tcW w:w="40" w:type="dxa"/>
            <w:vAlign w:val="bottom"/>
          </w:tcPr>
          <w:p>
            <w:pPr>
              <w:spacing w:after="0"/>
              <w:rPr>
                <w:sz w:val="18"/>
                <w:szCs w:val="18"/>
                <w:color w:val="auto"/>
              </w:rPr>
            </w:pPr>
          </w:p>
        </w:tc>
        <w:tc>
          <w:tcPr>
            <w:tcW w:w="6240" w:type="dxa"/>
            <w:vAlign w:val="bottom"/>
            <w:gridSpan w:val="2"/>
          </w:tcPr>
          <w:p>
            <w:pPr>
              <w:ind w:left="120"/>
              <w:spacing w:after="0"/>
              <w:rPr>
                <w:sz w:val="20"/>
                <w:szCs w:val="20"/>
                <w:color w:val="auto"/>
              </w:rPr>
            </w:pPr>
            <w:r>
              <w:rPr>
                <w:rFonts w:ascii="Arial" w:cs="Arial" w:eastAsia="Arial" w:hAnsi="Arial"/>
                <w:sz w:val="16"/>
                <w:szCs w:val="16"/>
                <w:color w:val="auto"/>
              </w:rPr>
              <w:t>Total project-level debt</w:t>
            </w:r>
          </w:p>
        </w:tc>
        <w:tc>
          <w:tcPr>
            <w:tcW w:w="7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2,301</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5,175</w:t>
            </w:r>
          </w:p>
        </w:tc>
      </w:tr>
      <w:tr>
        <w:trPr>
          <w:trHeight w:val="33"/>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6"/>
              </w:rPr>
              <w:t>$  1,831</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  249</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478</w:t>
            </w:r>
          </w:p>
        </w:tc>
        <w:tc>
          <w:tcPr>
            <w:tcW w:w="6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$ 319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3,851</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$ 6,857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23412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380" w:firstLine="8"/>
        <w:spacing w:after="0" w:line="292" w:lineRule="auto"/>
        <w:tabs>
          <w:tab w:leader="none" w:pos="171" w:val="left"/>
        </w:tabs>
        <w:numPr>
          <w:ilvl w:val="0"/>
          <w:numId w:val="27"/>
        </w:numPr>
        <w:rPr>
          <w:rFonts w:ascii="Arial" w:cs="Arial" w:eastAsia="Arial" w:hAnsi="Arial"/>
          <w:sz w:val="20"/>
          <w:szCs w:val="20"/>
          <w:color w:val="auto"/>
          <w:vertAlign w:val="superscript"/>
        </w:rPr>
      </w:pPr>
      <w:r>
        <w:rPr>
          <w:rFonts w:ascii="Arial" w:cs="Arial" w:eastAsia="Arial" w:hAnsi="Arial"/>
          <w:sz w:val="12"/>
          <w:szCs w:val="12"/>
          <w:color w:val="auto"/>
        </w:rPr>
        <w:t>Entities affected by PG&amp;E Bankruptcy. The PG&amp;E Bankruptcy triggered defaults under the PPAs with PG&amp;E and such related project-level financing agreements. As a result, the Company classified the affected project-level debt as short-term debt as of December 31, 2019.</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648"/>
        <w:spacing w:after="0" w:line="272" w:lineRule="auto"/>
        <w:rPr>
          <w:sz w:val="20"/>
          <w:szCs w:val="20"/>
          <w:color w:val="auto"/>
        </w:rPr>
      </w:pPr>
      <w:r>
        <w:rPr>
          <w:rFonts w:ascii="Arial" w:cs="Arial" w:eastAsia="Arial" w:hAnsi="Arial"/>
          <w:sz w:val="17"/>
          <w:szCs w:val="17"/>
          <w:color w:val="231F20"/>
        </w:rPr>
        <w:t xml:space="preserve">For the years ended </w:t>
      </w:r>
      <w:r>
        <w:rPr>
          <w:rFonts w:ascii="Arial" w:cs="Arial" w:eastAsia="Arial" w:hAnsi="Arial"/>
          <w:sz w:val="17"/>
          <w:szCs w:val="17"/>
          <w:color w:val="000000"/>
        </w:rPr>
        <w:t>December 31, 2019</w:t>
      </w:r>
      <w:r>
        <w:rPr>
          <w:rFonts w:ascii="Arial" w:cs="Arial" w:eastAsia="Arial" w:hAnsi="Arial"/>
          <w:sz w:val="17"/>
          <w:szCs w:val="17"/>
          <w:color w:val="231F20"/>
        </w:rPr>
        <w:t xml:space="preserve">, 2018, and 2017, the Company used approximately $228 million, $83 million, and $190 million, respectively, to fund capital expenditures, including maintenance </w:t>
      </w:r>
      <w:r>
        <w:rPr>
          <w:rFonts w:ascii="Arial" w:cs="Arial" w:eastAsia="Arial" w:hAnsi="Arial"/>
          <w:sz w:val="17"/>
          <w:szCs w:val="17"/>
          <w:color w:val="000000"/>
        </w:rPr>
        <w:t>capital</w:t>
      </w:r>
      <w:r>
        <w:rPr>
          <w:rFonts w:ascii="Arial" w:cs="Arial" w:eastAsia="Arial" w:hAnsi="Arial"/>
          <w:sz w:val="17"/>
          <w:szCs w:val="17"/>
          <w:color w:val="231F20"/>
        </w:rPr>
        <w:t xml:space="preserve"> expenditures </w:t>
      </w:r>
      <w:r>
        <w:rPr>
          <w:rFonts w:ascii="Arial" w:cs="Arial" w:eastAsia="Arial" w:hAnsi="Arial"/>
          <w:sz w:val="17"/>
          <w:szCs w:val="17"/>
          <w:color w:val="000000"/>
        </w:rPr>
        <w:t>of $22 million, $36 million and $27 million, respectively.</w:t>
      </w:r>
      <w:r>
        <w:rPr>
          <w:rFonts w:ascii="Arial" w:cs="Arial" w:eastAsia="Arial" w:hAnsi="Arial"/>
          <w:sz w:val="17"/>
          <w:szCs w:val="17"/>
          <w:color w:val="231F20"/>
        </w:rPr>
        <w:t xml:space="preserve"> Growth capital expenditures in 2019 include $180 million </w:t>
      </w:r>
      <w:r>
        <w:rPr>
          <w:rFonts w:ascii="Arial" w:cs="Arial" w:eastAsia="Arial" w:hAnsi="Arial"/>
          <w:sz w:val="17"/>
          <w:szCs w:val="17"/>
          <w:color w:val="000000"/>
        </w:rPr>
        <w:t>in the Renewables segment, $157 million of which were incurred in connection with the Repowering</w:t>
      </w:r>
      <w:r>
        <w:rPr>
          <w:rFonts w:ascii="Arial" w:cs="Arial" w:eastAsia="Arial" w:hAnsi="Arial"/>
          <w:sz w:val="17"/>
          <w:szCs w:val="17"/>
          <w:color w:val="231F20"/>
        </w:rPr>
        <w:t xml:space="preserve"> </w:t>
      </w:r>
      <w:r>
        <w:rPr>
          <w:rFonts w:ascii="Arial" w:cs="Arial" w:eastAsia="Arial" w:hAnsi="Arial"/>
          <w:sz w:val="17"/>
          <w:szCs w:val="17"/>
          <w:color w:val="000000"/>
        </w:rPr>
        <w:t xml:space="preserve">Partnership entered by the Company in August 2018, as well as $29 million incurred in the Oahu Partnership and the Kawailoa Partnership, as further described in Item 15 </w:t>
      </w:r>
      <w:r>
        <w:rPr>
          <w:rFonts w:ascii="Arial" w:cs="Arial" w:eastAsia="Arial" w:hAnsi="Arial"/>
          <w:sz w:val="17"/>
          <w:szCs w:val="17"/>
          <w:b w:val="1"/>
          <w:bCs w:val="1"/>
          <w:color w:val="000000"/>
        </w:rPr>
        <w:t>—</w:t>
      </w:r>
      <w:r>
        <w:rPr>
          <w:rFonts w:ascii="Arial" w:cs="Arial" w:eastAsia="Arial" w:hAnsi="Arial"/>
          <w:sz w:val="17"/>
          <w:szCs w:val="17"/>
          <w:color w:val="000000"/>
        </w:rPr>
        <w:t xml:space="preserve"> Note 5, </w:t>
      </w:r>
      <w:r>
        <w:rPr>
          <w:rFonts w:ascii="Arial" w:cs="Arial" w:eastAsia="Arial" w:hAnsi="Arial"/>
          <w:sz w:val="17"/>
          <w:szCs w:val="17"/>
          <w:i w:val="1"/>
          <w:iCs w:val="1"/>
          <w:color w:val="000000"/>
        </w:rPr>
        <w:t>Investments Accounted for by the Equity Method and Variable Interest Entities.</w:t>
      </w:r>
      <w:r>
        <w:rPr>
          <w:rFonts w:ascii="Arial" w:cs="Arial" w:eastAsia="Arial" w:hAnsi="Arial"/>
          <w:sz w:val="17"/>
          <w:szCs w:val="17"/>
          <w:color w:val="000000"/>
        </w:rPr>
        <w:t xml:space="preserve"> The source for these capital expenditures was financing obtained in connection with the Repowering Partnership, as well as tax equity investors contributions. The Company also incurred $26 million of growth capital expenditures in the Thermal segment in connection with various development projects.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 xml:space="preserve">Growth capital expenditures in 2018 include $33 million </w:t>
      </w:r>
      <w:r>
        <w:rPr>
          <w:rFonts w:ascii="Arial" w:cs="Arial" w:eastAsia="Arial" w:hAnsi="Arial"/>
          <w:sz w:val="18"/>
          <w:szCs w:val="18"/>
          <w:color w:val="000000"/>
        </w:rPr>
        <w:t>in the Renewables segment in connection with the construction of Buckthorn Solar Drop</w:t>
      </w:r>
      <w:r>
        <w:rPr>
          <w:rFonts w:ascii="Arial" w:cs="Arial" w:eastAsia="Arial" w:hAnsi="Arial"/>
          <w:sz w:val="18"/>
          <w:szCs w:val="18"/>
          <w:color w:val="231F20"/>
        </w:rPr>
        <w:t xml:space="preserve"> </w:t>
      </w:r>
      <w:r>
        <w:rPr>
          <w:rFonts w:ascii="Arial" w:cs="Arial" w:eastAsia="Arial" w:hAnsi="Arial"/>
          <w:sz w:val="18"/>
          <w:szCs w:val="18"/>
          <w:color w:val="000000"/>
        </w:rPr>
        <w:t>Down Asset, of which $10 million was incurred by NRG during the construction of Buckthorn Solar prior to its acquisition by the Company on March 30, 2018, as described below.</w:t>
      </w:r>
    </w:p>
    <w:p>
      <w:pPr>
        <w:spacing w:after="0" w:line="12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Growth capital expenditures in 2017 primarily relate to $159 million incurred by NRG during the construction of Buckthorn Solar prior to its acquisition by the Company. </w:t>
      </w:r>
      <w:r>
        <w:rPr>
          <w:rFonts w:ascii="Arial" w:cs="Arial" w:eastAsia="Arial" w:hAnsi="Arial"/>
          <w:sz w:val="16"/>
          <w:szCs w:val="16"/>
          <w:color w:val="231F20"/>
        </w:rPr>
        <w:t>The Company develops annual capital spending plans based on projected requirements for maintenance and growth capital.</w:t>
      </w:r>
    </w:p>
    <w:p>
      <w:pPr>
        <w:spacing w:after="0" w:line="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 xml:space="preserve">The Company estimates $32 million of maintenance expenditures for 2020. </w:t>
      </w:r>
      <w:r>
        <w:rPr>
          <w:rFonts w:ascii="Arial" w:cs="Arial" w:eastAsia="Arial" w:hAnsi="Arial"/>
          <w:sz w:val="18"/>
          <w:szCs w:val="18"/>
          <w:color w:val="000000"/>
        </w:rPr>
        <w:t>These estimates are subject to continuing review and adjustment and</w:t>
      </w:r>
      <w:r>
        <w:rPr>
          <w:rFonts w:ascii="Arial" w:cs="Arial" w:eastAsia="Arial" w:hAnsi="Arial"/>
          <w:sz w:val="18"/>
          <w:szCs w:val="18"/>
          <w:color w:val="231F20"/>
        </w:rPr>
        <w:t xml:space="preserve"> </w:t>
      </w:r>
      <w:r>
        <w:rPr>
          <w:rFonts w:ascii="Arial" w:cs="Arial" w:eastAsia="Arial" w:hAnsi="Arial"/>
          <w:sz w:val="18"/>
          <w:szCs w:val="18"/>
          <w:color w:val="000000"/>
        </w:rPr>
        <w:t>actual capital expenditures may vary from these estimates.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Acquisitions and Investments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Carlsbad Drop Down </w:t>
      </w:r>
      <w:r>
        <w:rPr>
          <w:rFonts w:ascii="Arial" w:cs="Arial" w:eastAsia="Arial" w:hAnsi="Arial"/>
          <w:sz w:val="18"/>
          <w:szCs w:val="18"/>
          <w:color w:val="auto"/>
        </w:rPr>
        <w:t>— On December 6, 2019, the Company acquired 100% of GIP's membership interests in CBAD Holdings, LLC,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indirectly owns Carlsbad Energy Center LLC, a 527 megawatt natural gas fired power project located in Carlsbad, California, or the Carlsbad Drop Down Asset. The purchase price for the Carlsbad Drop Down was $184 million in cash, plus assumption of $803 million in project level financing including non-recourse senior notes. For further discussion, see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3 ,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12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i w:val="1"/>
          <w:iCs w:val="1"/>
          <w:color w:val="auto"/>
        </w:rPr>
        <w:t xml:space="preserve">Cayo Largo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September 29, 2019, the Company entered into a tolling agreement with Cayo Largo LLC to supply electricity, chilled water, hot</w:t>
      </w:r>
      <w:r>
        <w:rPr>
          <w:rFonts w:ascii="Arial" w:cs="Arial" w:eastAsia="Arial" w:hAnsi="Arial"/>
          <w:sz w:val="17"/>
          <w:szCs w:val="17"/>
          <w:i w:val="1"/>
          <w:iCs w:val="1"/>
          <w:color w:val="auto"/>
        </w:rPr>
        <w:t xml:space="preserve"> </w:t>
      </w:r>
      <w:r>
        <w:rPr>
          <w:rFonts w:ascii="Arial" w:cs="Arial" w:eastAsia="Arial" w:hAnsi="Arial"/>
          <w:sz w:val="17"/>
          <w:szCs w:val="17"/>
          <w:color w:val="auto"/>
        </w:rPr>
        <w:t>water and natural gas to Cayo Largo LLC's customer through a dedicated combined heat and power facility to be constructed by the Company. The Company incurred $6 million in capital expenditures during the year ended December 31, 2019. The Company anticipates the project to total $13 million in capital expenditures and is expected to commence commercial operations in the fourth quarter of 2020.</w:t>
      </w:r>
    </w:p>
    <w:p>
      <w:pPr>
        <w:spacing w:after="0" w:line="11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Mylan Pharmaceuticals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party to an Energy Services Agreement with Mylan LLC to supply chilled water, hot water and</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electricity through a dedicated combined heat and power facility constructed at Mylan's Caguas, Puerto Rico facility. The Company incurred $4 million and $7 million in capital expenditures during the years ended December 31, 2019 and December 31, 2018, respectively, and the project reached COD in the first quarter of 2020.</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Repowering Partnership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June 14, 2019, the Company, through an indirect subsidiary, entered into binding equity commitment agreements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previously announced partnership with CEG to enable the repowering of two of its existing wind assets, Wildorado and Elbow Creek, which total a combined 283 MW. The Company invested $102 million in net corporate capital to fund the repowering of the wind facilities during the fourth quarter of 2019 and the first quarter of 2020. These assets have reached Repowering COD.</w:t>
      </w:r>
    </w:p>
    <w:p>
      <w:pPr>
        <w:spacing w:after="0" w:line="12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i w:val="1"/>
          <w:iCs w:val="1"/>
          <w:color w:val="auto"/>
        </w:rPr>
        <w:t xml:space="preserve">Kawailoa Solar Partnership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May 1, 2019, the Company entered into a partnership with Clearway Renew LLC, a subsidiary of CEG, to own,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finance, operate, and maintain the Kawailoa Solar Partnership, which consists of the Kawailoa Solar Project, a 49 MW utility-scale solar generation project located in Oahu, Hawaii. The Company contributed $9 million into the partnership during the year ended December 31, 2019. For further discussion, see Item 15 </w:t>
      </w:r>
      <w:r>
        <w:rPr>
          <w:rFonts w:ascii="Arial" w:cs="Arial" w:eastAsia="Arial" w:hAnsi="Arial"/>
          <w:sz w:val="17"/>
          <w:szCs w:val="17"/>
          <w:b w:val="1"/>
          <w:bCs w:val="1"/>
          <w:color w:val="auto"/>
        </w:rPr>
        <w:t>—</w:t>
      </w:r>
      <w:r>
        <w:rPr>
          <w:rFonts w:ascii="Arial" w:cs="Arial" w:eastAsia="Arial" w:hAnsi="Arial"/>
          <w:sz w:val="17"/>
          <w:szCs w:val="17"/>
          <w:color w:val="auto"/>
        </w:rPr>
        <w:t xml:space="preserve"> Note 5, </w:t>
      </w:r>
      <w:r>
        <w:rPr>
          <w:rFonts w:ascii="Arial" w:cs="Arial" w:eastAsia="Arial" w:hAnsi="Arial"/>
          <w:sz w:val="17"/>
          <w:szCs w:val="17"/>
          <w:i w:val="1"/>
          <w:iCs w:val="1"/>
          <w:color w:val="auto"/>
        </w:rPr>
        <w:t>Investments Accounted for by the Equity Method and Variable Interest Entities.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908" w:right="239" w:bottom="1440" w:gutter="0" w:footer="0" w:header="0"/>
        </w:sectPr>
      </w:pPr>
    </w:p>
    <w:bookmarkStart w:id="50" w:name="page51"/>
    <w:bookmarkEnd w:id="50"/>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Oahu Solar Partnership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March 8, 2019, the Company entered into a partnership with Clearway Renew LLC, a subsidiary of CEG, to own,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finance, operate, and maintain the Oahu Solar projects, which consist of Lanikuhana and Waipio, 15 MW and 46 MW utility-scale solar generation projects, respectively, located in Oahu, Hawaii, which reached COD on September 19, 2019 and began to sell power to HECO pursuant to the long-term PPAs. The Company contributed $20 million into the partnership during the year ended December 31, 2019. For further discussion, see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5,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Accounted for by the Equity Method and Variable Interest Entities</w:t>
      </w:r>
    </w:p>
    <w:p>
      <w:pPr>
        <w:spacing w:after="0" w:line="13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Duquesne University District Energy Facility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May 1, 2019, the Company, through its indirect subsidiary ECP Uptown Campus LLC,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Duquesne University district energy system, totaling 87 combined MWt, located in Pittsburgh, Pennsylvania. The total investment for the project is $107 million. As part of the acquisition, Duquesne University entered into a 40-year Energy Services Agreement through which ECP Uptown Campus LLC will fulfill the university’s electricity, chilled water and steam requirements in exchange for monthly capacity payments. For further discussion, see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130"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i w:val="1"/>
          <w:iCs w:val="1"/>
          <w:color w:val="auto"/>
        </w:rPr>
        <w:t xml:space="preserve">Wind TE Holdco Buyout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January 2, 2019, the Company bought out 100% of Class A membership interest from the TE Investor, for cash</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$19 million, as further described in Item 15 — Note 5, Investments Accounted for by the Equity Method and Variable Interest Entities.</w:t>
      </w:r>
    </w:p>
    <w:p>
      <w:pPr>
        <w:spacing w:after="0" w:line="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Agua Caliente Borrower 2 Debt Repayment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21, 2019</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through Agua Caliente Borrower</w:t>
      </w:r>
      <w:r>
        <w:rPr>
          <w:rFonts w:ascii="Arial" w:cs="Arial" w:eastAsia="Arial" w:hAnsi="Arial"/>
          <w:sz w:val="18"/>
          <w:szCs w:val="18"/>
          <w:i w:val="1"/>
          <w:iCs w:val="1"/>
          <w:color w:val="auto"/>
        </w:rPr>
        <w:t xml:space="preserve"> 2 </w:t>
      </w:r>
      <w:r>
        <w:rPr>
          <w:rFonts w:ascii="Arial" w:cs="Arial" w:eastAsia="Arial" w:hAnsi="Arial"/>
          <w:sz w:val="18"/>
          <w:szCs w:val="18"/>
          <w:color w:val="auto"/>
        </w:rPr>
        <w:t>LLC, repaid $40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notes balance, including accrued interest and premiums, issued under the Agua Caliente Holdco Financing Agreement. The repayment was funded with the Company's existing liquidity.</w:t>
      </w:r>
    </w:p>
    <w:p>
      <w:pPr>
        <w:spacing w:after="0" w:line="1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DG Investment Partnerships with CEG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December 31, 2019, the Company invested approximately $14 million in the DG</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partnerships with CEG, bringing total capital invested to $256 million in these investment partnerships.</w:t>
      </w:r>
    </w:p>
    <w:p>
      <w:pPr>
        <w:spacing w:after="0" w:line="10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i w:val="1"/>
          <w:iCs w:val="1"/>
          <w:color w:val="auto"/>
        </w:rPr>
        <w:t xml:space="preserve">Senior Notes due 2024 Tender Offer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December 13, 2019, the Company repurchased an aggregate principal amount of $412 million or 82.4%,</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2024 Senior Notes as part of the previously cash tender offer announced on December 11, 2019. Concurrently with the launch of the tender offer, the Company exercised its right to optionally redeem any 2024 Senior Notes not validly tendered and purchased in the tender offer, pursuant to the terms of the indenture governing the 2024 Senior Notes. For further discussion, see Item 15 </w:t>
      </w:r>
      <w:r>
        <w:rPr>
          <w:rFonts w:ascii="Arial" w:cs="Arial" w:eastAsia="Arial" w:hAnsi="Arial"/>
          <w:sz w:val="17"/>
          <w:szCs w:val="17"/>
          <w:b w:val="1"/>
          <w:bCs w:val="1"/>
          <w:color w:val="auto"/>
        </w:rPr>
        <w:t>—</w:t>
      </w:r>
      <w:r>
        <w:rPr>
          <w:rFonts w:ascii="Arial" w:cs="Arial" w:eastAsia="Arial" w:hAnsi="Arial"/>
          <w:sz w:val="17"/>
          <w:szCs w:val="17"/>
          <w:color w:val="auto"/>
        </w:rPr>
        <w:t xml:space="preserve"> Note 10, </w:t>
      </w:r>
      <w:r>
        <w:rPr>
          <w:rFonts w:ascii="Arial" w:cs="Arial" w:eastAsia="Arial" w:hAnsi="Arial"/>
          <w:sz w:val="17"/>
          <w:szCs w:val="17"/>
          <w:i w:val="1"/>
          <w:iCs w:val="1"/>
          <w:color w:val="auto"/>
        </w:rPr>
        <w:t>Long-term Debt</w:t>
      </w:r>
      <w:r>
        <w:rPr>
          <w:rFonts w:ascii="Arial" w:cs="Arial" w:eastAsia="Arial" w:hAnsi="Arial"/>
          <w:sz w:val="17"/>
          <w:szCs w:val="17"/>
          <w:color w:val="auto"/>
        </w:rPr>
        <w: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Distributions to Clearway, Inc. and CEG</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231F20"/>
        </w:rPr>
        <w:t xml:space="preserve">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w:t>
      </w:r>
      <w:r>
        <w:rPr>
          <w:rFonts w:ascii="Arial" w:cs="Arial" w:eastAsia="Arial" w:hAnsi="Arial"/>
          <w:sz w:val="17"/>
          <w:szCs w:val="17"/>
          <w:color w:val="000000"/>
        </w:rPr>
        <w:t xml:space="preserve">adjustments to reflect CAFD generated by unconsolidated investments that are unable to distribute project dividends due to the PG&amp;E Bankruptcy, </w:t>
      </w:r>
      <w:r>
        <w:rPr>
          <w:rFonts w:ascii="Arial" w:cs="Arial" w:eastAsia="Arial" w:hAnsi="Arial"/>
          <w:sz w:val="17"/>
          <w:szCs w:val="17"/>
          <w:color w:val="231F20"/>
        </w:rPr>
        <w:t>cash</w:t>
      </w:r>
      <w:r>
        <w:rPr>
          <w:rFonts w:ascii="Arial" w:cs="Arial" w:eastAsia="Arial" w:hAnsi="Arial"/>
          <w:sz w:val="17"/>
          <w:szCs w:val="17"/>
          <w:color w:val="000000"/>
        </w:rPr>
        <w:t xml:space="preserve"> </w:t>
      </w:r>
      <w:r>
        <w:rPr>
          <w:rFonts w:ascii="Arial" w:cs="Arial" w:eastAsia="Arial" w:hAnsi="Arial"/>
          <w:sz w:val="17"/>
          <w:szCs w:val="17"/>
          <w:color w:val="231F20"/>
        </w:rPr>
        <w:t xml:space="preserve">receipts from notes receivable, less cash distributions to noncontrolling interests, maintenance capital expenditures, pro-rata EBITDA from unconsolidated affiliates, cash interest paid, income taxes paid, principal amortization of indebtedness, </w:t>
      </w:r>
      <w:r>
        <w:rPr>
          <w:rFonts w:ascii="Arial" w:cs="Arial" w:eastAsia="Arial" w:hAnsi="Arial"/>
          <w:sz w:val="17"/>
          <w:szCs w:val="17"/>
          <w:color w:val="000000"/>
        </w:rPr>
        <w:t>Walnut Creek investment payments,</w:t>
      </w:r>
      <w:r>
        <w:rPr>
          <w:rFonts w:ascii="Arial" w:cs="Arial" w:eastAsia="Arial" w:hAnsi="Arial"/>
          <w:sz w:val="17"/>
          <w:szCs w:val="17"/>
          <w:color w:val="231F20"/>
        </w:rPr>
        <w:t xml:space="preserve"> changes in prepaid and accrued capacity payments, and adjusted for development expenses. Distributions on units </w:t>
      </w:r>
      <w:r>
        <w:rPr>
          <w:rFonts w:ascii="Arial" w:cs="Arial" w:eastAsia="Arial" w:hAnsi="Arial"/>
          <w:sz w:val="17"/>
          <w:szCs w:val="17"/>
          <w:color w:val="000000"/>
        </w:rPr>
        <w:t>are subject to available capital, market conditions, and compliance with</w:t>
      </w:r>
      <w:r>
        <w:rPr>
          <w:rFonts w:ascii="Arial" w:cs="Arial" w:eastAsia="Arial" w:hAnsi="Arial"/>
          <w:sz w:val="17"/>
          <w:szCs w:val="17"/>
          <w:color w:val="231F20"/>
        </w:rPr>
        <w:t xml:space="preserve"> </w:t>
      </w:r>
      <w:r>
        <w:rPr>
          <w:rFonts w:ascii="Arial" w:cs="Arial" w:eastAsia="Arial" w:hAnsi="Arial"/>
          <w:sz w:val="17"/>
          <w:szCs w:val="17"/>
          <w:color w:val="000000"/>
        </w:rPr>
        <w:t>associated laws, regulations and other contractual obligations. The Company expects that, based on current circumstances, comparable distributions will continue to be paid in the foreseeable future. The Company will continue to evaluate its capital allocation approach during the pendency of the PG&amp;E Bankruptcy.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lists the distributions paid on the Company's Class A, Class B, Class C and Class D units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Fourth Quarter 2019</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Third Quarter 2019</w:t>
            </w:r>
          </w:p>
        </w:tc>
        <w:tc>
          <w:tcPr>
            <w:tcW w:w="16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Second Quarter</w:t>
            </w:r>
          </w:p>
        </w:tc>
        <w:tc>
          <w:tcPr>
            <w:tcW w:w="13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First Quarter 2019</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and Class B unit</w:t>
            </w: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Distributions per Class C and Class D unit</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February 18, 2020, the Company declared a quarterly distribution on its Class A, Class B, Class C and Class D units of $0.21 per unit payable on March 16,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90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Cash Flow Discussion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changes in cash flows for the year ended December 31, 2019, compared to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492</w:t>
            </w:r>
          </w:p>
        </w:tc>
        <w:tc>
          <w:tcPr>
            <w:tcW w:w="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(468)</w:t>
            </w:r>
          </w:p>
        </w:tc>
        <w:tc>
          <w:tcPr>
            <w:tcW w:w="300" w:type="dxa"/>
            <w:vAlign w:val="bottom"/>
          </w:tcPr>
          <w:p>
            <w:pPr>
              <w:spacing w:after="0"/>
              <w:rPr>
                <w:sz w:val="21"/>
                <w:szCs w:val="21"/>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r>
      <w:tr>
        <w:trPr>
          <w:trHeight w:val="432"/>
        </w:trPr>
        <w:tc>
          <w:tcPr>
            <w:tcW w:w="81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Net Cash Used In Operating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19"/>
        </w:trPr>
        <w:tc>
          <w:tcPr>
            <w:tcW w:w="8120" w:type="dxa"/>
            <w:vAlign w:val="bottom"/>
          </w:tcPr>
          <w:p>
            <w:pPr>
              <w:ind w:left="4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950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93"/>
              </w:rPr>
              <w:t>Increase in working capital driven primarily by the timing of accounts receivable collections and payment of accounts payable</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29"/>
        </w:trPr>
        <w:tc>
          <w:tcPr>
            <w:tcW w:w="10340" w:type="dxa"/>
            <w:vAlign w:val="bottom"/>
            <w:gridSpan w:val="6"/>
          </w:tcPr>
          <w:p>
            <w:pPr>
              <w:ind w:left="200"/>
              <w:spacing w:after="0"/>
              <w:rPr>
                <w:sz w:val="20"/>
                <w:szCs w:val="20"/>
                <w:color w:val="auto"/>
              </w:rPr>
            </w:pPr>
            <w:r>
              <w:rPr>
                <w:rFonts w:ascii="Arial" w:cs="Arial" w:eastAsia="Arial" w:hAnsi="Arial"/>
                <w:sz w:val="18"/>
                <w:szCs w:val="18"/>
                <w:color w:val="auto"/>
                <w:w w:val="98"/>
              </w:rPr>
              <w:t>Lower distribution from unconsolidated affiliates affected by the PG&amp;E Bankruptcy, partially offset by higher distributions from the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distributed generation investments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Decrease in operating income adjusted for non-cash items in 2019 compared to 2018</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37"/>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43" w:lineRule="exact"/>
        <w:rPr>
          <w:sz w:val="20"/>
          <w:szCs w:val="20"/>
          <w:color w:val="auto"/>
        </w:rPr>
      </w:pPr>
    </w:p>
    <w:p>
      <w:pPr>
        <w:ind w:left="40" w:right="360" w:firstLine="162"/>
        <w:spacing w:after="0" w:line="264" w:lineRule="auto"/>
        <w:rPr>
          <w:sz w:val="20"/>
          <w:szCs w:val="20"/>
          <w:color w:val="auto"/>
        </w:rPr>
      </w:pPr>
      <w:r>
        <w:rPr>
          <w:rFonts w:ascii="Arial" w:cs="Arial" w:eastAsia="Arial" w:hAnsi="Arial"/>
          <w:sz w:val="18"/>
          <w:szCs w:val="18"/>
          <w:color w:val="auto"/>
        </w:rPr>
        <w:t>Increase in growth capital expenditures in the Renewables segment driven primarily by the repowering activities at Elbow Creek and Wildorado, as well as the final construction costs for Oahu and Kawailoa, partially offset by lower growth capital expenditures for construction of the Buckthorn Solar project, which went COD in 2018</w:t>
      </w:r>
    </w:p>
    <w:p>
      <w:pPr>
        <w:spacing w:after="0" w:line="19" w:lineRule="exact"/>
        <w:rPr>
          <w:sz w:val="20"/>
          <w:szCs w:val="20"/>
          <w:color w:val="auto"/>
        </w:rPr>
      </w:pPr>
    </w:p>
    <w:p>
      <w:pPr>
        <w:ind w:left="40" w:firstLine="162"/>
        <w:spacing w:after="0" w:line="298" w:lineRule="auto"/>
        <w:rPr>
          <w:sz w:val="20"/>
          <w:szCs w:val="20"/>
          <w:color w:val="auto"/>
        </w:rPr>
      </w:pPr>
      <w:r>
        <w:rPr>
          <w:rFonts w:ascii="Arial" w:cs="Arial" w:eastAsia="Arial" w:hAnsi="Arial"/>
          <w:sz w:val="17"/>
          <w:szCs w:val="17"/>
          <w:color w:val="auto"/>
        </w:rPr>
        <w:t>Higher payments for Drop Down Asset acquisitions in 2019 compared to 2018, primarily driven by the acquisition of Carlsbad, as well as higher payments in 2019 for the Duquesne acquisition compared to the acquisition of UPMC and Central CA Fuel Cell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Increase in investments in unconsolidated affiliates during 2019, primarily for investments in DGPV Holdco 3 LLC</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Proceeds from sale of HSD Solar Holdings, LLC assets in October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Payment to buy-out the existing tax equity partner of Wind TE Holdco on January 1, 2019</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proceeds from network upgrades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229"/>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00" w:lineRule="exact"/>
        <w:rPr>
          <w:sz w:val="20"/>
          <w:szCs w:val="20"/>
          <w:color w:val="auto"/>
        </w:rPr>
      </w:pPr>
    </w:p>
    <w:p>
      <w:pPr>
        <w:spacing w:after="0" w:line="282" w:lineRule="exact"/>
        <w:rPr>
          <w:sz w:val="20"/>
          <w:szCs w:val="20"/>
          <w:color w:val="auto"/>
        </w:rPr>
      </w:pPr>
    </w:p>
    <w:p>
      <w:pPr>
        <w:ind w:left="789" w:hanging="789"/>
        <w:spacing w:after="0"/>
        <w:tabs>
          <w:tab w:leader="none" w:pos="789" w:val="left"/>
        </w:tabs>
        <w:numPr>
          <w:ilvl w:val="0"/>
          <w:numId w:val="28"/>
        </w:numPr>
        <w:rPr>
          <w:rFonts w:ascii="Arial" w:cs="Arial" w:eastAsia="Arial" w:hAnsi="Arial"/>
          <w:sz w:val="17"/>
          <w:szCs w:val="17"/>
          <w:color w:val="auto"/>
        </w:rPr>
      </w:pPr>
      <w:r>
        <w:rPr>
          <w:rFonts w:ascii="Arial" w:cs="Arial" w:eastAsia="Arial" w:hAnsi="Arial"/>
          <w:sz w:val="17"/>
          <w:szCs w:val="17"/>
          <w:color w:val="auto"/>
        </w:rPr>
        <w:t>(145)</w:t>
      </w:r>
    </w:p>
    <w:p>
      <w:pPr>
        <w:spacing w:after="0" w:line="290" w:lineRule="exact"/>
        <w:rPr>
          <w:rFonts w:ascii="Arial" w:cs="Arial" w:eastAsia="Arial" w:hAnsi="Arial"/>
          <w:sz w:val="17"/>
          <w:szCs w:val="17"/>
          <w:color w:val="auto"/>
        </w:rPr>
      </w:pPr>
    </w:p>
    <w:p>
      <w:pPr>
        <w:ind w:left="789"/>
        <w:spacing w:after="0"/>
        <w:rPr>
          <w:rFonts w:ascii="Arial" w:cs="Arial" w:eastAsia="Arial" w:hAnsi="Arial"/>
          <w:sz w:val="17"/>
          <w:szCs w:val="17"/>
          <w:color w:val="auto"/>
        </w:rPr>
      </w:pPr>
      <w:r>
        <w:rPr>
          <w:rFonts w:ascii="Arial" w:cs="Arial" w:eastAsia="Arial" w:hAnsi="Arial"/>
          <w:sz w:val="17"/>
          <w:szCs w:val="17"/>
          <w:color w:val="auto"/>
        </w:rPr>
        <w:t>(153)</w:t>
      </w:r>
    </w:p>
    <w:p>
      <w:pPr>
        <w:spacing w:after="0" w:line="74" w:lineRule="exact"/>
        <w:rPr>
          <w:rFonts w:ascii="Arial" w:cs="Arial" w:eastAsia="Arial" w:hAnsi="Arial"/>
          <w:sz w:val="17"/>
          <w:szCs w:val="17"/>
          <w:color w:val="auto"/>
        </w:rPr>
      </w:pPr>
    </w:p>
    <w:p>
      <w:pPr>
        <w:ind w:left="949"/>
        <w:spacing w:after="0"/>
        <w:rPr>
          <w:rFonts w:ascii="Arial" w:cs="Arial" w:eastAsia="Arial" w:hAnsi="Arial"/>
          <w:sz w:val="17"/>
          <w:szCs w:val="17"/>
          <w:color w:val="auto"/>
        </w:rPr>
      </w:pPr>
      <w:r>
        <w:rPr>
          <w:rFonts w:ascii="Arial" w:cs="Arial" w:eastAsia="Arial" w:hAnsi="Arial"/>
          <w:sz w:val="18"/>
          <w:szCs w:val="18"/>
          <w:color w:val="auto"/>
        </w:rPr>
        <w:t>32</w:t>
      </w:r>
    </w:p>
    <w:p>
      <w:pPr>
        <w:spacing w:after="0" w:line="63" w:lineRule="exact"/>
        <w:rPr>
          <w:rFonts w:ascii="Arial" w:cs="Arial" w:eastAsia="Arial" w:hAnsi="Arial"/>
          <w:sz w:val="17"/>
          <w:szCs w:val="17"/>
          <w:color w:val="auto"/>
        </w:rPr>
      </w:pPr>
    </w:p>
    <w:p>
      <w:pPr>
        <w:ind w:left="949"/>
        <w:spacing w:after="0"/>
        <w:rPr>
          <w:rFonts w:ascii="Arial" w:cs="Arial" w:eastAsia="Arial" w:hAnsi="Arial"/>
          <w:sz w:val="17"/>
          <w:szCs w:val="17"/>
          <w:color w:val="auto"/>
        </w:rPr>
      </w:pPr>
      <w:r>
        <w:rPr>
          <w:rFonts w:ascii="Arial" w:cs="Arial" w:eastAsia="Arial" w:hAnsi="Arial"/>
          <w:sz w:val="18"/>
          <w:szCs w:val="18"/>
          <w:color w:val="auto"/>
        </w:rPr>
        <w:t>20</w:t>
      </w:r>
    </w:p>
    <w:p>
      <w:pPr>
        <w:spacing w:after="0" w:line="63" w:lineRule="exact"/>
        <w:rPr>
          <w:rFonts w:ascii="Arial" w:cs="Arial" w:eastAsia="Arial" w:hAnsi="Arial"/>
          <w:sz w:val="17"/>
          <w:szCs w:val="17"/>
          <w:color w:val="auto"/>
        </w:rPr>
      </w:pPr>
    </w:p>
    <w:p>
      <w:pPr>
        <w:ind w:left="889"/>
        <w:spacing w:after="0"/>
        <w:rPr>
          <w:rFonts w:ascii="Arial" w:cs="Arial" w:eastAsia="Arial" w:hAnsi="Arial"/>
          <w:sz w:val="17"/>
          <w:szCs w:val="17"/>
          <w:color w:val="auto"/>
        </w:rPr>
      </w:pPr>
      <w:r>
        <w:rPr>
          <w:rFonts w:ascii="Arial" w:cs="Arial" w:eastAsia="Arial" w:hAnsi="Arial"/>
          <w:sz w:val="16"/>
          <w:szCs w:val="16"/>
          <w:color w:val="auto"/>
        </w:rPr>
        <w:t>(19)</w:t>
      </w:r>
    </w:p>
    <w:p>
      <w:pPr>
        <w:spacing w:after="0" w:line="86" w:lineRule="exact"/>
        <w:rPr>
          <w:rFonts w:ascii="Arial" w:cs="Arial" w:eastAsia="Arial" w:hAnsi="Arial"/>
          <w:sz w:val="17"/>
          <w:szCs w:val="17"/>
          <w:color w:val="auto"/>
        </w:rPr>
      </w:pPr>
    </w:p>
    <w:p>
      <w:pPr>
        <w:ind w:left="889"/>
        <w:spacing w:after="0"/>
        <w:rPr>
          <w:rFonts w:ascii="Arial" w:cs="Arial" w:eastAsia="Arial" w:hAnsi="Arial"/>
          <w:sz w:val="17"/>
          <w:szCs w:val="17"/>
          <w:color w:val="auto"/>
        </w:rPr>
      </w:pPr>
      <w:r>
        <w:rPr>
          <w:rFonts w:ascii="Arial" w:cs="Arial" w:eastAsia="Arial" w:hAnsi="Arial"/>
          <w:sz w:val="16"/>
          <w:szCs w:val="16"/>
          <w:color w:val="auto"/>
        </w:rPr>
        <w:t>(13)</w:t>
      </w:r>
    </w:p>
    <w:p>
      <w:pPr>
        <w:spacing w:after="0" w:line="86" w:lineRule="exact"/>
        <w:rPr>
          <w:rFonts w:ascii="Arial" w:cs="Arial" w:eastAsia="Arial" w:hAnsi="Arial"/>
          <w:sz w:val="17"/>
          <w:szCs w:val="17"/>
          <w:color w:val="auto"/>
        </w:rPr>
      </w:pPr>
    </w:p>
    <w:p>
      <w:pPr>
        <w:ind w:left="969"/>
        <w:spacing w:after="0"/>
        <w:rPr>
          <w:rFonts w:ascii="Arial" w:cs="Arial" w:eastAsia="Arial" w:hAnsi="Arial"/>
          <w:sz w:val="17"/>
          <w:szCs w:val="17"/>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975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7" w:lineRule="exact"/>
        <w:rPr>
          <w:sz w:val="20"/>
          <w:szCs w:val="20"/>
          <w:color w:val="auto"/>
        </w:rPr>
      </w:pPr>
    </w:p>
    <w:p>
      <w:pPr>
        <w:ind w:left="789" w:hanging="789"/>
        <w:spacing w:after="0"/>
        <w:tabs>
          <w:tab w:leader="none" w:pos="789" w:val="left"/>
        </w:tabs>
        <w:numPr>
          <w:ilvl w:val="0"/>
          <w:numId w:val="29"/>
        </w:numPr>
        <w:rPr>
          <w:rFonts w:ascii="Arial" w:cs="Arial" w:eastAsia="Arial" w:hAnsi="Arial"/>
          <w:sz w:val="17"/>
          <w:szCs w:val="17"/>
          <w:color w:val="auto"/>
        </w:rPr>
      </w:pPr>
      <w:r>
        <w:rPr>
          <w:rFonts w:ascii="Arial" w:cs="Arial" w:eastAsia="Arial" w:hAnsi="Arial"/>
          <w:sz w:val="17"/>
          <w:szCs w:val="17"/>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39370</wp:posOffset>
            </wp:positionV>
            <wp:extent cx="797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56515</wp:posOffset>
            </wp:positionV>
            <wp:extent cx="7975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140" w:space="51"/>
            <w:col w:w="1229"/>
          </w:cols>
          <w:pgMar w:left="240" w:top="904" w:right="239" w:bottom="1440" w:gutter="0" w:footer="0" w:header="0"/>
          <w:type w:val="continuous"/>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904"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101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9"/>
        </w:trPr>
        <w:tc>
          <w:tcPr>
            <w:tcW w:w="10160" w:type="dxa"/>
            <w:vAlign w:val="bottom"/>
          </w:tcPr>
          <w:p>
            <w:pPr>
              <w:ind w:left="40"/>
              <w:spacing w:after="0"/>
              <w:rPr>
                <w:sz w:val="20"/>
                <w:szCs w:val="20"/>
                <w:color w:val="auto"/>
              </w:rPr>
            </w:pPr>
            <w:r>
              <w:rPr>
                <w:rFonts w:ascii="Arial" w:cs="Arial" w:eastAsia="Arial" w:hAnsi="Arial"/>
                <w:sz w:val="18"/>
                <w:szCs w:val="18"/>
                <w:color w:val="auto"/>
              </w:rPr>
              <w:t>Changes in net cash used in financing activities were driven by:</w:t>
            </w:r>
          </w:p>
        </w:tc>
        <w:tc>
          <w:tcPr>
            <w:tcW w:w="180" w:type="dxa"/>
            <w:vAlign w:val="bottom"/>
          </w:tcPr>
          <w:p>
            <w:pPr>
              <w:spacing w:after="0"/>
              <w:rPr>
                <w:sz w:val="24"/>
                <w:szCs w:val="2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10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Increase in corporate-level debt payments driven primarily by the repayment of the 2024 Senior Notes and Long-term debt - affiliate, due</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r>
      <w:tr>
        <w:trPr>
          <w:trHeight w:val="243"/>
        </w:trPr>
        <w:tc>
          <w:tcPr>
            <w:tcW w:w="10160" w:type="dxa"/>
            <w:vAlign w:val="bottom"/>
          </w:tcPr>
          <w:p>
            <w:pPr>
              <w:ind w:left="200"/>
              <w:spacing w:after="0"/>
              <w:rPr>
                <w:sz w:val="20"/>
                <w:szCs w:val="20"/>
                <w:color w:val="auto"/>
              </w:rPr>
            </w:pPr>
            <w:r>
              <w:rPr>
                <w:rFonts w:ascii="Arial" w:cs="Arial" w:eastAsia="Arial" w:hAnsi="Arial"/>
                <w:sz w:val="18"/>
                <w:szCs w:val="18"/>
                <w:color w:val="auto"/>
              </w:rPr>
              <w:t>Decrease in distributions paid to CEG and Clearway Energy, Inc.</w:t>
            </w:r>
          </w:p>
        </w:tc>
        <w:tc>
          <w:tcPr>
            <w:tcW w:w="18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83</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 in net contributions from noncontrolling interests in 2019 compared to 2018</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43"/>
        </w:trPr>
        <w:tc>
          <w:tcPr>
            <w:tcW w:w="10160" w:type="dxa"/>
            <w:vAlign w:val="bottom"/>
          </w:tcPr>
          <w:p>
            <w:pPr>
              <w:ind w:left="200"/>
              <w:spacing w:after="0"/>
              <w:rPr>
                <w:sz w:val="20"/>
                <w:szCs w:val="20"/>
                <w:color w:val="auto"/>
              </w:rPr>
            </w:pPr>
            <w:r>
              <w:rPr>
                <w:rFonts w:ascii="Arial" w:cs="Arial" w:eastAsia="Arial" w:hAnsi="Arial"/>
                <w:sz w:val="18"/>
                <w:szCs w:val="18"/>
                <w:color w:val="auto"/>
              </w:rPr>
              <w:t>Higher net payments under the revolving credit facility in 2018 compared to 2019</w:t>
            </w:r>
          </w:p>
        </w:tc>
        <w:tc>
          <w:tcPr>
            <w:tcW w:w="18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55</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7"/>
              </w:rPr>
              <w:t>Lower net proceeds from sale of Class B and D units in 2019 compared to net proceeds from sale of Class B and D units in 2018</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43"/>
        </w:trPr>
        <w:tc>
          <w:tcPr>
            <w:tcW w:w="10160" w:type="dxa"/>
            <w:vAlign w:val="bottom"/>
          </w:tcPr>
          <w:p>
            <w:pPr>
              <w:ind w:left="200"/>
              <w:spacing w:after="0"/>
              <w:rPr>
                <w:sz w:val="20"/>
                <w:szCs w:val="20"/>
                <w:color w:val="auto"/>
              </w:rPr>
            </w:pPr>
            <w:r>
              <w:rPr>
                <w:rFonts w:ascii="Arial" w:cs="Arial" w:eastAsia="Arial" w:hAnsi="Arial"/>
                <w:sz w:val="18"/>
                <w:szCs w:val="18"/>
                <w:color w:val="auto"/>
              </w:rPr>
              <w:t>Higher project-level debt amortization in 2019 compared to 2018</w:t>
            </w:r>
          </w:p>
        </w:tc>
        <w:tc>
          <w:tcPr>
            <w:tcW w:w="18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9"/>
        </w:trPr>
        <w:tc>
          <w:tcPr>
            <w:tcW w:w="101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Lower debt proceeds in connection with the Duquesne University District Energy System acquisition in 2019 compared to the Thermal</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purchase and private shelf agreement in 2018</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29"/>
        </w:trPr>
        <w:tc>
          <w:tcPr>
            <w:tcW w:w="10160" w:type="dxa"/>
            <w:vAlign w:val="bottom"/>
          </w:tcPr>
          <w:p>
            <w:pPr>
              <w:ind w:left="40"/>
              <w:spacing w:after="0"/>
              <w:rPr>
                <w:sz w:val="20"/>
                <w:szCs w:val="20"/>
                <w:color w:val="auto"/>
              </w:rPr>
            </w:pPr>
            <w:r>
              <w:rPr>
                <w:rFonts w:ascii="Arial" w:cs="Arial" w:eastAsia="Arial" w:hAnsi="Arial"/>
                <w:sz w:val="18"/>
                <w:szCs w:val="18"/>
                <w:color w:val="auto"/>
                <w:w w:val="92"/>
              </w:rPr>
              <w:t>Higher net borrowings in 2019 to fund construction of the repowering activities at Elbow Creek and Wildorado, offset by the repayment of</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10160" w:type="dxa"/>
            <w:vAlign w:val="bottom"/>
          </w:tcPr>
          <w:p>
            <w:pPr>
              <w:ind w:left="40"/>
              <w:spacing w:after="0"/>
              <w:rPr>
                <w:sz w:val="20"/>
                <w:szCs w:val="20"/>
                <w:color w:val="auto"/>
              </w:rPr>
            </w:pPr>
            <w:r>
              <w:rPr>
                <w:rFonts w:ascii="Arial" w:cs="Arial" w:eastAsia="Arial" w:hAnsi="Arial"/>
                <w:sz w:val="18"/>
                <w:szCs w:val="18"/>
                <w:color w:val="auto"/>
                <w:w w:val="92"/>
              </w:rPr>
              <w:t>a portion of the construction debt for the Oahu and Kawailoa projects upon reaching COD in September and November 2019, respectively</w:t>
            </w:r>
          </w:p>
        </w:tc>
        <w:tc>
          <w:tcPr>
            <w:tcW w:w="18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25</w:t>
            </w: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07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December 31, 2019, the Company has several investments with an ownership interest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50% or less in energy and energy-related entities that are accounted for under the equity method. DGPV Holdco 1 LLC</w:t>
      </w:r>
      <w:r>
        <w:rPr>
          <w:rFonts w:ascii="Arial" w:cs="Arial" w:eastAsia="Arial" w:hAnsi="Arial"/>
          <w:sz w:val="17"/>
          <w:szCs w:val="17"/>
          <w:i w:val="1"/>
          <w:iCs w:val="1"/>
          <w:color w:val="auto"/>
        </w:rPr>
        <w:t>,</w:t>
      </w:r>
      <w:r>
        <w:rPr>
          <w:rFonts w:ascii="Arial" w:cs="Arial" w:eastAsia="Arial" w:hAnsi="Arial"/>
          <w:sz w:val="17"/>
          <w:szCs w:val="17"/>
          <w:color w:val="auto"/>
        </w:rPr>
        <w:t xml:space="preserve"> DGPV Holdco 2 LLC, DGPV Holdco 3 LLC, RPV Holdco 1 LLC and GenConn are variable interest entities for which the Company is not the primary beneficiary. The Company's pro-rata share of non-recourse debt held by unconsolidated affiliates was approximately $889 million as of December 31, 2019. The Company's pro-rata share of non-recourse debt held by unconsolidated affiliates as it related to the projects affected by PG&amp;E bankruptcy was $411 million. This indebtedness may restrict the ability of these subsidiaries to issue dividends or distributions to the Company. See also Item 15 — Note 5, </w:t>
      </w:r>
      <w:r>
        <w:rPr>
          <w:rFonts w:ascii="Arial" w:cs="Arial" w:eastAsia="Arial" w:hAnsi="Arial"/>
          <w:sz w:val="17"/>
          <w:szCs w:val="17"/>
          <w:i w:val="1"/>
          <w:iCs w:val="1"/>
          <w:color w:val="auto"/>
        </w:rPr>
        <w:t>Investments Accounted for by the Equity Method</w:t>
      </w:r>
      <w:r>
        <w:rPr>
          <w:rFonts w:ascii="Arial" w:cs="Arial" w:eastAsia="Arial" w:hAnsi="Arial"/>
          <w:sz w:val="17"/>
          <w:szCs w:val="17"/>
          <w:color w:val="auto"/>
        </w:rPr>
        <w:t xml:space="preserve"> </w:t>
      </w:r>
      <w:r>
        <w:rPr>
          <w:rFonts w:ascii="Arial" w:cs="Arial" w:eastAsia="Arial" w:hAnsi="Arial"/>
          <w:sz w:val="17"/>
          <w:szCs w:val="17"/>
          <w:i w:val="1"/>
          <w:iCs w:val="1"/>
          <w:color w:val="auto"/>
        </w:rPr>
        <w:t>and Variable Interest Entities</w:t>
      </w:r>
      <w:r>
        <w:rPr>
          <w:rFonts w:ascii="Arial" w:cs="Arial" w:eastAsia="Arial" w:hAnsi="Arial"/>
          <w:sz w:val="17"/>
          <w:szCs w:val="17"/>
          <w:color w:val="auto"/>
        </w:rPr>
        <w:t>, to the Consolidated Financial Statements.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a variety of contractual obligations and other commercial commitments that represent prospective cash requirements in addition to the Company's capital expenditure programs. The following table summarizes the Company's contractual obligations. See Item 15 — Note 10</w:t>
      </w:r>
      <w:r>
        <w:rPr>
          <w:rFonts w:ascii="Arial" w:cs="Arial" w:eastAsia="Arial" w:hAnsi="Arial"/>
          <w:sz w:val="17"/>
          <w:szCs w:val="17"/>
          <w:color w:val="231F20"/>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Long-term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w:t>
      </w:r>
      <w:r>
        <w:rPr>
          <w:rFonts w:ascii="Arial" w:cs="Arial" w:eastAsia="Arial" w:hAnsi="Arial"/>
          <w:sz w:val="17"/>
          <w:szCs w:val="17"/>
          <w:color w:val="auto"/>
        </w:rPr>
        <w:t>and Note 14,</w:t>
      </w:r>
      <w:r>
        <w:rPr>
          <w:rFonts w:ascii="Arial" w:cs="Arial" w:eastAsia="Arial" w:hAnsi="Arial"/>
          <w:sz w:val="17"/>
          <w:szCs w:val="17"/>
          <w:i w:val="1"/>
          <w:iCs w:val="1"/>
          <w:color w:val="auto"/>
        </w:rPr>
        <w:t xml:space="preserve"> Commitments and Contingencies</w:t>
      </w:r>
      <w:r>
        <w:rPr>
          <w:rFonts w:ascii="Arial" w:cs="Arial" w:eastAsia="Arial" w:hAnsi="Arial"/>
          <w:sz w:val="17"/>
          <w:szCs w:val="17"/>
          <w:color w:val="auto"/>
        </w:rPr>
        <w:t>, to the Consolidated Financial Statements for additional discussion.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By Remaining Maturity at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2"/>
        </w:trPr>
        <w:tc>
          <w:tcPr>
            <w:tcW w:w="4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Contractual Cash Obligations</w:t>
            </w:r>
          </w:p>
        </w:tc>
        <w:tc>
          <w:tcPr>
            <w:tcW w:w="260" w:type="dxa"/>
            <w:vAlign w:val="bottom"/>
          </w:tcPr>
          <w:p>
            <w:pPr>
              <w:spacing w:after="0"/>
              <w:rPr>
                <w:sz w:val="13"/>
                <w:szCs w:val="13"/>
                <w:color w:val="auto"/>
              </w:rPr>
            </w:pPr>
          </w:p>
        </w:tc>
        <w:tc>
          <w:tcPr>
            <w:tcW w:w="10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Under</w:t>
            </w:r>
          </w:p>
        </w:tc>
        <w:tc>
          <w:tcPr>
            <w:tcW w:w="200" w:type="dxa"/>
            <w:vAlign w:val="bottom"/>
          </w:tcPr>
          <w:p>
            <w:pPr>
              <w:spacing w:after="0"/>
              <w:rPr>
                <w:sz w:val="13"/>
                <w:szCs w:val="13"/>
                <w:color w:val="auto"/>
              </w:rPr>
            </w:pPr>
          </w:p>
        </w:tc>
        <w:tc>
          <w:tcPr>
            <w:tcW w:w="9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Over</w:t>
            </w:r>
          </w:p>
        </w:tc>
        <w:tc>
          <w:tcPr>
            <w:tcW w:w="26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00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5 Years</w:t>
            </w:r>
          </w:p>
        </w:tc>
        <w:tc>
          <w:tcPr>
            <w:tcW w:w="2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(including estimated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8,127</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Fuel purchase and transportation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25"/>
                <w:szCs w:val="25"/>
                <w:color w:val="auto"/>
                <w:vertAlign w:val="superscript"/>
              </w:rPr>
              <w:t>(a)</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2,188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5,261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3722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07"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2"/>
          <w:szCs w:val="12"/>
          <w:color w:val="auto"/>
        </w:rPr>
        <w:t>Includes water right agreements, service and maintenance agreements, and LTSA commitments.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8"/>
          <w:szCs w:val="18"/>
          <w:color w:val="000000"/>
        </w:rPr>
        <w:t>December 31, 2019</w:t>
      </w:r>
      <w:r>
        <w:rPr>
          <w:rFonts w:ascii="Arial" w:cs="Arial" w:eastAsia="Arial" w:hAnsi="Arial"/>
          <w:sz w:val="18"/>
          <w:szCs w:val="18"/>
          <w:color w:val="231F20"/>
        </w:rPr>
        <w:t xml:space="preserve">, based on their level within the fair value hierarchy defined in ASC 820; and indicate the maturities of contracts at </w:t>
      </w:r>
      <w:r>
        <w:rPr>
          <w:rFonts w:ascii="Arial" w:cs="Arial" w:eastAsia="Arial" w:hAnsi="Arial"/>
          <w:sz w:val="18"/>
          <w:szCs w:val="18"/>
          <w:color w:val="000000"/>
        </w:rPr>
        <w:t>December 31, 2019</w:t>
      </w:r>
      <w:r>
        <w:rPr>
          <w:rFonts w:ascii="Arial" w:cs="Arial" w:eastAsia="Arial" w:hAnsi="Arial"/>
          <w:sz w:val="18"/>
          <w:szCs w:val="18"/>
          <w:color w:val="231F20"/>
        </w:rPr>
        <w:t xml:space="preserve">. For a full discussion of the Company's valuation methodology of its contracts, see </w:t>
      </w:r>
      <w:r>
        <w:rPr>
          <w:rFonts w:ascii="Arial" w:cs="Arial" w:eastAsia="Arial" w:hAnsi="Arial"/>
          <w:sz w:val="18"/>
          <w:szCs w:val="18"/>
          <w:i w:val="1"/>
          <w:iCs w:val="1"/>
          <w:color w:val="231F20"/>
        </w:rPr>
        <w:t>Derivative Fair Value Measurements</w:t>
      </w:r>
      <w:r>
        <w:rPr>
          <w:rFonts w:ascii="Arial" w:cs="Arial" w:eastAsia="Arial" w:hAnsi="Arial"/>
          <w:sz w:val="18"/>
          <w:szCs w:val="18"/>
          <w:color w:val="231F20"/>
        </w:rPr>
        <w:t xml:space="preserve"> in </w:t>
      </w:r>
      <w:r>
        <w:rPr>
          <w:rFonts w:ascii="Arial" w:cs="Arial" w:eastAsia="Arial" w:hAnsi="Arial"/>
          <w:sz w:val="18"/>
          <w:szCs w:val="18"/>
          <w:color w:val="000000"/>
        </w:rPr>
        <w:t>Item 15 — Note 6</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905"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w w:val="98"/>
              </w:rPr>
              <w:t>Contracts realized or otherwise settled during the period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Contracts acquired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Changes in fair value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2019</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gridSpan w:val="8"/>
            <w:vMerge w:val="restart"/>
          </w:tcPr>
          <w:p>
            <w:pPr>
              <w:jc w:val="center"/>
              <w:ind w:right="260"/>
              <w:spacing w:after="0"/>
              <w:rPr>
                <w:sz w:val="20"/>
                <w:szCs w:val="20"/>
                <w:color w:val="auto"/>
              </w:rPr>
            </w:pPr>
            <w:r>
              <w:rPr>
                <w:rFonts w:ascii="Arial" w:cs="Arial" w:eastAsia="Arial" w:hAnsi="Arial"/>
                <w:sz w:val="14"/>
                <w:szCs w:val="14"/>
                <w:b w:val="1"/>
                <w:bCs w:val="1"/>
                <w:color w:val="auto"/>
                <w:w w:val="91"/>
              </w:rPr>
              <w:t>Fair value of contracts as of December 31, 2019</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8"/>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Fair Value Hierarchy (Losses)/Gains</w:t>
            </w:r>
          </w:p>
        </w:tc>
        <w:tc>
          <w:tcPr>
            <w:tcW w:w="16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36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1 Year to 3 Years</w:t>
            </w:r>
          </w:p>
        </w:tc>
        <w:tc>
          <w:tcPr>
            <w:tcW w:w="136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3 Years to 5 Years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5 Years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7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Level 3</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7"/>
          <w:szCs w:val="17"/>
          <w:i w:val="1"/>
          <w:iCs w:val="1"/>
          <w:color w:val="231F20"/>
        </w:rPr>
        <w:t>Quantitative and Qualitative Disclosures about Market Risk -Commodity Price Risk,</w:t>
      </w:r>
      <w:r>
        <w:rPr>
          <w:rFonts w:ascii="Arial" w:cs="Arial" w:eastAsia="Arial" w:hAnsi="Arial"/>
          <w:sz w:val="17"/>
          <w:szCs w:val="17"/>
          <w:color w:val="231F20"/>
        </w:rPr>
        <w:t xml:space="preserve"> the Company </w:t>
      </w:r>
      <w:r>
        <w:rPr>
          <w:rFonts w:ascii="Arial" w:cs="Arial" w:eastAsia="Arial" w:hAnsi="Arial"/>
          <w:sz w:val="17"/>
          <w:szCs w:val="17"/>
          <w:color w:val="000000"/>
        </w:rPr>
        <w:t>measures the</w:t>
      </w:r>
      <w:r>
        <w:rPr>
          <w:rFonts w:ascii="Arial" w:cs="Arial" w:eastAsia="Arial" w:hAnsi="Arial"/>
          <w:sz w:val="17"/>
          <w:szCs w:val="17"/>
          <w:color w:val="231F20"/>
        </w:rPr>
        <w:t xml:space="preserve"> </w:t>
      </w:r>
      <w:r>
        <w:rPr>
          <w:rFonts w:ascii="Arial" w:cs="Arial" w:eastAsia="Arial" w:hAnsi="Arial"/>
          <w:sz w:val="17"/>
          <w:szCs w:val="17"/>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Company's significant accounting policies are summarized in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059" w:right="239" w:bottom="1440" w:gutter="0" w:footer="0" w:header="0"/>
        </w:sectPr>
      </w:pPr>
    </w:p>
    <w:bookmarkStart w:id="55" w:name="page56"/>
    <w:bookmarkEnd w:id="55"/>
    <w:tbl>
      <w:tblPr>
        <w:tblLayout w:type="fixed"/>
        <w:tblInd w:w="4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Accounting Policy</w:t>
            </w:r>
          </w:p>
        </w:tc>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Judgments/Uncertainties Affecting Application</w:t>
            </w: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r>
        <w:trPr>
          <w:trHeight w:val="399"/>
        </w:trPr>
        <w:tc>
          <w:tcPr>
            <w:tcW w:w="6020" w:type="dxa"/>
            <w:vAlign w:val="bottom"/>
            <w:gridSpan w:val="2"/>
          </w:tcPr>
          <w:p>
            <w:pPr>
              <w:spacing w:after="0"/>
              <w:rPr>
                <w:sz w:val="20"/>
                <w:szCs w:val="20"/>
                <w:color w:val="auto"/>
              </w:rPr>
            </w:pPr>
            <w:r>
              <w:rPr>
                <w:rFonts w:ascii="Arial" w:cs="Arial" w:eastAsia="Arial" w:hAnsi="Arial"/>
                <w:sz w:val="18"/>
                <w:szCs w:val="18"/>
                <w:color w:val="auto"/>
              </w:rPr>
              <w:t>Impairment of Long Lived Assets</w:t>
            </w:r>
          </w:p>
        </w:tc>
        <w:tc>
          <w:tcPr>
            <w:tcW w:w="5360" w:type="dxa"/>
            <w:vAlign w:val="bottom"/>
          </w:tcPr>
          <w:p>
            <w:pPr>
              <w:ind w:left="20"/>
              <w:spacing w:after="0"/>
              <w:rPr>
                <w:sz w:val="20"/>
                <w:szCs w:val="20"/>
                <w:color w:val="auto"/>
              </w:rPr>
            </w:pPr>
            <w:r>
              <w:rPr>
                <w:rFonts w:ascii="Arial" w:cs="Arial" w:eastAsia="Arial" w:hAnsi="Arial"/>
                <w:sz w:val="18"/>
                <w:szCs w:val="18"/>
                <w:color w:val="auto"/>
              </w:rPr>
              <w:t>Recoverability of investments through future operations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Regulatory and political environments and requirements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Estimated useful lives of assets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Operational limitations and environmental obligations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Estimates of future cash flows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Estimates of fair value</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Judgment about triggering events</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Assets for Impairment and Other-Than-Temporary Decline in Value</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or ASC 360, property, plant and equipment and certain intangible assets are evaluated for impairment whenever indicators of impairment exist. Examples of such indicators or events are:</w:t>
      </w:r>
    </w:p>
    <w:p>
      <w:pPr>
        <w:spacing w:after="0" w:line="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decrease in the market price of a long-lived asset;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adverse change in the manner an asset is being used or its physical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business climate;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Accumulation of costs significantly in excess of the amount originally expected for the construction or acquisition of an asset;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Current-period loss combined with a history of losses or the projection of future losses; and</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in the Company's intent about an asset from an intent to hold to a greater than 50% likelihood that an asset will be sold or disposed of before the end of its previously estimated useful life.</w:t>
      </w:r>
    </w:p>
    <w:p>
      <w:pPr>
        <w:spacing w:after="0" w:line="11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Recoverability of assets to be held and used is measured by a comparison of the carrying amount of the assets to the future net cash flows expected to be generated by the asset, through considering project specific assumptions for long-term energy pool prices, escalated future project operating costs and expected plant operations. If such assets are considered to be impaired, the impairment to be recognized is measured by the amount by which the carrying amount of the assets exceeds the fair value of the assets. The fair value may be determined by factoring in the probability weighting of different courses of action available to the Company as appropriate. Generally, fair value will be determined using valuation techniques such as the present value of expected future cash flows or comparable values determined by transactions in the market. The Company uses its best estimates in making these evaluations and considers various factors, including forward price curves for energy, fuel costs and operating costs. However, actual future market prices and project costs could vary from the assumptions used in the Company's estimates, and the impact of such variations could be material.</w:t>
      </w:r>
    </w:p>
    <w:p>
      <w:pPr>
        <w:spacing w:after="0" w:line="1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Annually, during the fourth quarter, the Company revises its views of energy prices, including the Company's fundamental view for long-term power prices, forecasted generation and operating and capital expenditures, in connection with the preparation of its annual budget.</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recorded certain long-lived asset impairments in 2019, as described below and in Item 15 — Note 9, Asset Impairments, to the Consolidated Financial Statements, with respect to several wind projects.</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The Company recorded an impairment loss of $19 million related to a facility in the Thermal segment during the second quarter of 2019. The impairment was triggered by a potential sale negotiation with a third party which resulted in signing the purchase and sale agreement in September, as further described in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Additionally, during the fourth quarter of 2019, as a result of the preparation and review of its annual budget and assessment of long-term merchant prices, the Company updated its estimated future cash flows and determined that the future cash flows for several wind projects from the Renewables segment no longer supported the recoverability of the related long-lived asset. As such, the Company recorded an impairment loss of $14 million to reflect the assets at fair market value. There were no other triggering events identified prior to the fourth quarter annual budget update for these asset groups. The fair value of the facilities was determined using an income approach by applying a discounted cash flow methodology to the long-term budgets for each respective plant. The income approach included key inputs such as forecasted merchant power prices, operations and maintenance expense, and discount rates. The resulting fair value is a Level 3 fair value measurement.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059" w:right="239" w:bottom="1440" w:gutter="0" w:footer="0" w:header="0"/>
        </w:sectPr>
      </w:pPr>
    </w:p>
    <w:bookmarkStart w:id="56" w:name="page57"/>
    <w:bookmarkEnd w:id="56"/>
    <w:p>
      <w:pPr>
        <w:jc w:val="both"/>
        <w:ind w:firstLine="405"/>
        <w:spacing w:after="0" w:line="254" w:lineRule="auto"/>
        <w:rPr>
          <w:sz w:val="20"/>
          <w:szCs w:val="20"/>
          <w:color w:val="auto"/>
        </w:rPr>
      </w:pPr>
      <w:r>
        <w:rPr>
          <w:rFonts w:ascii="Arial" w:cs="Arial" w:eastAsia="Arial" w:hAnsi="Arial"/>
          <w:sz w:val="18"/>
          <w:szCs w:val="18"/>
          <w:color w:val="auto"/>
        </w:rPr>
        <w:t xml:space="preserve">The Company is also required to evaluate its equity method investments to determine whether or not they are impaired. ASC 323, </w:t>
      </w:r>
      <w:r>
        <w:rPr>
          <w:rFonts w:ascii="Arial" w:cs="Arial" w:eastAsia="Arial" w:hAnsi="Arial"/>
          <w:sz w:val="18"/>
          <w:szCs w:val="18"/>
          <w:i w:val="1"/>
          <w:iCs w:val="1"/>
          <w:color w:val="auto"/>
        </w:rPr>
        <w:t>Investments - Equity</w:t>
      </w:r>
      <w:r>
        <w:rPr>
          <w:rFonts w:ascii="Arial" w:cs="Arial" w:eastAsia="Arial" w:hAnsi="Arial"/>
          <w:sz w:val="18"/>
          <w:szCs w:val="18"/>
          <w:color w:val="auto"/>
        </w:rPr>
        <w:t xml:space="preserve"> </w:t>
      </w:r>
      <w:r>
        <w:rPr>
          <w:rFonts w:ascii="Arial" w:cs="Arial" w:eastAsia="Arial" w:hAnsi="Arial"/>
          <w:sz w:val="18"/>
          <w:szCs w:val="18"/>
          <w:i w:val="1"/>
          <w:iCs w:val="1"/>
          <w:color w:val="auto"/>
        </w:rPr>
        <w:t>Method and Joint Ventures</w:t>
      </w:r>
      <w:r>
        <w:rPr>
          <w:rFonts w:ascii="Arial" w:cs="Arial" w:eastAsia="Arial" w:hAnsi="Arial"/>
          <w:sz w:val="18"/>
          <w:szCs w:val="18"/>
          <w:color w:val="auto"/>
        </w:rPr>
        <w:t>, or ASC 323, provides the accounting requirements for these investments. The standard for determining whether an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recorded under ASC 323 is whether the value is considered to be an other-than-temporary decline in value. The evaluation and measurement of impairments under ASC 323 involves the same uncertainties as described for long-lived assets that the Company owns directly and accounts for in accordance with ASC 360. Similarly, the estimates that the Company makes with respect to its equity method investments are subjective, and the impact of variations in these estimates could be material. Additionally, if the projects in which the Company holds these investments recognize an impairment under the provisions of ASC 360, the Company would record its proportionate share of that impairment loss and would evaluate its investment for an other-than-temporary decline in value under ASC 323.</w:t>
      </w:r>
    </w:p>
    <w:p>
      <w:pPr>
        <w:spacing w:after="0" w:line="13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Certain of the Company’s projects have useful lives that extend well beyond the contract period and therefore, management’s view of long-term energy prices in the post-contract periods may have a significant impact on the expected future cash flows for these projects. Accordingly, if management lowers its view of long-term energy prices in certain markets it is possible that some of the Company’s other long-lived assets may be impaired.</w:t>
      </w:r>
    </w:p>
    <w:p>
      <w:pPr>
        <w:spacing w:after="0" w:line="9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As previously described, on January 29, 2019, PG&amp;E filed for reorganization under Chapter 11 of the U.S. Bankruptcy Code. Certain subsidiaries of the Company sell the output of their facilities to PG&amp;E under long-term PPAs, including interests in 6 solar facilities totaling 480 MW and Marsh Landing with capacity of 720 MW. The Company consolidates three of the solar facilities and Marsh Landing and records its interest in the other solar facilities as equity method investments. The Company has determined that it has no impairment of the long-lived assets or equity method investments associated with these subsidiaries. Assumptions utilized to test these assets for impairment may change based on future events related to the PG&amp;E Bankruptcy, which could result in an impairment loss if the PPAs are rejected or amended, or if the Company is not able to collect its revenues from PG&amp;E in a timely manner.</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See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90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7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 See Item 15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Accounting for Derivative Instruments and Hedging Activities</w:t>
      </w:r>
      <w:r>
        <w:rPr>
          <w:rFonts w:ascii="Arial" w:cs="Arial" w:eastAsia="Arial" w:hAnsi="Arial"/>
          <w:sz w:val="16"/>
          <w:szCs w:val="16"/>
          <w:color w:val="231F20"/>
        </w:rPr>
        <w:t>, to the Consolidated Financial Statements for more information.</w:t>
      </w:r>
    </w:p>
    <w:p>
      <w:pPr>
        <w:spacing w:after="0" w:line="1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decrease in natural gas prices across the term of the derivative contracts would cause no change to the net value of natural gas derivatives, and an increase of $0.50 MMBtu in natural gas prices across the term of the derivative contracts would cause an increase of approximately $3 million to the net value of natural gas derivatives as of </w:t>
      </w:r>
      <w:r>
        <w:rPr>
          <w:rFonts w:ascii="Arial" w:cs="Arial" w:eastAsia="Arial" w:hAnsi="Arial"/>
          <w:sz w:val="18"/>
          <w:szCs w:val="18"/>
          <w:color w:val="000000"/>
        </w:rPr>
        <w:t>December 31, 2019</w:t>
      </w:r>
      <w:r>
        <w:rPr>
          <w:rFonts w:ascii="Arial" w:cs="Arial" w:eastAsia="Arial" w:hAnsi="Arial"/>
          <w:sz w:val="18"/>
          <w:szCs w:val="18"/>
          <w:color w:val="231F20"/>
        </w:rPr>
        <w:t>. The impact of a $0.50 per MWh increase or decrease in power prices across the term of the derivative contracts would cause a change of approximately $1 million to the net value of power derivatives as of December 31,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Accounting for Derivative Instruments and Hedging Activities</w:t>
      </w:r>
      <w:r>
        <w:rPr>
          <w:rFonts w:ascii="Arial" w:cs="Arial" w:eastAsia="Arial" w:hAnsi="Arial"/>
          <w:sz w:val="18"/>
          <w:szCs w:val="18"/>
          <w:color w:val="231F20"/>
        </w:rPr>
        <w:t>, to the Consolidated Financial Statements for more information.</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8"/>
          <w:szCs w:val="18"/>
          <w:color w:val="000000"/>
        </w:rPr>
        <w:t>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to the Consolidated Financial Statements for more information about interest rate swaps of the Company's project subsidiaries.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 xml:space="preserve">If all of the above swaps had been discontinued on </w:t>
      </w:r>
      <w:r>
        <w:rPr>
          <w:rFonts w:ascii="Arial" w:cs="Arial" w:eastAsia="Arial" w:hAnsi="Arial"/>
          <w:sz w:val="18"/>
          <w:szCs w:val="18"/>
          <w:color w:val="000000"/>
        </w:rPr>
        <w:t>December 31, 2019</w:t>
      </w:r>
      <w:r>
        <w:rPr>
          <w:rFonts w:ascii="Arial" w:cs="Arial" w:eastAsia="Arial" w:hAnsi="Arial"/>
          <w:sz w:val="18"/>
          <w:szCs w:val="18"/>
          <w:color w:val="231F20"/>
        </w:rPr>
        <w:t>, the Company would have owed the counterparties $84 million. Based on the credit ratings of the counterparties, the Company believes its exposure to credit risk due to nonperformance by counterparties to its hedge contracts to be insignificant.</w:t>
      </w:r>
    </w:p>
    <w:p>
      <w:pPr>
        <w:spacing w:after="0" w:line="12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December 31, 2019</w:t>
      </w:r>
      <w:r>
        <w:rPr>
          <w:rFonts w:ascii="Arial" w:cs="Arial" w:eastAsia="Arial" w:hAnsi="Arial"/>
          <w:sz w:val="16"/>
          <w:szCs w:val="16"/>
          <w:color w:val="231F20"/>
        </w:rPr>
        <w:t>, a 1% change in interest rates would result in an approximately $3 million change in interest expense on a rolling twelve-month basis.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2019</w:t>
      </w:r>
      <w:r>
        <w:rPr>
          <w:rFonts w:ascii="Arial" w:cs="Arial" w:eastAsia="Arial" w:hAnsi="Arial"/>
          <w:sz w:val="18"/>
          <w:szCs w:val="18"/>
          <w:color w:val="231F20"/>
        </w:rPr>
        <w:t>, the fair value of the Company's debt was $6,956 million and the carrying value was $6,857 million. The Company estimates that a 1% decrease in market interest rates would have increased the fair value of its long-term debt by $340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Arial" w:cs="Arial" w:eastAsia="Arial" w:hAnsi="Arial"/>
          <w:sz w:val="16"/>
          <w:szCs w:val="16"/>
          <w:color w:val="000000"/>
        </w:rPr>
        <w:t>Note 6</w:t>
      </w:r>
      <w:r>
        <w:rPr>
          <w:rFonts w:ascii="Arial" w:cs="Arial" w:eastAsia="Arial" w:hAnsi="Arial"/>
          <w:sz w:val="16"/>
          <w:szCs w:val="16"/>
          <w:color w:val="231F20"/>
        </w:rPr>
        <w:t xml:space="preserve">, </w:t>
      </w:r>
      <w:r>
        <w:rPr>
          <w:rFonts w:ascii="Arial" w:cs="Arial" w:eastAsia="Arial" w:hAnsi="Arial"/>
          <w:sz w:val="16"/>
          <w:szCs w:val="16"/>
          <w:i w:val="1"/>
          <w:iCs w:val="1"/>
          <w:color w:val="000000"/>
        </w:rPr>
        <w:t>Fair Value of Financial Instruments</w:t>
      </w:r>
      <w:r>
        <w:rPr>
          <w:rFonts w:ascii="Arial" w:cs="Arial" w:eastAsia="Arial" w:hAnsi="Arial"/>
          <w:sz w:val="16"/>
          <w:szCs w:val="16"/>
          <w:color w:val="231F20"/>
        </w:rPr>
        <w:t>, to the Consolidated Financial Statements for more information about concentration of credit risk.</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905" w:right="239" w:bottom="1440" w:gutter="0" w:footer="0" w:header="0"/>
        </w:sectPr>
      </w:pPr>
    </w:p>
    <w:bookmarkStart w:id="58" w:name="page59"/>
    <w:bookmarkEnd w:id="58"/>
    <w:p>
      <w:pPr>
        <w:jc w:val="both"/>
        <w:ind w:firstLine="648"/>
        <w:spacing w:after="0" w:line="257" w:lineRule="auto"/>
        <w:rPr>
          <w:sz w:val="20"/>
          <w:szCs w:val="20"/>
          <w:color w:val="auto"/>
        </w:rPr>
      </w:pPr>
      <w:r>
        <w:rPr>
          <w:rFonts w:ascii="Arial" w:cs="Arial" w:eastAsia="Arial" w:hAnsi="Arial"/>
          <w:sz w:val="18"/>
          <w:szCs w:val="18"/>
          <w:color w:val="231F20"/>
        </w:rPr>
        <w:t>As previously described, on January 29, 2019, PG&amp;E filed for reorganization under Chapter 11 of the U.S. Bankruptcy Code. Certain subsidiaries of the Company sell the output of their facilities to PG&amp;E under long-term PPAs, including interests in 6 solar facilities totaling 480 MW and Marsh Landing with capacity of 720 MW. The Company consolidates three of the solar facilities and Marsh Landing and records its interest in the other solar facilities as equity method investments. The Company had $5 million in accounts receivable due from PG&amp;E, which relate to the pre-petition period and therefore were recorded in other non-current assets as of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and schedules are listed in Part IV, Item 15 of this Form 10-K.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90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 and Internal Control Over Financial Reporting</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the GIP Transaction, the Company entered into a TSA pursuant to which NRG Energy, Inc. provided information technology, systems, applications and business processes to the Company. A material portion of these processes terminated during the second quarter of 2019 and such services were subsequently provided by both the Company and by CEG pursuant to the CEG Master Services Agreements. There were no changes in the Company’s internal control over financial reporting (as such term is defined in Rule 13a-15(f) under the Exchange Act) during the quarter ended December 31, 2019, that materially affected, or are reasonably likely to materially affect, the Company’s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127" w:lineRule="exact"/>
        <w:rPr>
          <w:sz w:val="20"/>
          <w:szCs w:val="20"/>
          <w:color w:val="auto"/>
        </w:rPr>
      </w:pPr>
    </w:p>
    <w:p>
      <w:pPr>
        <w:ind w:left="600" w:hanging="187"/>
        <w:spacing w:after="0"/>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94" w:lineRule="exact"/>
        <w:rPr>
          <w:rFonts w:ascii="Arial" w:cs="Arial" w:eastAsia="Arial" w:hAnsi="Arial"/>
          <w:sz w:val="16"/>
          <w:szCs w:val="16"/>
          <w:color w:val="auto"/>
        </w:rPr>
      </w:pPr>
    </w:p>
    <w:p>
      <w:pPr>
        <w:ind w:right="20" w:firstLine="413"/>
        <w:spacing w:after="0" w:line="342" w:lineRule="auto"/>
        <w:tabs>
          <w:tab w:leader="none" w:pos="5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69" w:lineRule="exact"/>
        <w:rPr>
          <w:rFonts w:ascii="Arial" w:cs="Arial" w:eastAsia="Arial" w:hAnsi="Arial"/>
          <w:sz w:val="16"/>
          <w:szCs w:val="16"/>
          <w:color w:val="auto"/>
        </w:rPr>
      </w:pPr>
    </w:p>
    <w:p>
      <w:pPr>
        <w:ind w:firstLine="413"/>
        <w:spacing w:after="0" w:line="277"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the Company's evaluation under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the Company's management concluded that its internal control over financial reporting was effective as of December 31,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90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a limited liability company that is managed by Clearway, Inc., as its sole managing member. As a limited liability company managed by Clearway, Inc., the Company does not have a board of directors. References herein to the Company's board of directors are references to the board of directors (the “Board”) of Clearway, Inc. Pursuant to the Fourth Amended and Restated Limited Liability Company Agreement of the Company, Clearway, Inc. has appointed officers of the Company and designated certain of such officers as “Executive Officers.” These executive officers are the same as the executive officers of Clearway, Inc.</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for the Company's executive officers. Executive officers serve until their successors are duly appointed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elected.</w:t>
      </w:r>
    </w:p>
    <w:p>
      <w:pPr>
        <w:spacing w:after="0" w:line="319"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124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Age</w:t>
            </w:r>
          </w:p>
        </w:tc>
        <w:tc>
          <w:tcPr>
            <w:tcW w:w="7340" w:type="dxa"/>
            <w:vAlign w:val="bottom"/>
          </w:tcPr>
          <w:p>
            <w:pPr>
              <w:ind w:left="3600"/>
              <w:spacing w:after="0"/>
              <w:rPr>
                <w:sz w:val="20"/>
                <w:szCs w:val="20"/>
                <w:color w:val="auto"/>
              </w:rPr>
            </w:pPr>
            <w:r>
              <w:rPr>
                <w:rFonts w:ascii="Arial" w:cs="Arial" w:eastAsia="Arial" w:hAnsi="Arial"/>
                <w:sz w:val="16"/>
                <w:szCs w:val="16"/>
                <w:b w:val="1"/>
                <w:bCs w:val="1"/>
                <w:color w:val="auto"/>
              </w:rPr>
              <w:t>Title</w:t>
            </w:r>
          </w:p>
        </w:tc>
      </w:tr>
      <w:tr>
        <w:trPr>
          <w:trHeight w:val="33"/>
        </w:trPr>
        <w:tc>
          <w:tcPr>
            <w:tcW w:w="2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r>
      <w:tr>
        <w:trPr>
          <w:trHeight w:val="23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Christopher S. Sotos</w:t>
            </w:r>
          </w:p>
        </w:tc>
        <w:tc>
          <w:tcPr>
            <w:tcW w:w="124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89"/>
              </w:rPr>
              <w:t>48</w:t>
            </w:r>
          </w:p>
        </w:tc>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President and Chief Executive Officer</w:t>
            </w:r>
          </w:p>
        </w:tc>
      </w:tr>
      <w:tr>
        <w:trPr>
          <w:trHeight w:val="224"/>
        </w:trPr>
        <w:tc>
          <w:tcPr>
            <w:tcW w:w="2120" w:type="dxa"/>
            <w:vAlign w:val="bottom"/>
          </w:tcPr>
          <w:p>
            <w:pPr>
              <w:ind w:left="20"/>
              <w:spacing w:after="0"/>
              <w:rPr>
                <w:sz w:val="20"/>
                <w:szCs w:val="20"/>
                <w:color w:val="auto"/>
              </w:rPr>
            </w:pPr>
            <w:r>
              <w:rPr>
                <w:rFonts w:ascii="Arial" w:cs="Arial" w:eastAsia="Arial" w:hAnsi="Arial"/>
                <w:sz w:val="16"/>
                <w:szCs w:val="16"/>
                <w:color w:val="auto"/>
              </w:rPr>
              <w:t>Chad Plotkin</w:t>
            </w:r>
          </w:p>
        </w:tc>
        <w:tc>
          <w:tcPr>
            <w:tcW w:w="1240" w:type="dxa"/>
            <w:vAlign w:val="bottom"/>
          </w:tcPr>
          <w:p>
            <w:pPr>
              <w:jc w:val="center"/>
              <w:ind w:left="439"/>
              <w:spacing w:after="0"/>
              <w:rPr>
                <w:sz w:val="20"/>
                <w:szCs w:val="20"/>
                <w:color w:val="auto"/>
              </w:rPr>
            </w:pPr>
            <w:r>
              <w:rPr>
                <w:rFonts w:ascii="Arial" w:cs="Arial" w:eastAsia="Arial" w:hAnsi="Arial"/>
                <w:sz w:val="16"/>
                <w:szCs w:val="16"/>
                <w:color w:val="auto"/>
                <w:w w:val="89"/>
              </w:rPr>
              <w:t>44</w:t>
            </w:r>
          </w:p>
        </w:tc>
        <w:tc>
          <w:tcPr>
            <w:tcW w:w="7340" w:type="dxa"/>
            <w:vAlign w:val="bottom"/>
          </w:tcPr>
          <w:p>
            <w:pPr>
              <w:ind w:left="200"/>
              <w:spacing w:after="0"/>
              <w:rPr>
                <w:sz w:val="20"/>
                <w:szCs w:val="20"/>
                <w:color w:val="auto"/>
              </w:rPr>
            </w:pPr>
            <w:r>
              <w:rPr>
                <w:rFonts w:ascii="Arial" w:cs="Arial" w:eastAsia="Arial" w:hAnsi="Arial"/>
                <w:sz w:val="16"/>
                <w:szCs w:val="16"/>
                <w:color w:val="auto"/>
              </w:rPr>
              <w:t>Senior Vice President and Chief Financial Officer</w:t>
            </w:r>
          </w:p>
        </w:tc>
      </w:tr>
      <w:tr>
        <w:trPr>
          <w:trHeight w:val="33"/>
        </w:trPr>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340" w:type="dxa"/>
            <w:vAlign w:val="bottom"/>
          </w:tcPr>
          <w:p>
            <w:pPr>
              <w:spacing w:after="0"/>
              <w:rPr>
                <w:sz w:val="2"/>
                <w:szCs w:val="2"/>
                <w:color w:val="auto"/>
              </w:rPr>
            </w:pPr>
          </w:p>
        </w:tc>
      </w:tr>
      <w:tr>
        <w:trPr>
          <w:trHeight w:val="237"/>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Kevin P. Malcarney</w:t>
            </w:r>
          </w:p>
        </w:tc>
        <w:tc>
          <w:tcPr>
            <w:tcW w:w="124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89"/>
              </w:rPr>
              <w:t>53</w:t>
            </w:r>
          </w:p>
        </w:tc>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Senior Vice President, General Counsel and Corporate Secretary</w:t>
            </w:r>
          </w:p>
        </w:tc>
      </w:tr>
      <w:tr>
        <w:trPr>
          <w:trHeight w:val="224"/>
        </w:trPr>
        <w:tc>
          <w:tcPr>
            <w:tcW w:w="2120" w:type="dxa"/>
            <w:vAlign w:val="bottom"/>
          </w:tcPr>
          <w:p>
            <w:pPr>
              <w:ind w:left="20"/>
              <w:spacing w:after="0"/>
              <w:rPr>
                <w:sz w:val="20"/>
                <w:szCs w:val="20"/>
                <w:color w:val="auto"/>
              </w:rPr>
            </w:pPr>
            <w:r>
              <w:rPr>
                <w:rFonts w:ascii="Arial" w:cs="Arial" w:eastAsia="Arial" w:hAnsi="Arial"/>
                <w:sz w:val="16"/>
                <w:szCs w:val="16"/>
                <w:color w:val="auto"/>
              </w:rPr>
              <w:t>Mary-Lee Stillwell</w:t>
            </w:r>
          </w:p>
        </w:tc>
        <w:tc>
          <w:tcPr>
            <w:tcW w:w="1240" w:type="dxa"/>
            <w:vAlign w:val="bottom"/>
          </w:tcPr>
          <w:p>
            <w:pPr>
              <w:jc w:val="center"/>
              <w:ind w:left="439"/>
              <w:spacing w:after="0"/>
              <w:rPr>
                <w:sz w:val="20"/>
                <w:szCs w:val="20"/>
                <w:color w:val="auto"/>
              </w:rPr>
            </w:pPr>
            <w:r>
              <w:rPr>
                <w:rFonts w:ascii="Arial" w:cs="Arial" w:eastAsia="Arial" w:hAnsi="Arial"/>
                <w:sz w:val="16"/>
                <w:szCs w:val="16"/>
                <w:color w:val="auto"/>
                <w:w w:val="89"/>
              </w:rPr>
              <w:t>46</w:t>
            </w:r>
          </w:p>
        </w:tc>
        <w:tc>
          <w:tcPr>
            <w:tcW w:w="7340" w:type="dxa"/>
            <w:vAlign w:val="bottom"/>
          </w:tcPr>
          <w:p>
            <w:pPr>
              <w:ind w:left="200"/>
              <w:spacing w:after="0"/>
              <w:rPr>
                <w:sz w:val="20"/>
                <w:szCs w:val="20"/>
                <w:color w:val="auto"/>
              </w:rPr>
            </w:pPr>
            <w:r>
              <w:rPr>
                <w:rFonts w:ascii="Arial" w:cs="Arial" w:eastAsia="Arial" w:hAnsi="Arial"/>
                <w:sz w:val="16"/>
                <w:szCs w:val="16"/>
                <w:color w:val="auto"/>
              </w:rPr>
              <w:t>Vice President and Chief Accounting Officer</w:t>
            </w:r>
          </w:p>
        </w:tc>
      </w:tr>
    </w:tbl>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Christopher S. Sotos </w:t>
      </w:r>
      <w:r>
        <w:rPr>
          <w:rFonts w:ascii="Arial" w:cs="Arial" w:eastAsia="Arial" w:hAnsi="Arial"/>
          <w:sz w:val="17"/>
          <w:szCs w:val="17"/>
          <w:color w:val="auto"/>
        </w:rPr>
        <w:t>has served as President and Chief Executive Officer since May 2016, and as a member of the Board since May 2013. Mr. Sotos</w:t>
      </w:r>
      <w:r>
        <w:rPr>
          <w:rFonts w:ascii="Arial" w:cs="Arial" w:eastAsia="Arial" w:hAnsi="Arial"/>
          <w:sz w:val="17"/>
          <w:szCs w:val="17"/>
          <w:i w:val="1"/>
          <w:iCs w:val="1"/>
          <w:color w:val="auto"/>
        </w:rPr>
        <w:t xml:space="preserve"> </w:t>
      </w:r>
      <w:r>
        <w:rPr>
          <w:rFonts w:ascii="Arial" w:cs="Arial" w:eastAsia="Arial" w:hAnsi="Arial"/>
          <w:sz w:val="17"/>
          <w:szCs w:val="17"/>
          <w:color w:val="auto"/>
        </w:rPr>
        <w:t>had also served in various positions at NRG, including most recently as Executive Vice President-Strategy and Mergers and Acquisitions from February 2016 through May 2016 and Senior Vice President-Strategy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Chief Executive Officer of the Company, Mr. Sotos provides the Board with management’s perspective regarding the Company’s day to day operations and overall strategic plan. Mr. Sotos also brings strong financial and accounting skills to the Board.</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Chad Plotkin </w:t>
      </w:r>
      <w:r>
        <w:rPr>
          <w:rFonts w:ascii="Arial" w:cs="Arial" w:eastAsia="Arial" w:hAnsi="Arial"/>
          <w:sz w:val="18"/>
          <w:szCs w:val="18"/>
          <w:color w:val="auto"/>
        </w:rPr>
        <w:t>has served as the Company's Senior Vice President and Chief Financial Officer since November 2016. From January 2016 until his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as Senior Vice President and Chief Financial Officer, Mr. Plotkin served as Senior Vice President, Finance and Strategy.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Kevin P. Malcarney </w:t>
      </w:r>
      <w:r>
        <w:rPr>
          <w:rFonts w:ascii="Arial" w:cs="Arial" w:eastAsia="Arial" w:hAnsi="Arial"/>
          <w:sz w:val="18"/>
          <w:szCs w:val="18"/>
          <w:color w:val="auto"/>
        </w:rPr>
        <w:t>has served as Senior Vice President, General Counsel and Corporate Secretary since May 11, 2018. He served as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of the Company from March 16, 2018. Mr. Malcarney was previously Vice President and Deputy General Counsel and served in various other roles at NRG since September 2008. Prior to that, Mr. Malcarney worked at two major law firms in Princeton, New Jersey and Philadelphia, Pennsylvania, and handled mergers and acquisitions, project financing and general corporate matters.</w:t>
      </w:r>
    </w:p>
    <w:p>
      <w:pPr>
        <w:spacing w:after="0" w:line="133"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i w:val="1"/>
          <w:iCs w:val="1"/>
          <w:color w:val="auto"/>
        </w:rPr>
        <w:t xml:space="preserve">Mary-Lee Stillwell </w:t>
      </w:r>
      <w:r>
        <w:rPr>
          <w:rFonts w:ascii="Arial" w:cs="Arial" w:eastAsia="Arial" w:hAnsi="Arial"/>
          <w:sz w:val="17"/>
          <w:szCs w:val="17"/>
          <w:color w:val="auto"/>
        </w:rPr>
        <w:t>has served as Vice President and Chief Accounting Officer of the Company since August 31, 2018. Ms. Stillwell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Vice President and Assistant Controller of NRG since December 2012, where she was responsible for managing and directing NRG's financial accounting and reporting activities as well as overseeing the accounting for the Renewables business and various shared service functions. Prior to her work at NRG, Ms. Stillwell served as Assistant Controller-Integration and Internal Controls of GenOn Energy, Inc., in Houston, Texas, from September 2010 to December 2012, where she was responsible for all Sarbanes</w:t>
      </w:r>
      <w:r>
        <w:rPr>
          <w:rFonts w:ascii="MS PGothic" w:cs="MS PGothic" w:eastAsia="MS PGothic" w:hAnsi="MS PGothic"/>
          <w:sz w:val="17"/>
          <w:szCs w:val="17"/>
          <w:color w:val="auto"/>
        </w:rPr>
        <w:t>‑</w:t>
      </w:r>
      <w:r>
        <w:rPr>
          <w:rFonts w:ascii="Arial" w:cs="Arial" w:eastAsia="Arial" w:hAnsi="Arial"/>
          <w:sz w:val="17"/>
          <w:szCs w:val="17"/>
          <w:color w:val="auto"/>
        </w:rPr>
        <w:t>Oxley compliance as well as integrations of mergers and acquisitions.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Code of Ethics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Company has not adopted a separate code of ethics because all of the officers of the Company are subject to the Code of Conduct adopted by the Board of Clearway, Inc. Clearway, Inc.’s Code of Conduct applies to all of its directors and employees, including its and the Company's officers (e.g., the Company's CEO, CFO, and Principal Accounting Officer). Clearway, Inc.’s Code of Conduct is available on its website, </w:t>
      </w:r>
      <w:r>
        <w:rPr>
          <w:rFonts w:ascii="Arial" w:cs="Arial" w:eastAsia="Arial" w:hAnsi="Arial"/>
          <w:sz w:val="16"/>
          <w:szCs w:val="16"/>
          <w:i w:val="1"/>
          <w:iCs w:val="1"/>
          <w:color w:val="auto"/>
        </w:rPr>
        <w:t>www.clearwayenergy.com</w:t>
      </w:r>
      <w:r>
        <w:rPr>
          <w:rFonts w:ascii="Arial" w:cs="Arial" w:eastAsia="Arial" w:hAnsi="Arial"/>
          <w:sz w:val="16"/>
          <w:szCs w:val="16"/>
          <w:color w:val="auto"/>
        </w:rPr>
        <w: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16(a)-Beneficial Ownership Reporting Compliance</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does not have equity securities registered pursuant to Section 12 of the Exchange Act, and therefore there are no persons subject to Section 16 of the Exchange Act with respect to the Company that are required to file Forms 3, 4 or 5 with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1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named executive officers are also named executive officers of Clearway, Inc., and the compensation of the named executive officers disclosed herein reflects total compensation for services with respect to Clearway, Inc. and all of its subsidiaries, including the Company. The Compensation Committee of the Board of Clearway, Inc. (the “Compensation Committee”) has reviewed and discussed the Compensation Discussion and Analysis included in this Annual Report on Form 10-K required by Item 402(b) of Regulation S-K with management and, based upon such review and discussion, the Compensation Committee has recommended to the Board that the Compensation Discussion and Analysis be included in this Annual Report on Form 10-K.</w:t>
      </w:r>
    </w:p>
    <w:p>
      <w:pPr>
        <w:spacing w:after="0" w:line="2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34290</wp:posOffset>
            </wp:positionV>
            <wp:extent cx="659511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5110" cy="171450"/>
                    </a:xfrm>
                    <a:prstGeom prst="rect">
                      <a:avLst/>
                    </a:prstGeom>
                    <a:noFill/>
                  </pic:spPr>
                </pic:pic>
              </a:graphicData>
            </a:graphic>
          </wp:anchor>
        </w:drawing>
      </w:r>
    </w:p>
    <w:p>
      <w:pPr>
        <w:spacing w:after="0" w:line="4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Ferrell P. McClean, Chair</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31750</wp:posOffset>
            </wp:positionV>
            <wp:extent cx="659511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5110" cy="17145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Brian R. Ford</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169545</wp:posOffset>
            </wp:positionV>
            <wp:extent cx="659511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95110" cy="171450"/>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 Stanley O'Neal</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 Program</w:t>
      </w:r>
    </w:p>
    <w:p>
      <w:pPr>
        <w:spacing w:after="0" w:line="171"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Clearway, Inc. is a publicly</w:t>
      </w:r>
      <w:r>
        <w:rPr>
          <w:rFonts w:ascii="MS PGothic" w:cs="MS PGothic" w:eastAsia="MS PGothic" w:hAnsi="MS PGothic"/>
          <w:sz w:val="17"/>
          <w:szCs w:val="17"/>
          <w:color w:val="auto"/>
        </w:rPr>
        <w:t>‑</w:t>
      </w:r>
      <w:r>
        <w:rPr>
          <w:rFonts w:ascii="Arial" w:cs="Arial" w:eastAsia="Arial" w:hAnsi="Arial"/>
          <w:sz w:val="17"/>
          <w:szCs w:val="17"/>
          <w:color w:val="auto"/>
        </w:rPr>
        <w:t>traded energy infrastructure investor and owner of modern, sustainable and long</w:t>
      </w:r>
      <w:r>
        <w:rPr>
          <w:rFonts w:ascii="MS PGothic" w:cs="MS PGothic" w:eastAsia="MS PGothic" w:hAnsi="MS PGothic"/>
          <w:sz w:val="17"/>
          <w:szCs w:val="17"/>
          <w:color w:val="auto"/>
        </w:rPr>
        <w:t>‑</w:t>
      </w:r>
      <w:r>
        <w:rPr>
          <w:rFonts w:ascii="Arial" w:cs="Arial" w:eastAsia="Arial" w:hAnsi="Arial"/>
          <w:sz w:val="17"/>
          <w:szCs w:val="17"/>
          <w:color w:val="auto"/>
        </w:rPr>
        <w:t>term contracted assets across North America. As a result of the GIP Transaction which closed on August 31, 2018, GIP, through its portfolio company, CEG, holds all of Clearway, Inc.’s Class B common stock and Class D common stock, and thus has the majority voting interest in the Company. This Compensation Discussion and Analysis (“CD&amp;A”) describes the philosophy, elements, implementation and results of the Clearway, Inc.'s 2019 executive compensation program as it applies to the executive team. As discussed above, Clearway, Inc.'s named executive officers are also named executive officers of Clearway Energy LLC, and the compensation of the named executive officers (“NEOs”) discussed below reflects total compensation for services with respect to Clearway, Inc. and all of its subsidiaries, including Clearway Energy LLC. In this CD&amp;A, the term “Company,” as well as the terms “our,” “we,” “us” or like terms, are used to refer to Clearway, Inc. and its consolidated subsidiaries, including Clearway Energy LLC and its consolidated subsidiaries.</w:t>
      </w:r>
    </w:p>
    <w:p>
      <w:pPr>
        <w:spacing w:after="0" w:line="151"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Beginning with our first two employees, Messrs. Sotos and Plotkin in 2016, the Compensation Committee’s objectives have been to design a simple yet competitive program, which is aligned with the interests of our stockholders. Since that time, refinements have been made to the combination of long</w:t>
      </w:r>
      <w:r>
        <w:rPr>
          <w:rFonts w:ascii="MS PGothic" w:cs="MS PGothic" w:eastAsia="MS PGothic" w:hAnsi="MS PGothic"/>
          <w:sz w:val="17"/>
          <w:szCs w:val="17"/>
          <w:color w:val="auto"/>
        </w:rPr>
        <w:t>‑</w:t>
      </w:r>
      <w:r>
        <w:rPr>
          <w:rFonts w:ascii="Arial" w:cs="Arial" w:eastAsia="Arial" w:hAnsi="Arial"/>
          <w:sz w:val="17"/>
          <w:szCs w:val="17"/>
          <w:color w:val="auto"/>
        </w:rPr>
        <w:t>term and short</w:t>
      </w:r>
      <w:r>
        <w:rPr>
          <w:rFonts w:ascii="MS PGothic" w:cs="MS PGothic" w:eastAsia="MS PGothic" w:hAnsi="MS PGothic"/>
          <w:sz w:val="17"/>
          <w:szCs w:val="17"/>
          <w:color w:val="auto"/>
        </w:rPr>
        <w:t>‑</w:t>
      </w:r>
      <w:r>
        <w:rPr>
          <w:rFonts w:ascii="Arial" w:cs="Arial" w:eastAsia="Arial" w:hAnsi="Arial"/>
          <w:sz w:val="17"/>
          <w:szCs w:val="17"/>
          <w:color w:val="auto"/>
        </w:rPr>
        <w:t>term compensation features to further align pay with the Company’s annual performance and 3-year total shareholder return (“TSR”), respectively. Our annual incentive program (“AIP”) is based on objective criteria that support the achievement of our short-term objectives, which we believe create long-term shareholder value. Our long-term incentives are comprised of 67% Relative Performance Stock Units (“RPSUs”), which vest based on relative TSR measured over 3 years and 33% Restricted Stock Units (“RSUs”), which vest based on continued service over 3 years. The program incorporates many best practices in compensation design, while being tailored to our business needs and compensation objectives.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7" w:right="239" w:bottom="1440" w:gutter="0" w:footer="0" w:header="0"/>
        </w:sectPr>
      </w:pPr>
    </w:p>
    <w:bookmarkStart w:id="62" w:name="page63"/>
    <w:bookmarkEnd w:id="62"/>
    <w:p>
      <w:pPr>
        <w:jc w:val="both"/>
        <w:ind w:firstLine="648"/>
        <w:spacing w:after="0" w:line="221" w:lineRule="exact"/>
        <w:rPr>
          <w:sz w:val="20"/>
          <w:szCs w:val="20"/>
          <w:color w:val="auto"/>
        </w:rPr>
      </w:pPr>
      <w:r>
        <w:rPr>
          <w:rFonts w:ascii="Arial" w:cs="Arial" w:eastAsia="Arial" w:hAnsi="Arial"/>
          <w:sz w:val="17"/>
          <w:szCs w:val="17"/>
          <w:color w:val="auto"/>
        </w:rPr>
        <w:t>In 2019, the Compensation Committee reviewed and did not modify its compensation philosophy behind the compensation program. Thus, NEO compensation continued to be delivered through a mix of (i) base salary, (ii) an annual incentive bonus opportunity under the AIP and (iii) long</w:t>
      </w:r>
      <w:r>
        <w:rPr>
          <w:rFonts w:ascii="MS PGothic" w:cs="MS PGothic" w:eastAsia="MS PGothic" w:hAnsi="MS PGothic"/>
          <w:sz w:val="17"/>
          <w:szCs w:val="17"/>
          <w:color w:val="auto"/>
        </w:rPr>
        <w:t>‑</w:t>
      </w:r>
      <w:r>
        <w:rPr>
          <w:rFonts w:ascii="Arial" w:cs="Arial" w:eastAsia="Arial" w:hAnsi="Arial"/>
          <w:sz w:val="17"/>
          <w:szCs w:val="17"/>
          <w:color w:val="auto"/>
        </w:rPr>
        <w:t>term incentive compensation under our Amended and Restated 2013 Equity Incentive Plan (“LTIP”) in the form of RPSUs, and RSUs.</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our 2019 Annual Meeting of Stockholders, we received 99% support for our say on pay proposal. We believe these results demonstrate our stockholders support our pay practices and that our compensation plans are aligned with their interests.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Governance Features of Our Executive Compensation Program</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program and practices incorporate several key governance features as highlighted in the table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ind w:left="2400"/>
              <w:spacing w:after="0"/>
              <w:rPr>
                <w:sz w:val="20"/>
                <w:szCs w:val="20"/>
                <w:color w:val="auto"/>
              </w:rPr>
            </w:pPr>
            <w:r>
              <w:rPr>
                <w:rFonts w:ascii="Arial" w:cs="Arial" w:eastAsia="Arial" w:hAnsi="Arial"/>
                <w:sz w:val="14"/>
                <w:szCs w:val="14"/>
                <w:b w:val="1"/>
                <w:bCs w:val="1"/>
                <w:color w:val="auto"/>
              </w:rPr>
              <w:t>What We Do:</w:t>
            </w:r>
          </w:p>
        </w:tc>
        <w:tc>
          <w:tcPr>
            <w:tcW w:w="5840" w:type="dxa"/>
            <w:vAlign w:val="bottom"/>
          </w:tcPr>
          <w:p>
            <w:pPr>
              <w:ind w:left="2320"/>
              <w:spacing w:after="0"/>
              <w:rPr>
                <w:sz w:val="20"/>
                <w:szCs w:val="20"/>
                <w:color w:val="auto"/>
              </w:rPr>
            </w:pPr>
            <w:r>
              <w:rPr>
                <w:rFonts w:ascii="Arial" w:cs="Arial" w:eastAsia="Arial" w:hAnsi="Arial"/>
                <w:sz w:val="14"/>
                <w:szCs w:val="14"/>
                <w:b w:val="1"/>
                <w:bCs w:val="1"/>
                <w:color w:val="auto"/>
              </w:rPr>
              <w:t>What We Don’t Do:</w:t>
            </w:r>
          </w:p>
        </w:tc>
      </w:tr>
      <w:tr>
        <w:trPr>
          <w:trHeight w:val="23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for performance by delivering a substantial majority of our CEO’s</w:t>
            </w:r>
          </w:p>
        </w:tc>
        <w:tc>
          <w:tcPr>
            <w:tcW w:w="5840" w:type="dxa"/>
            <w:vAlign w:val="bottom"/>
            <w:shd w:val="clear" w:color="auto" w:fill="CCEEFF"/>
          </w:tcPr>
          <w:p>
            <w:pPr>
              <w:ind w:left="60"/>
              <w:spacing w:after="0" w:line="207" w:lineRule="exact"/>
              <w:rPr>
                <w:sz w:val="20"/>
                <w:szCs w:val="20"/>
                <w:color w:val="auto"/>
              </w:rPr>
            </w:pPr>
            <w:r>
              <w:rPr>
                <w:rFonts w:ascii="Arial" w:cs="Arial" w:eastAsia="Arial" w:hAnsi="Arial"/>
                <w:sz w:val="18"/>
                <w:szCs w:val="18"/>
                <w:color w:val="auto"/>
                <w:w w:val="93"/>
              </w:rPr>
              <w:t>No excise tax gross</w:t>
            </w:r>
            <w:r>
              <w:rPr>
                <w:rFonts w:ascii="MS PGothic" w:cs="MS PGothic" w:eastAsia="MS PGothic" w:hAnsi="MS PGothic"/>
                <w:sz w:val="18"/>
                <w:szCs w:val="18"/>
                <w:color w:val="auto"/>
                <w:w w:val="93"/>
              </w:rPr>
              <w:t>‑</w:t>
            </w:r>
            <w:r>
              <w:rPr>
                <w:rFonts w:ascii="Arial" w:cs="Arial" w:eastAsia="Arial" w:hAnsi="Arial"/>
                <w:sz w:val="18"/>
                <w:szCs w:val="18"/>
                <w:color w:val="auto"/>
                <w:w w:val="93"/>
              </w:rPr>
              <w:t>ups on change</w:t>
            </w:r>
            <w:r>
              <w:rPr>
                <w:rFonts w:ascii="MS PGothic" w:cs="MS PGothic" w:eastAsia="MS PGothic" w:hAnsi="MS PGothic"/>
                <w:sz w:val="18"/>
                <w:szCs w:val="18"/>
                <w:color w:val="auto"/>
                <w:w w:val="93"/>
              </w:rPr>
              <w:t>‑</w:t>
            </w:r>
            <w:r>
              <w:rPr>
                <w:rFonts w:ascii="Arial" w:cs="Arial" w:eastAsia="Arial" w:hAnsi="Arial"/>
                <w:sz w:val="18"/>
                <w:szCs w:val="18"/>
                <w:color w:val="auto"/>
                <w:w w:val="93"/>
              </w:rPr>
              <w:t>in</w:t>
            </w:r>
            <w:r>
              <w:rPr>
                <w:rFonts w:ascii="MS PGothic" w:cs="MS PGothic" w:eastAsia="MS PGothic" w:hAnsi="MS PGothic"/>
                <w:sz w:val="18"/>
                <w:szCs w:val="18"/>
                <w:color w:val="auto"/>
                <w:w w:val="93"/>
              </w:rPr>
              <w:t>‑</w:t>
            </w:r>
            <w:r>
              <w:rPr>
                <w:rFonts w:ascii="Arial" w:cs="Arial" w:eastAsia="Arial" w:hAnsi="Arial"/>
                <w:sz w:val="18"/>
                <w:szCs w:val="18"/>
                <w:color w:val="auto"/>
                <w:w w:val="93"/>
              </w:rPr>
              <w:t>control payments and no tax gross</w:t>
            </w:r>
            <w:r>
              <w:rPr>
                <w:rFonts w:ascii="MS PGothic" w:cs="MS PGothic" w:eastAsia="MS PGothic" w:hAnsi="MS PGothic"/>
                <w:sz w:val="18"/>
                <w:szCs w:val="18"/>
                <w:color w:val="auto"/>
                <w:w w:val="93"/>
              </w:rPr>
              <w:t>‑</w:t>
            </w:r>
            <w:r>
              <w:rPr>
                <w:rFonts w:ascii="Arial" w:cs="Arial" w:eastAsia="Arial" w:hAnsi="Arial"/>
                <w:sz w:val="18"/>
                <w:szCs w:val="18"/>
                <w:color w:val="auto"/>
                <w:w w:val="93"/>
              </w:rPr>
              <w:t>ups</w:t>
            </w:r>
          </w:p>
        </w:tc>
      </w:tr>
      <w:tr>
        <w:trPr>
          <w:trHeight w:val="23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through equity</w:t>
            </w:r>
          </w:p>
        </w:tc>
        <w:tc>
          <w:tcPr>
            <w:tcW w:w="5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on perquisites or benefits</w:t>
            </w: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w w:val="92"/>
              </w:rPr>
              <w:t>Beginning in 2017, the large majority of our equity compensation for Senior</w:t>
            </w:r>
          </w:p>
        </w:tc>
        <w:tc>
          <w:tcPr>
            <w:tcW w:w="5840" w:type="dxa"/>
            <w:vAlign w:val="bottom"/>
          </w:tcPr>
          <w:p>
            <w:pPr>
              <w:spacing w:after="0"/>
              <w:rPr>
                <w:sz w:val="19"/>
                <w:szCs w:val="19"/>
                <w:color w:val="auto"/>
              </w:rPr>
            </w:pPr>
          </w:p>
        </w:tc>
      </w:tr>
      <w:tr>
        <w:trPr>
          <w:trHeight w:val="230"/>
        </w:trPr>
        <w:tc>
          <w:tcPr>
            <w:tcW w:w="5580" w:type="dxa"/>
            <w:vAlign w:val="bottom"/>
          </w:tcPr>
          <w:p>
            <w:pPr>
              <w:ind w:left="40"/>
              <w:spacing w:after="0" w:line="207" w:lineRule="exact"/>
              <w:rPr>
                <w:sz w:val="20"/>
                <w:szCs w:val="20"/>
                <w:color w:val="auto"/>
              </w:rPr>
            </w:pPr>
            <w:r>
              <w:rPr>
                <w:rFonts w:ascii="Arial" w:cs="Arial" w:eastAsia="Arial" w:hAnsi="Arial"/>
                <w:sz w:val="18"/>
                <w:szCs w:val="18"/>
                <w:color w:val="auto"/>
              </w:rPr>
              <w:t>Vice Presidents and above is performance</w:t>
            </w:r>
            <w:r>
              <w:rPr>
                <w:rFonts w:ascii="MS PGothic" w:cs="MS PGothic" w:eastAsia="MS PGothic" w:hAnsi="MS PGothic"/>
                <w:sz w:val="18"/>
                <w:szCs w:val="18"/>
                <w:color w:val="auto"/>
              </w:rPr>
              <w:t>‑</w:t>
            </w:r>
            <w:r>
              <w:rPr>
                <w:rFonts w:ascii="Arial" w:cs="Arial" w:eastAsia="Arial" w:hAnsi="Arial"/>
                <w:sz w:val="18"/>
                <w:szCs w:val="18"/>
                <w:color w:val="auto"/>
              </w:rPr>
              <w:t>based</w:t>
            </w:r>
          </w:p>
        </w:tc>
        <w:tc>
          <w:tcPr>
            <w:tcW w:w="5840" w:type="dxa"/>
            <w:vAlign w:val="bottom"/>
          </w:tcPr>
          <w:p>
            <w:pPr>
              <w:ind w:left="60"/>
              <w:spacing w:after="0"/>
              <w:rPr>
                <w:sz w:val="20"/>
                <w:szCs w:val="20"/>
                <w:color w:val="auto"/>
              </w:rPr>
            </w:pPr>
            <w:r>
              <w:rPr>
                <w:rFonts w:ascii="Arial" w:cs="Arial" w:eastAsia="Arial" w:hAnsi="Arial"/>
                <w:sz w:val="18"/>
                <w:szCs w:val="18"/>
                <w:color w:val="auto"/>
              </w:rPr>
              <w:t>No pledging or hedging of the Company’s stock by NEOs or directors</w:t>
            </w:r>
          </w:p>
        </w:tc>
      </w:tr>
      <w:tr>
        <w:trPr>
          <w:trHeight w:val="27"/>
        </w:trPr>
        <w:tc>
          <w:tcPr>
            <w:tcW w:w="5580" w:type="dxa"/>
            <w:vAlign w:val="bottom"/>
          </w:tcPr>
          <w:p>
            <w:pPr>
              <w:spacing w:after="0"/>
              <w:rPr>
                <w:sz w:val="2"/>
                <w:szCs w:val="2"/>
                <w:color w:val="auto"/>
              </w:rPr>
            </w:pPr>
          </w:p>
        </w:tc>
        <w:tc>
          <w:tcPr>
            <w:tcW w:w="5840" w:type="dxa"/>
            <w:vAlign w:val="bottom"/>
          </w:tcPr>
          <w:p>
            <w:pPr>
              <w:spacing w:after="0"/>
              <w:rPr>
                <w:sz w:val="2"/>
                <w:szCs w:val="2"/>
                <w:color w:val="auto"/>
              </w:rPr>
            </w:pPr>
          </w:p>
        </w:tc>
      </w:tr>
      <w:tr>
        <w:trPr>
          <w:trHeight w:val="229"/>
        </w:trPr>
        <w:tc>
          <w:tcPr>
            <w:tcW w:w="5580" w:type="dxa"/>
            <w:vAlign w:val="bottom"/>
            <w:shd w:val="clear" w:color="auto" w:fill="CCEEFF"/>
          </w:tcPr>
          <w:p>
            <w:pPr>
              <w:spacing w:after="0"/>
              <w:rPr>
                <w:sz w:val="19"/>
                <w:szCs w:val="19"/>
                <w:color w:val="auto"/>
              </w:rPr>
            </w:pPr>
          </w:p>
        </w:tc>
        <w:tc>
          <w:tcPr>
            <w:tcW w:w="58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No employment agreements for executive officers with the exception of our</w:t>
            </w:r>
          </w:p>
        </w:tc>
      </w:tr>
      <w:tr>
        <w:trPr>
          <w:trHeight w:val="23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Target our peer group median for total direct compensation</w:t>
            </w:r>
          </w:p>
        </w:tc>
        <w:tc>
          <w:tcPr>
            <w:tcW w:w="5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CEO</w:t>
            </w: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Require a double trigger for the acceleration of equity vesting upon a</w:t>
            </w:r>
          </w:p>
        </w:tc>
        <w:tc>
          <w:tcPr>
            <w:tcW w:w="5840" w:type="dxa"/>
            <w:vAlign w:val="bottom"/>
          </w:tcPr>
          <w:p>
            <w:pPr>
              <w:spacing w:after="0"/>
              <w:rPr>
                <w:sz w:val="19"/>
                <w:szCs w:val="19"/>
                <w:color w:val="auto"/>
              </w:rPr>
            </w:pPr>
          </w:p>
        </w:tc>
      </w:tr>
      <w:tr>
        <w:trPr>
          <w:trHeight w:val="230"/>
        </w:trPr>
        <w:tc>
          <w:tcPr>
            <w:tcW w:w="5580" w:type="dxa"/>
            <w:vAlign w:val="bottom"/>
          </w:tcPr>
          <w:p>
            <w:pPr>
              <w:ind w:left="40"/>
              <w:spacing w:after="0" w:line="207" w:lineRule="exact"/>
              <w:rPr>
                <w:sz w:val="20"/>
                <w:szCs w:val="20"/>
                <w:color w:val="auto"/>
              </w:rPr>
            </w:pPr>
            <w:r>
              <w:rPr>
                <w:rFonts w:ascii="Arial" w:cs="Arial" w:eastAsia="Arial" w:hAnsi="Arial"/>
                <w:sz w:val="18"/>
                <w:szCs w:val="18"/>
                <w:color w:val="auto"/>
              </w:rPr>
              <w:t>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w:t>
            </w:r>
          </w:p>
        </w:tc>
        <w:tc>
          <w:tcPr>
            <w:tcW w:w="5840" w:type="dxa"/>
            <w:vAlign w:val="bottom"/>
          </w:tcPr>
          <w:p>
            <w:pPr>
              <w:ind w:left="60"/>
              <w:spacing w:after="0"/>
              <w:rPr>
                <w:sz w:val="20"/>
                <w:szCs w:val="20"/>
                <w:color w:val="auto"/>
              </w:rPr>
            </w:pPr>
            <w:r>
              <w:rPr>
                <w:rFonts w:ascii="Arial" w:cs="Arial" w:eastAsia="Arial" w:hAnsi="Arial"/>
                <w:sz w:val="18"/>
                <w:szCs w:val="18"/>
                <w:color w:val="auto"/>
              </w:rPr>
              <w:t>No guaranteed bonus payments for our NEOs</w:t>
            </w:r>
          </w:p>
        </w:tc>
      </w:tr>
      <w:tr>
        <w:trPr>
          <w:trHeight w:val="27"/>
        </w:trPr>
        <w:tc>
          <w:tcPr>
            <w:tcW w:w="5580" w:type="dxa"/>
            <w:vAlign w:val="bottom"/>
          </w:tcPr>
          <w:p>
            <w:pPr>
              <w:spacing w:after="0"/>
              <w:rPr>
                <w:sz w:val="2"/>
                <w:szCs w:val="2"/>
                <w:color w:val="auto"/>
              </w:rPr>
            </w:pPr>
          </w:p>
        </w:tc>
        <w:tc>
          <w:tcPr>
            <w:tcW w:w="5840" w:type="dxa"/>
            <w:vAlign w:val="bottom"/>
          </w:tcPr>
          <w:p>
            <w:pPr>
              <w:spacing w:after="0"/>
              <w:rPr>
                <w:sz w:val="2"/>
                <w:szCs w:val="2"/>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Prevent undue risk taking in our compensation practices and engage in</w:t>
            </w:r>
          </w:p>
        </w:tc>
        <w:tc>
          <w:tcPr>
            <w:tcW w:w="5840" w:type="dxa"/>
            <w:vAlign w:val="bottom"/>
            <w:shd w:val="clear" w:color="auto" w:fill="CCEEFF"/>
          </w:tcPr>
          <w:p>
            <w:pPr>
              <w:spacing w:after="0"/>
              <w:rPr>
                <w:sz w:val="19"/>
                <w:szCs w:val="19"/>
                <w:color w:val="auto"/>
              </w:rPr>
            </w:pPr>
          </w:p>
        </w:tc>
      </w:tr>
      <w:tr>
        <w:trPr>
          <w:trHeight w:val="23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robust risk monitoring</w:t>
            </w:r>
          </w:p>
        </w:tc>
        <w:tc>
          <w:tcPr>
            <w:tcW w:w="5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 supplemental executive retirement plans</w:t>
            </w:r>
          </w:p>
        </w:tc>
      </w:tr>
      <w:tr>
        <w:trPr>
          <w:trHeight w:val="229"/>
        </w:trPr>
        <w:tc>
          <w:tcPr>
            <w:tcW w:w="5580" w:type="dxa"/>
            <w:vAlign w:val="bottom"/>
          </w:tcPr>
          <w:p>
            <w:pPr>
              <w:spacing w:after="0"/>
              <w:rPr>
                <w:sz w:val="19"/>
                <w:szCs w:val="19"/>
                <w:color w:val="auto"/>
              </w:rPr>
            </w:pPr>
          </w:p>
        </w:tc>
        <w:tc>
          <w:tcPr>
            <w:tcW w:w="5840" w:type="dxa"/>
            <w:vAlign w:val="bottom"/>
          </w:tcPr>
          <w:p>
            <w:pPr>
              <w:ind w:left="60"/>
              <w:spacing w:after="0" w:line="207" w:lineRule="exact"/>
              <w:rPr>
                <w:sz w:val="20"/>
                <w:szCs w:val="20"/>
                <w:color w:val="auto"/>
              </w:rPr>
            </w:pPr>
            <w:r>
              <w:rPr>
                <w:rFonts w:ascii="Arial" w:cs="Arial" w:eastAsia="Arial" w:hAnsi="Arial"/>
                <w:sz w:val="18"/>
                <w:szCs w:val="18"/>
                <w:color w:val="auto"/>
                <w:w w:val="95"/>
              </w:rPr>
              <w:t>No re</w:t>
            </w:r>
            <w:r>
              <w:rPr>
                <w:rFonts w:ascii="MS PGothic" w:cs="MS PGothic" w:eastAsia="MS PGothic" w:hAnsi="MS PGothic"/>
                <w:sz w:val="18"/>
                <w:szCs w:val="18"/>
                <w:color w:val="auto"/>
                <w:w w:val="95"/>
              </w:rPr>
              <w:t>‑</w:t>
            </w:r>
            <w:r>
              <w:rPr>
                <w:rFonts w:ascii="Arial" w:cs="Arial" w:eastAsia="Arial" w:hAnsi="Arial"/>
                <w:sz w:val="18"/>
                <w:szCs w:val="18"/>
                <w:color w:val="auto"/>
                <w:w w:val="95"/>
              </w:rPr>
              <w:t>pricing of underwater stock options and no stock option grants with an</w:t>
            </w:r>
          </w:p>
        </w:tc>
      </w:tr>
      <w:tr>
        <w:trPr>
          <w:trHeight w:val="230"/>
        </w:trPr>
        <w:tc>
          <w:tcPr>
            <w:tcW w:w="5580" w:type="dxa"/>
            <w:vAlign w:val="bottom"/>
          </w:tcPr>
          <w:p>
            <w:pPr>
              <w:ind w:left="40"/>
              <w:spacing w:after="0"/>
              <w:rPr>
                <w:sz w:val="20"/>
                <w:szCs w:val="20"/>
                <w:color w:val="auto"/>
              </w:rPr>
            </w:pPr>
            <w:r>
              <w:rPr>
                <w:rFonts w:ascii="Arial" w:cs="Arial" w:eastAsia="Arial" w:hAnsi="Arial"/>
                <w:sz w:val="18"/>
                <w:szCs w:val="18"/>
                <w:color w:val="auto"/>
              </w:rPr>
              <w:t>Include clawback policies in our compensation plans</w:t>
            </w:r>
          </w:p>
        </w:tc>
        <w:tc>
          <w:tcPr>
            <w:tcW w:w="5840" w:type="dxa"/>
            <w:vAlign w:val="bottom"/>
          </w:tcPr>
          <w:p>
            <w:pPr>
              <w:ind w:left="60"/>
              <w:spacing w:after="0"/>
              <w:rPr>
                <w:sz w:val="20"/>
                <w:szCs w:val="20"/>
                <w:color w:val="auto"/>
              </w:rPr>
            </w:pPr>
            <w:r>
              <w:rPr>
                <w:rFonts w:ascii="Arial" w:cs="Arial" w:eastAsia="Arial" w:hAnsi="Arial"/>
                <w:sz w:val="18"/>
                <w:szCs w:val="18"/>
                <w:color w:val="auto"/>
              </w:rPr>
              <w:t>exercise price below 100% of fair market value</w:t>
            </w:r>
          </w:p>
        </w:tc>
      </w:tr>
      <w:tr>
        <w:trPr>
          <w:trHeight w:val="27"/>
        </w:trPr>
        <w:tc>
          <w:tcPr>
            <w:tcW w:w="5580" w:type="dxa"/>
            <w:vAlign w:val="bottom"/>
          </w:tcPr>
          <w:p>
            <w:pPr>
              <w:spacing w:after="0"/>
              <w:rPr>
                <w:sz w:val="2"/>
                <w:szCs w:val="2"/>
                <w:color w:val="auto"/>
              </w:rPr>
            </w:pPr>
          </w:p>
        </w:tc>
        <w:tc>
          <w:tcPr>
            <w:tcW w:w="58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Maintain robust stock ownership guidelines for our NEOs</w:t>
            </w:r>
          </w:p>
        </w:tc>
        <w:tc>
          <w:tcPr>
            <w:tcW w:w="58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40"/>
              <w:spacing w:after="0" w:line="207" w:lineRule="exact"/>
              <w:rPr>
                <w:sz w:val="20"/>
                <w:szCs w:val="20"/>
                <w:color w:val="auto"/>
              </w:rPr>
            </w:pPr>
            <w:r>
              <w:rPr>
                <w:rFonts w:ascii="Arial" w:cs="Arial" w:eastAsia="Arial" w:hAnsi="Arial"/>
                <w:sz w:val="18"/>
                <w:szCs w:val="18"/>
                <w:color w:val="auto"/>
              </w:rPr>
              <w:t>Provide market</w:t>
            </w:r>
            <w:r>
              <w:rPr>
                <w:rFonts w:ascii="MS PGothic" w:cs="MS PGothic" w:eastAsia="MS PGothic" w:hAnsi="MS PGothic"/>
                <w:sz w:val="18"/>
                <w:szCs w:val="18"/>
                <w:color w:val="auto"/>
              </w:rPr>
              <w:t>‑</w:t>
            </w:r>
            <w:r>
              <w:rPr>
                <w:rFonts w:ascii="Arial" w:cs="Arial" w:eastAsia="Arial" w:hAnsi="Arial"/>
                <w:sz w:val="18"/>
                <w:szCs w:val="18"/>
                <w:color w:val="auto"/>
              </w:rPr>
              <w:t>level retirement benefits and limited perquisites</w:t>
            </w:r>
          </w:p>
        </w:tc>
        <w:tc>
          <w:tcPr>
            <w:tcW w:w="584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5840" w:type="dxa"/>
            <w:vAlign w:val="bottom"/>
          </w:tcPr>
          <w:p>
            <w:pPr>
              <w:spacing w:after="0"/>
              <w:rPr>
                <w:sz w:val="2"/>
                <w:szCs w:val="2"/>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Engage an independent compensation consultant to provide advice to the</w:t>
            </w:r>
          </w:p>
        </w:tc>
        <w:tc>
          <w:tcPr>
            <w:tcW w:w="5840" w:type="dxa"/>
            <w:vAlign w:val="bottom"/>
            <w:shd w:val="clear" w:color="auto" w:fill="CCEEFF"/>
          </w:tcPr>
          <w:p>
            <w:pPr>
              <w:spacing w:after="0"/>
              <w:rPr>
                <w:sz w:val="19"/>
                <w:szCs w:val="19"/>
                <w:color w:val="auto"/>
              </w:rPr>
            </w:pPr>
          </w:p>
        </w:tc>
      </w:tr>
      <w:tr>
        <w:trPr>
          <w:trHeight w:val="23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Committee with respect to our compensation program</w:t>
            </w:r>
          </w:p>
        </w:tc>
        <w:tc>
          <w:tcPr>
            <w:tcW w:w="5840" w:type="dxa"/>
            <w:vAlign w:val="bottom"/>
            <w:tcBorders>
              <w:bottom w:val="single" w:sz="8" w:color="CCEEFF"/>
            </w:tcBorders>
            <w:shd w:val="clear" w:color="auto" w:fill="CCEEFF"/>
          </w:tcPr>
          <w:p>
            <w:pPr>
              <w:spacing w:after="0"/>
              <w:rPr>
                <w:sz w:val="20"/>
                <w:szCs w:val="20"/>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Conduct an annual say on pay vote</w:t>
            </w:r>
          </w:p>
        </w:tc>
        <w:tc>
          <w:tcPr>
            <w:tcW w:w="5840" w:type="dxa"/>
            <w:vAlign w:val="bottom"/>
          </w:tcPr>
          <w:p>
            <w:pPr>
              <w:spacing w:after="0"/>
              <w:rPr>
                <w:sz w:val="21"/>
                <w:szCs w:val="2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 and Company Performance</w:t>
      </w:r>
    </w:p>
    <w:p>
      <w:pPr>
        <w:spacing w:after="0" w:line="17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The Company’s primary business strategy is to focus on the acquisition and ownership of assets with predictable, long</w:t>
      </w:r>
      <w:r>
        <w:rPr>
          <w:rFonts w:ascii="MS PGothic" w:cs="MS PGothic" w:eastAsia="MS PGothic" w:hAnsi="MS PGothic"/>
          <w:sz w:val="18"/>
          <w:szCs w:val="18"/>
          <w:color w:val="auto"/>
        </w:rPr>
        <w:t>‑</w:t>
      </w:r>
      <w:r>
        <w:rPr>
          <w:rFonts w:ascii="Arial" w:cs="Arial" w:eastAsia="Arial" w:hAnsi="Arial"/>
          <w:sz w:val="18"/>
          <w:szCs w:val="18"/>
          <w:color w:val="auto"/>
        </w:rPr>
        <w:t>term cash flows that allow the Company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conventional generation and thermal infrastructure assets; growing our business through acquisitions of contracted operating assets primarily in North America; and maintaining sound financial practices to grow our dividend.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execution of the Company’s business strategy produced the following results in 2019:</w:t>
      </w:r>
    </w:p>
    <w:p>
      <w:pPr>
        <w:spacing w:after="0" w:line="171" w:lineRule="exact"/>
        <w:rPr>
          <w:sz w:val="20"/>
          <w:szCs w:val="20"/>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Raised approximately $900 million in new corporate-level formation for growth investments and corporate liability management, which included corporate debt and equity financings, as well as project-level debt optimization</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Invested approximately $330 million in new growth investments, including the acquisition of the 527 MW Carlsbad Energy Center from the Company’s sponsor GIP and the Repowering Partnership 1.0</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Finalized stand-alone operations including the transition of services away from NRG as the Company’s sponsor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management of the potential impacts from the PG&amp;E bankruptcy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Achieved strong execution from Thermal business, which acquired the district energy assets of Duquesne University in Pittsburgh, PA and successfully completed the Mylan project and secured a contract with Cayo Largo in Puerto Rico</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Such results were taken into account by the Compensation Committee in making determinations with respect to the compensation for our NEOs under the 2019 compensation program.</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Executive Compensation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Named Executive Officers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CD&amp;A describes the material components of our compensation program for our NEOs in 2019. For the year ending December 31, 2019,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NEOs included the following individuals: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NEO</w:t>
            </w:r>
          </w:p>
        </w:tc>
        <w:tc>
          <w:tcPr>
            <w:tcW w:w="140" w:type="dxa"/>
            <w:vAlign w:val="bottom"/>
            <w:tcBorders>
              <w:bottom w:val="single" w:sz="8" w:color="CCEEFF"/>
            </w:tcBorders>
          </w:tcPr>
          <w:p>
            <w:pPr>
              <w:spacing w:after="0"/>
              <w:rPr>
                <w:sz w:val="16"/>
                <w:szCs w:val="16"/>
                <w:color w:val="auto"/>
              </w:rPr>
            </w:pPr>
          </w:p>
        </w:tc>
        <w:tc>
          <w:tcPr>
            <w:tcW w:w="7020" w:type="dxa"/>
            <w:vAlign w:val="bottom"/>
            <w:tcBorders>
              <w:bottom w:val="single" w:sz="8" w:color="auto"/>
            </w:tcBorders>
          </w:tcPr>
          <w:p>
            <w:pPr>
              <w:ind w:left="3200"/>
              <w:spacing w:after="0"/>
              <w:rPr>
                <w:sz w:val="20"/>
                <w:szCs w:val="20"/>
                <w:color w:val="auto"/>
              </w:rPr>
            </w:pPr>
            <w:r>
              <w:rPr>
                <w:rFonts w:ascii="Arial" w:cs="Arial" w:eastAsia="Arial" w:hAnsi="Arial"/>
                <w:sz w:val="14"/>
                <w:szCs w:val="14"/>
                <w:b w:val="1"/>
                <w:bCs w:val="1"/>
                <w:color w:val="auto"/>
              </w:rPr>
              <w:t>2019 Title</w:t>
            </w:r>
          </w:p>
        </w:tc>
      </w:tr>
      <w:tr>
        <w:trPr>
          <w:trHeight w:val="250"/>
        </w:trPr>
        <w:tc>
          <w:tcPr>
            <w:tcW w:w="4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Christopher S. Sotos</w:t>
            </w:r>
          </w:p>
        </w:tc>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4340" w:type="dxa"/>
            <w:vAlign w:val="bottom"/>
            <w:gridSpan w:val="2"/>
          </w:tcPr>
          <w:p>
            <w:pPr>
              <w:ind w:left="160"/>
              <w:spacing w:after="0"/>
              <w:rPr>
                <w:sz w:val="20"/>
                <w:szCs w:val="20"/>
                <w:color w:val="auto"/>
              </w:rPr>
            </w:pPr>
            <w:r>
              <w:rPr>
                <w:rFonts w:ascii="Arial" w:cs="Arial" w:eastAsia="Arial" w:hAnsi="Arial"/>
                <w:sz w:val="18"/>
                <w:szCs w:val="18"/>
                <w:color w:val="auto"/>
              </w:rPr>
              <w:t>Chad Plotkin</w:t>
            </w:r>
          </w:p>
        </w:tc>
        <w:tc>
          <w:tcPr>
            <w:tcW w:w="702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r>
        <w:trPr>
          <w:trHeight w:val="27"/>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2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Kevin P. Malcarney</w:t>
            </w:r>
          </w:p>
        </w:tc>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43"/>
        </w:trPr>
        <w:tc>
          <w:tcPr>
            <w:tcW w:w="434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Mary</w:t>
            </w:r>
            <w:r>
              <w:rPr>
                <w:rFonts w:ascii="MS PGothic" w:cs="MS PGothic" w:eastAsia="MS PGothic" w:hAnsi="MS PGothic"/>
                <w:sz w:val="18"/>
                <w:szCs w:val="18"/>
                <w:color w:val="auto"/>
              </w:rPr>
              <w:t>‑</w:t>
            </w:r>
            <w:r>
              <w:rPr>
                <w:rFonts w:ascii="Arial" w:cs="Arial" w:eastAsia="Arial" w:hAnsi="Arial"/>
                <w:sz w:val="18"/>
                <w:szCs w:val="18"/>
                <w:color w:val="auto"/>
              </w:rPr>
              <w:t>Lee Stillwell</w:t>
            </w:r>
          </w:p>
        </w:tc>
        <w:tc>
          <w:tcPr>
            <w:tcW w:w="7020" w:type="dxa"/>
            <w:vAlign w:val="bottom"/>
          </w:tcPr>
          <w:p>
            <w:pPr>
              <w:ind w:left="140"/>
              <w:spacing w:after="0"/>
              <w:rPr>
                <w:sz w:val="20"/>
                <w:szCs w:val="20"/>
                <w:color w:val="auto"/>
              </w:rPr>
            </w:pPr>
            <w:r>
              <w:rPr>
                <w:rFonts w:ascii="Arial" w:cs="Arial" w:eastAsia="Arial" w:hAnsi="Arial"/>
                <w:sz w:val="18"/>
                <w:szCs w:val="18"/>
                <w:color w:val="auto"/>
              </w:rPr>
              <w:t>Vice President and Chief Accounting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Goals and Objectives of the Program</w:t>
      </w:r>
    </w:p>
    <w:p>
      <w:pPr>
        <w:spacing w:after="0" w:line="17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The Compensation Committee is responsible for the development and implementation of the Company’s executive compensation program. The intent of the program is to reward the achievement of the Company’s annual goals and objectives while supporting the Company’s long</w:t>
      </w:r>
      <w:r>
        <w:rPr>
          <w:rFonts w:ascii="MS PGothic" w:cs="MS PGothic" w:eastAsia="MS PGothic" w:hAnsi="MS PGothic"/>
          <w:sz w:val="18"/>
          <w:szCs w:val="18"/>
          <w:color w:val="auto"/>
        </w:rPr>
        <w:t>‑</w:t>
      </w:r>
      <w:r>
        <w:rPr>
          <w:rFonts w:ascii="Arial" w:cs="Arial" w:eastAsia="Arial" w:hAnsi="Arial"/>
          <w:sz w:val="18"/>
          <w:szCs w:val="18"/>
          <w:color w:val="auto"/>
        </w:rPr>
        <w:t>term business strategy. The Compensation Committee is committed to aligning executives’ compensation with performance. Our Compensation Committee has designed an executive compensation program that:</w:t>
      </w:r>
    </w:p>
    <w:p>
      <w:pPr>
        <w:spacing w:after="0" w:line="150" w:lineRule="exact"/>
        <w:rPr>
          <w:sz w:val="20"/>
          <w:szCs w:val="20"/>
          <w:color w:val="auto"/>
        </w:rPr>
      </w:pPr>
    </w:p>
    <w:p>
      <w:pPr>
        <w:ind w:left="660" w:hanging="328"/>
        <w:spacing w:after="0" w:line="223" w:lineRule="exact"/>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closely aligns our executive compensation with stockholder value creation, avoiding plans that encourage executives to take excessive risk, while driving long</w:t>
      </w:r>
      <w:r>
        <w:rPr>
          <w:rFonts w:ascii="MS PGothic" w:cs="MS PGothic" w:eastAsia="MS PGothic" w:hAnsi="MS PGothic"/>
          <w:sz w:val="18"/>
          <w:szCs w:val="18"/>
          <w:color w:val="auto"/>
        </w:rPr>
        <w:t>‑</w:t>
      </w:r>
      <w:r>
        <w:rPr>
          <w:rFonts w:ascii="Arial" w:cs="Arial" w:eastAsia="Arial" w:hAnsi="Arial"/>
          <w:sz w:val="18"/>
          <w:szCs w:val="18"/>
          <w:color w:val="auto"/>
        </w:rPr>
        <w:t>term value to stockholders;</w:t>
      </w:r>
    </w:p>
    <w:p>
      <w:pPr>
        <w:spacing w:after="0" w:line="149" w:lineRule="exact"/>
        <w:rPr>
          <w:rFonts w:ascii="Arial" w:cs="Arial" w:eastAsia="Arial" w:hAnsi="Arial"/>
          <w:sz w:val="18"/>
          <w:szCs w:val="18"/>
          <w:color w:val="auto"/>
        </w:rPr>
      </w:pPr>
    </w:p>
    <w:p>
      <w:pPr>
        <w:ind w:left="660" w:right="20" w:hanging="328"/>
        <w:spacing w:after="0" w:line="223" w:lineRule="exact"/>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supports the Company’s long</w:t>
      </w:r>
      <w:r>
        <w:rPr>
          <w:rFonts w:ascii="MS PGothic" w:cs="MS PGothic" w:eastAsia="MS PGothic" w:hAnsi="MS PGothic"/>
          <w:sz w:val="18"/>
          <w:szCs w:val="18"/>
          <w:color w:val="auto"/>
        </w:rPr>
        <w:t>‑</w:t>
      </w:r>
      <w:r>
        <w:rPr>
          <w:rFonts w:ascii="Arial" w:cs="Arial" w:eastAsia="Arial" w:hAnsi="Arial"/>
          <w:sz w:val="18"/>
          <w:szCs w:val="18"/>
          <w:color w:val="auto"/>
        </w:rPr>
        <w:t>term business strategy, while rewarding our executive team for their individual accomplishments with tailored individual executive compensation metrics and incentives; and</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provides a competitive compensation opportunity while adhering to market standards for compensation.</w:t>
      </w:r>
    </w:p>
    <w:p>
      <w:pPr>
        <w:spacing w:after="0" w:line="171" w:lineRule="exact"/>
        <w:rPr>
          <w:sz w:val="20"/>
          <w:szCs w:val="20"/>
          <w:color w:val="auto"/>
        </w:rPr>
      </w:pPr>
    </w:p>
    <w:p>
      <w:pPr>
        <w:jc w:val="both"/>
        <w:ind w:firstLine="648"/>
        <w:spacing w:after="0" w:line="223" w:lineRule="exact"/>
        <w:rPr>
          <w:sz w:val="20"/>
          <w:szCs w:val="20"/>
          <w:color w:val="auto"/>
        </w:rPr>
      </w:pPr>
      <w:r>
        <w:rPr>
          <w:rFonts w:ascii="Arial" w:cs="Arial" w:eastAsia="Arial" w:hAnsi="Arial"/>
          <w:sz w:val="18"/>
          <w:szCs w:val="18"/>
          <w:color w:val="auto"/>
        </w:rPr>
        <w:t>The Compensation Committee’s objectives are achieved through the use of both short</w:t>
      </w:r>
      <w:r>
        <w:rPr>
          <w:rFonts w:ascii="MS PGothic" w:cs="MS PGothic" w:eastAsia="MS PGothic" w:hAnsi="MS PGothic"/>
          <w:sz w:val="18"/>
          <w:szCs w:val="18"/>
          <w:color w:val="auto"/>
        </w:rPr>
        <w:t>‑</w:t>
      </w:r>
      <w:r>
        <w:rPr>
          <w:rFonts w:ascii="Arial" w:cs="Arial" w:eastAsia="Arial" w:hAnsi="Arial"/>
          <w:sz w:val="18"/>
          <w:szCs w:val="18"/>
          <w:color w:val="auto"/>
        </w:rPr>
        <w:t>term and long</w:t>
      </w:r>
      <w:r>
        <w:rPr>
          <w:rFonts w:ascii="MS PGothic" w:cs="MS PGothic" w:eastAsia="MS PGothic" w:hAnsi="MS PGothic"/>
          <w:sz w:val="18"/>
          <w:szCs w:val="18"/>
          <w:color w:val="auto"/>
        </w:rPr>
        <w:t>‑</w:t>
      </w:r>
      <w:r>
        <w:rPr>
          <w:rFonts w:ascii="Arial" w:cs="Arial" w:eastAsia="Arial" w:hAnsi="Arial"/>
          <w:sz w:val="18"/>
          <w:szCs w:val="18"/>
          <w:color w:val="auto"/>
        </w:rPr>
        <w:t>term incentives. The Company currently targets pay at the median of our Compensation Peer Group (defined below), as described under “Elements of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Compensation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Consultant</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As noted above, Pay Governance served as the Compensation Committee’s independent compensation consultant for the first eight months of fiscal year 2019. Deloitte became the Compensation Committee’s independent compensation consultant for the remainder of fiscal year 2019 and continues to serve in that capacity. Pay Governance worked with the Compensation Committee to formulate the design of the executive and director compensation programs for 2019. Each of Pay Governance and Deloitte provided reports to the Compensation Committee (during the respective periods they served as compensation consultant) containing research, market data, survey information and information regarding trends and developments in executive and director compensation. Each of Pay Governance and Deloitte reported directly to the Compensation Committee (during the respective periods they served as compensation consultant). The Company paid Deloitte $105,992 for the work it performed for the Compensation Committee in 2019. CEG engaged Deloitte and its affiliate, Deloitte &amp; Touche LLP, to provide additional services in 2019, for which CEG paid $2,964,644. These additional services primarily related to financial reporting services, including assistance with the preparation of CEG’s financial statements for the second and third quarters of 2019, and assisting with the transition of enterprise resource planning and financial applications from NRG. Given that these services were provided to CEG, the decision to engage Deloitte and its affiliate for such services was not made, or recommended, by our management, or approved by the Compensation Committee or the Board. Neither Pay Governance nor any of its affiliates provided services for any of our affiliates in 2019. In accordance with SEC rules and requirements, the Company has affirmatively determined that no conflicts of interest exist between the Company and Pay Governance or Deloitte (or any individuals working on the Company’s account on behalf of Pay Governance or Deloitte).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Peer Group Analysis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 with support from its independent compensation consultant, identifies the most appropriate comparator group within relevant industries for purposes of benchmarking compensation. The Compensation Committee aims to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4" w:name="page65"/>
    <w:bookmarkEnd w:id="64"/>
    <w:p>
      <w:pPr>
        <w:jc w:val="both"/>
        <w:spacing w:after="0" w:line="221" w:lineRule="exact"/>
        <w:rPr>
          <w:sz w:val="20"/>
          <w:szCs w:val="20"/>
          <w:color w:val="auto"/>
        </w:rPr>
      </w:pPr>
      <w:r>
        <w:rPr>
          <w:rFonts w:ascii="Arial" w:cs="Arial" w:eastAsia="Arial" w:hAnsi="Arial"/>
          <w:sz w:val="16"/>
          <w:szCs w:val="16"/>
          <w:color w:val="auto"/>
        </w:rPr>
        <w:t>compare our compensation program to a consistent peer group year</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year but given the dynamic nature of our industry and the companies that constitute it, the Compensation Committee annually examines the peer group for appropriateness in terms of size, complexity and industry. As a result of such annual review, the Compensation Committee identified a new peer group for compensation benchmarking purposes in 2019 (the “Compensation Peer Group”).</w:t>
      </w:r>
    </w:p>
    <w:p>
      <w:pPr>
        <w:spacing w:after="0" w:line="148"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For these purposes, the Compensation Peer Group, comprised of similarly sized publicly</w:t>
      </w:r>
      <w:r>
        <w:rPr>
          <w:rFonts w:ascii="MS PGothic" w:cs="MS PGothic" w:eastAsia="MS PGothic" w:hAnsi="MS PGothic"/>
          <w:sz w:val="16"/>
          <w:szCs w:val="16"/>
          <w:color w:val="auto"/>
        </w:rPr>
        <w:t>‑</w:t>
      </w:r>
      <w:r>
        <w:rPr>
          <w:rFonts w:ascii="Arial" w:cs="Arial" w:eastAsia="Arial" w:hAnsi="Arial"/>
          <w:sz w:val="16"/>
          <w:szCs w:val="16"/>
          <w:color w:val="auto"/>
        </w:rPr>
        <w:t>owned energy and utility companies, is identified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Ticker</w:t>
            </w:r>
          </w:p>
        </w:tc>
        <w:tc>
          <w:tcPr>
            <w:tcW w:w="12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120" w:type="dxa"/>
            <w:vAlign w:val="bottom"/>
            <w:tcBorders>
              <w:bottom w:val="single" w:sz="8" w:color="CCEEFF"/>
            </w:tcBorders>
          </w:tcPr>
          <w:p>
            <w:pPr>
              <w:spacing w:after="0"/>
              <w:rPr>
                <w:sz w:val="16"/>
                <w:szCs w:val="16"/>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Ticker</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Black Hills Corporation</w:t>
            </w: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NYSE: BKH</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NorthWestern Corporation.</w:t>
            </w: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NYSE: NWE</w:t>
            </w:r>
          </w:p>
        </w:tc>
        <w:tc>
          <w:tcPr>
            <w:tcW w:w="0" w:type="dxa"/>
            <w:vAlign w:val="bottom"/>
          </w:tcPr>
          <w:p>
            <w:pPr>
              <w:spacing w:after="0"/>
              <w:rPr>
                <w:sz w:val="1"/>
                <w:szCs w:val="1"/>
                <w:color w:val="auto"/>
              </w:rPr>
            </w:pPr>
          </w:p>
        </w:tc>
      </w:tr>
      <w:tr>
        <w:trPr>
          <w:trHeight w:val="254"/>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Boardwalk Pipeline Partners, LP</w:t>
            </w:r>
            <w:r>
              <w:rPr>
                <w:rFonts w:ascii="Arial" w:cs="Arial" w:eastAsia="Arial" w:hAnsi="Arial"/>
                <w:sz w:val="18"/>
                <w:szCs w:val="18"/>
                <w:b w:val="1"/>
                <w:bCs w:val="1"/>
                <w:color w:val="auto"/>
                <w:vertAlign w:val="superscript"/>
              </w:rPr>
              <w:t>(1)</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00" w:type="dxa"/>
            <w:vAlign w:val="bottom"/>
            <w:gridSpan w:val="2"/>
            <w:vMerge w:val="restart"/>
          </w:tcPr>
          <w:p>
            <w:pPr>
              <w:ind w:left="20"/>
              <w:spacing w:after="0"/>
              <w:rPr>
                <w:sz w:val="20"/>
                <w:szCs w:val="20"/>
                <w:color w:val="auto"/>
              </w:rPr>
            </w:pPr>
            <w:r>
              <w:rPr>
                <w:rFonts w:ascii="Arial" w:cs="Arial" w:eastAsia="Arial" w:hAnsi="Arial"/>
                <w:sz w:val="18"/>
                <w:szCs w:val="18"/>
                <w:color w:val="auto"/>
              </w:rPr>
              <w:t>Ormat Technologies, Inc.</w:t>
            </w:r>
          </w:p>
        </w:tc>
        <w:tc>
          <w:tcPr>
            <w:tcW w:w="2840" w:type="dxa"/>
            <w:vAlign w:val="bottom"/>
            <w:vMerge w:val="restart"/>
          </w:tcPr>
          <w:p>
            <w:pPr>
              <w:ind w:left="20"/>
              <w:spacing w:after="0"/>
              <w:rPr>
                <w:sz w:val="20"/>
                <w:szCs w:val="20"/>
                <w:color w:val="auto"/>
              </w:rPr>
            </w:pPr>
            <w:r>
              <w:rPr>
                <w:rFonts w:ascii="Arial" w:cs="Arial" w:eastAsia="Arial" w:hAnsi="Arial"/>
                <w:sz w:val="18"/>
                <w:szCs w:val="18"/>
                <w:color w:val="auto"/>
              </w:rPr>
              <w:t>NYSE: ORA</w:t>
            </w:r>
          </w:p>
        </w:tc>
        <w:tc>
          <w:tcPr>
            <w:tcW w:w="0" w:type="dxa"/>
            <w:vAlign w:val="bottom"/>
          </w:tcPr>
          <w:p>
            <w:pPr>
              <w:spacing w:after="0"/>
              <w:rPr>
                <w:sz w:val="1"/>
                <w:szCs w:val="1"/>
                <w:color w:val="auto"/>
              </w:rPr>
            </w:pPr>
          </w:p>
        </w:tc>
      </w:tr>
      <w:tr>
        <w:trPr>
          <w:trHeight w:val="70"/>
        </w:trPr>
        <w:tc>
          <w:tcPr>
            <w:tcW w:w="3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300" w:type="dxa"/>
            <w:vAlign w:val="bottom"/>
            <w:gridSpan w:val="2"/>
            <w:vMerge w:val="continue"/>
          </w:tcPr>
          <w:p>
            <w:pPr>
              <w:spacing w:after="0"/>
              <w:rPr>
                <w:sz w:val="6"/>
                <w:szCs w:val="6"/>
                <w:color w:val="auto"/>
              </w:rPr>
            </w:pPr>
          </w:p>
        </w:tc>
        <w:tc>
          <w:tcPr>
            <w:tcW w:w="2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El Paso Electric Company</w:t>
            </w: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NYSE: EE</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Pattern Energy Group Inc.</w:t>
            </w: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NASDAQ: PEGI</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Genesis Energy, L.P.</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NYSE: GEL</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South Jersey Industries, Inc.</w:t>
            </w:r>
          </w:p>
        </w:tc>
        <w:tc>
          <w:tcPr>
            <w:tcW w:w="2840" w:type="dxa"/>
            <w:vAlign w:val="bottom"/>
          </w:tcPr>
          <w:p>
            <w:pPr>
              <w:ind w:left="20"/>
              <w:spacing w:after="0"/>
              <w:rPr>
                <w:sz w:val="20"/>
                <w:szCs w:val="20"/>
                <w:color w:val="auto"/>
              </w:rPr>
            </w:pPr>
            <w:r>
              <w:rPr>
                <w:rFonts w:ascii="Arial" w:cs="Arial" w:eastAsia="Arial" w:hAnsi="Arial"/>
                <w:sz w:val="18"/>
                <w:szCs w:val="18"/>
                <w:color w:val="auto"/>
              </w:rPr>
              <w:t>NYSE: SJI</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Innergex Renewable Energy Inc.</w:t>
            </w: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TSX: INE</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TransAltaCorporation.</w:t>
            </w: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NYSE:TAC</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Northland Power Inc.</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TSX: NPI</w:t>
            </w:r>
          </w:p>
        </w:tc>
        <w:tc>
          <w:tcPr>
            <w:tcW w:w="3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75" w:lineRule="exact"/>
        <w:rPr>
          <w:sz w:val="20"/>
          <w:szCs w:val="20"/>
          <w:color w:val="auto"/>
        </w:rPr>
      </w:pPr>
    </w:p>
    <w:p>
      <w:pPr>
        <w:jc w:val="both"/>
        <w:ind w:firstLine="8"/>
        <w:spacing w:after="0" w:line="254" w:lineRule="auto"/>
        <w:tabs>
          <w:tab w:leader="none" w:pos="168" w:val="left"/>
        </w:tabs>
        <w:numPr>
          <w:ilvl w:val="0"/>
          <w:numId w:val="35"/>
        </w:numPr>
        <w:rPr>
          <w:rFonts w:ascii="Arial" w:cs="Arial" w:eastAsia="Arial" w:hAnsi="Arial"/>
          <w:sz w:val="18"/>
          <w:szCs w:val="18"/>
          <w:color w:val="auto"/>
          <w:vertAlign w:val="superscript"/>
        </w:rPr>
      </w:pPr>
      <w:r>
        <w:rPr>
          <w:rFonts w:ascii="Arial" w:cs="Arial" w:eastAsia="Arial" w:hAnsi="Arial"/>
          <w:sz w:val="16"/>
          <w:szCs w:val="16"/>
          <w:color w:val="auto"/>
        </w:rPr>
        <w:t>Boardwalk Pipeline Partners, LP became privately-held in July 2018 and was delisted, but was included by Pay Governance (when it was serving as compensation consultant) as part of its 2019 compensation benchmarking analysis, and for that reason, Boardwalk Pipeline Partners, LP is included in the Compensation Peer Group for 2019 but will not be part of the Compensation Peer Group for 2020 or going forward.</w:t>
      </w:r>
    </w:p>
    <w:p>
      <w:pPr>
        <w:spacing w:after="0" w:line="130"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For the purposes of determining appropriate NEO pay levels for 2019, the Compensation Committee reviewed NEO compensation from peers, where available and appropriate (e.g., based on an NEO’s position and duties). To supplement this analysis, the Compensation Committee also participated in meetings with its compensation consultant regarding the compensation consultant’s review of relevant third</w:t>
      </w:r>
      <w:r>
        <w:rPr>
          <w:rFonts w:ascii="MS PGothic" w:cs="MS PGothic" w:eastAsia="MS PGothic" w:hAnsi="MS PGothic"/>
          <w:sz w:val="18"/>
          <w:szCs w:val="18"/>
          <w:color w:val="auto"/>
        </w:rPr>
        <w:t>‑</w:t>
      </w:r>
      <w:r>
        <w:rPr>
          <w:rFonts w:ascii="Arial" w:cs="Arial" w:eastAsia="Arial" w:hAnsi="Arial"/>
          <w:sz w:val="18"/>
          <w:szCs w:val="18"/>
          <w:color w:val="auto"/>
        </w:rPr>
        <w:t>party survey data and considered the recommendations of the CEO on NEO and employee compensation matters not involving the CEO. The Compensation Committee may accept or adjust such CEO recommendations at its discretion.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7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Our compensation program for our NEOs consists of fixed compensation (base salary), performance</w:t>
      </w:r>
      <w:r>
        <w:rPr>
          <w:rFonts w:ascii="MS PGothic" w:cs="MS PGothic" w:eastAsia="MS PGothic" w:hAnsi="MS PGothic"/>
          <w:sz w:val="18"/>
          <w:szCs w:val="18"/>
          <w:color w:val="auto"/>
        </w:rPr>
        <w:t>‑</w:t>
      </w:r>
      <w:r>
        <w:rPr>
          <w:rFonts w:ascii="Arial" w:cs="Arial" w:eastAsia="Arial" w:hAnsi="Arial"/>
          <w:sz w:val="18"/>
          <w:szCs w:val="18"/>
          <w:color w:val="auto"/>
        </w:rPr>
        <w:t>based compensation (AIP bonus and RPSUs) and time</w:t>
      </w:r>
      <w:r>
        <w:rPr>
          <w:rFonts w:ascii="MS PGothic" w:cs="MS PGothic" w:eastAsia="MS PGothic" w:hAnsi="MS PGothic"/>
          <w:sz w:val="18"/>
          <w:szCs w:val="18"/>
          <w:color w:val="auto"/>
        </w:rPr>
        <w:t>‑</w:t>
      </w:r>
      <w:r>
        <w:rPr>
          <w:rFonts w:ascii="Arial" w:cs="Arial" w:eastAsia="Arial" w:hAnsi="Arial"/>
          <w:sz w:val="18"/>
          <w:szCs w:val="18"/>
          <w:color w:val="auto"/>
        </w:rPr>
        <w:t>based compensation (RSUs). We use the median percentile of our Compensation Peer Group as a guidepost in establishing the targeted levels of total direct compensation (cash and equity) for our NEOs. We expect that, over time, targeted total direct compensation for our NEOs will continue to approximate the median of our Compensation Peer Group. Realized pay in a given year depends on the achievement of defined performance</w:t>
      </w:r>
      <w:r>
        <w:rPr>
          <w:rFonts w:ascii="MS PGothic" w:cs="MS PGothic" w:eastAsia="MS PGothic" w:hAnsi="MS PGothic"/>
          <w:sz w:val="18"/>
          <w:szCs w:val="18"/>
          <w:color w:val="auto"/>
        </w:rPr>
        <w:t>‑</w:t>
      </w:r>
      <w:r>
        <w:rPr>
          <w:rFonts w:ascii="Arial" w:cs="Arial" w:eastAsia="Arial" w:hAnsi="Arial"/>
          <w:sz w:val="18"/>
          <w:szCs w:val="18"/>
          <w:color w:val="auto"/>
        </w:rPr>
        <w:t>based compensation metrics. While a portion of our compensation is fixed, a significant percentage is at</w:t>
      </w:r>
      <w:r>
        <w:rPr>
          <w:rFonts w:ascii="MS PGothic" w:cs="MS PGothic" w:eastAsia="MS PGothic" w:hAnsi="MS PGothic"/>
          <w:sz w:val="18"/>
          <w:szCs w:val="18"/>
          <w:color w:val="auto"/>
        </w:rPr>
        <w:t>‑</w:t>
      </w:r>
      <w:r>
        <w:rPr>
          <w:rFonts w:ascii="Arial" w:cs="Arial" w:eastAsia="Arial" w:hAnsi="Arial"/>
          <w:sz w:val="18"/>
          <w:szCs w:val="18"/>
          <w:color w:val="auto"/>
        </w:rPr>
        <w:t>risk and payable and/or realizable only if certain performance objectives are met.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 overall corporate performance, the level of responsibility of the NEO with respect to his or her specific position, and their current base salary level compared to the market median. Messrs. Sotos and Plotkin received base salary increases in 2019 based on their performance and peer group benchmarking. The base salary for each NEO for fiscal year 2019 is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2019 Annualized</w:t>
            </w:r>
          </w:p>
        </w:tc>
        <w:tc>
          <w:tcPr>
            <w:tcW w:w="1740" w:type="dxa"/>
            <w:vAlign w:val="bottom"/>
          </w:tcPr>
          <w:p>
            <w:pPr>
              <w:jc w:val="right"/>
              <w:ind w:right="176"/>
              <w:spacing w:after="0"/>
              <w:rPr>
                <w:sz w:val="20"/>
                <w:szCs w:val="20"/>
                <w:color w:val="auto"/>
              </w:rPr>
            </w:pPr>
            <w:r>
              <w:rPr>
                <w:rFonts w:ascii="Arial" w:cs="Arial" w:eastAsia="Arial" w:hAnsi="Arial"/>
                <w:sz w:val="14"/>
                <w:szCs w:val="14"/>
                <w:b w:val="1"/>
                <w:bCs w:val="1"/>
                <w:color w:val="auto"/>
              </w:rPr>
              <w:t>Percentage Increase</w:t>
            </w:r>
          </w:p>
        </w:tc>
      </w:tr>
      <w:tr>
        <w:trPr>
          <w:trHeight w:val="206"/>
        </w:trPr>
        <w:tc>
          <w:tcPr>
            <w:tcW w:w="7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Base Salary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Over 2018 (%)</w:t>
            </w:r>
            <w:r>
              <w:rPr>
                <w:rFonts w:ascii="Arial" w:cs="Arial" w:eastAsia="Arial" w:hAnsi="Arial"/>
                <w:sz w:val="8"/>
                <w:szCs w:val="8"/>
                <w:b w:val="1"/>
                <w:bCs w:val="1"/>
                <w:color w:val="auto"/>
              </w:rPr>
              <w:t>(2)</w:t>
            </w: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Christopher S. Sotos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611,000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Chad Plotkin</w:t>
            </w:r>
          </w:p>
        </w:tc>
        <w:tc>
          <w:tcPr>
            <w:tcW w:w="1540" w:type="dxa"/>
            <w:vAlign w:val="bottom"/>
          </w:tcPr>
          <w:p>
            <w:pPr>
              <w:jc w:val="right"/>
              <w:spacing w:after="0"/>
              <w:rPr>
                <w:sz w:val="20"/>
                <w:szCs w:val="20"/>
                <w:color w:val="auto"/>
              </w:rPr>
            </w:pPr>
            <w:r>
              <w:rPr>
                <w:rFonts w:ascii="Arial" w:cs="Arial" w:eastAsia="Arial" w:hAnsi="Arial"/>
                <w:sz w:val="18"/>
                <w:szCs w:val="18"/>
                <w:color w:val="auto"/>
              </w:rPr>
              <w:t>380,000</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Kevin P. Malcarney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758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Mary</w:t>
            </w:r>
            <w:r>
              <w:rPr>
                <w:rFonts w:ascii="MS PGothic" w:cs="MS PGothic" w:eastAsia="MS PGothic" w:hAnsi="MS PGothic"/>
                <w:sz w:val="18"/>
                <w:szCs w:val="18"/>
                <w:color w:val="auto"/>
              </w:rPr>
              <w:t>‑</w:t>
            </w:r>
            <w:r>
              <w:rPr>
                <w:rFonts w:ascii="Arial" w:cs="Arial" w:eastAsia="Arial" w:hAnsi="Arial"/>
                <w:sz w:val="18"/>
                <w:szCs w:val="18"/>
                <w:color w:val="auto"/>
              </w:rPr>
              <w:t>Lee Stillwell</w:t>
            </w:r>
          </w:p>
        </w:tc>
        <w:tc>
          <w:tcPr>
            <w:tcW w:w="1540" w:type="dxa"/>
            <w:vAlign w:val="bottom"/>
          </w:tcPr>
          <w:p>
            <w:pPr>
              <w:jc w:val="right"/>
              <w:spacing w:after="0"/>
              <w:rPr>
                <w:sz w:val="20"/>
                <w:szCs w:val="20"/>
                <w:color w:val="auto"/>
              </w:rPr>
            </w:pPr>
            <w:r>
              <w:rPr>
                <w:rFonts w:ascii="Arial" w:cs="Arial" w:eastAsia="Arial" w:hAnsi="Arial"/>
                <w:sz w:val="18"/>
                <w:szCs w:val="18"/>
                <w:color w:val="auto"/>
              </w:rPr>
              <w:t>295,000</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6" w:lineRule="exact"/>
        <w:rPr>
          <w:sz w:val="20"/>
          <w:szCs w:val="20"/>
          <w:color w:val="auto"/>
        </w:rPr>
      </w:pPr>
    </w:p>
    <w:p>
      <w:pPr>
        <w:ind w:left="140" w:hanging="132"/>
        <w:spacing w:after="0"/>
        <w:tabs>
          <w:tab w:leader="none" w:pos="140" w:val="left"/>
        </w:tabs>
        <w:numPr>
          <w:ilvl w:val="0"/>
          <w:numId w:val="36"/>
        </w:numPr>
        <w:rPr>
          <w:rFonts w:ascii="Arial" w:cs="Arial" w:eastAsia="Arial" w:hAnsi="Arial"/>
          <w:sz w:val="9"/>
          <w:szCs w:val="9"/>
          <w:color w:val="auto"/>
        </w:rPr>
      </w:pPr>
      <w:r>
        <w:rPr>
          <w:rFonts w:ascii="Arial" w:cs="Arial" w:eastAsia="Arial" w:hAnsi="Arial"/>
          <w:sz w:val="14"/>
          <w:szCs w:val="14"/>
          <w:color w:val="auto"/>
        </w:rPr>
        <w:t>Actual 2019 base salary earnings are presented in the Summary Compensation Table.</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36"/>
        </w:numPr>
        <w:rPr>
          <w:rFonts w:ascii="Arial" w:cs="Arial" w:eastAsia="Arial" w:hAnsi="Arial"/>
          <w:sz w:val="9"/>
          <w:szCs w:val="9"/>
          <w:color w:val="auto"/>
        </w:rPr>
      </w:pPr>
      <w:r>
        <w:rPr>
          <w:rFonts w:ascii="Arial" w:cs="Arial" w:eastAsia="Arial" w:hAnsi="Arial"/>
          <w:sz w:val="14"/>
          <w:szCs w:val="14"/>
          <w:color w:val="auto"/>
        </w:rPr>
        <w:t>As compared to the December 31, 2018 annualized base salary.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4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Annual Incentive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Annual incentive compensation awards (AIP bonuses) are made under our AIP. AIP bonuses represent short</w:t>
      </w:r>
      <w:r>
        <w:rPr>
          <w:rFonts w:ascii="MS PGothic" w:cs="MS PGothic" w:eastAsia="MS PGothic" w:hAnsi="MS PGothic"/>
          <w:sz w:val="17"/>
          <w:szCs w:val="17"/>
          <w:color w:val="auto"/>
        </w:rPr>
        <w:t>‑</w:t>
      </w:r>
      <w:r>
        <w:rPr>
          <w:rFonts w:ascii="Arial" w:cs="Arial" w:eastAsia="Arial" w:hAnsi="Arial"/>
          <w:sz w:val="17"/>
          <w:szCs w:val="17"/>
          <w:color w:val="auto"/>
        </w:rPr>
        <w:t>term compensation designed to compensate NEOs for meeting annual Company goals and for their individual performance. The Compensation Committee establishes these annual Company goals after reviewing the Company’s business strategy and other matters. As further discussed below, the annual goals for 2019 relate to the following four areas: (a) CAFD, (b) key financial milestones, (c) key transition milestones and (d) achievement of the Thermal plan. In addition, each NEO’s individual performance may (negatively or positively) affect the bonus amount that he or she ultimately receives under our AIP. However,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1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AIP bonus opportunities are expressed in terms of threshold, target and maximum bonus opportunities. Different percentages of each NEO’s annual base salary relate to these threshold, target and maximum AIP bonus opportunities. However, in the event threshold performance for 2019 was not achieved with respect to the CAFD performance metric (the “AIP Gate”), no AIP bonuses would have been payable for 2019.</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January 1, 2019, the AIP was amended to include designated officers as participants, granting NEOs (other than Mr. Sotos whose severance is governed by his employment agreement) eligibility for a prorated target bonus payment for the year of a qualifying severance termination, based on the portion of the performance period that the NEO was employed.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AIP Bonus Performance Criteria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AIP bonus performance criteria applicable to all NEOs are based upon the four Company goals described above and individual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2019 AIP performance criteria and weightings applicable to all NEOs, assuming the achievement of each goal at target.</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Goal</w:t>
            </w:r>
          </w:p>
        </w:tc>
        <w:tc>
          <w:tcPr>
            <w:tcW w:w="4760" w:type="dxa"/>
            <w:vAlign w:val="bottom"/>
          </w:tcPr>
          <w:p>
            <w:pPr>
              <w:jc w:val="right"/>
              <w:ind w:right="253"/>
              <w:spacing w:after="0"/>
              <w:rPr>
                <w:sz w:val="20"/>
                <w:szCs w:val="20"/>
                <w:color w:val="auto"/>
              </w:rPr>
            </w:pPr>
            <w:r>
              <w:rPr>
                <w:rFonts w:ascii="Arial" w:cs="Arial" w:eastAsia="Arial" w:hAnsi="Arial"/>
                <w:sz w:val="14"/>
                <w:szCs w:val="14"/>
                <w:b w:val="1"/>
                <w:bCs w:val="1"/>
                <w:color w:val="auto"/>
              </w:rPr>
              <w:t>Weight</w:t>
            </w: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2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CAFD</w:t>
            </w:r>
            <w:r>
              <w:rPr>
                <w:rFonts w:ascii="Arial" w:cs="Arial" w:eastAsia="Arial" w:hAnsi="Arial"/>
                <w:sz w:val="25"/>
                <w:szCs w:val="25"/>
                <w:color w:val="auto"/>
                <w:vertAlign w:val="superscript"/>
              </w:rPr>
              <w:t>(1)</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20" w:type="dxa"/>
            <w:vAlign w:val="bottom"/>
          </w:tcPr>
          <w:p>
            <w:pPr>
              <w:spacing w:after="0"/>
              <w:rPr>
                <w:sz w:val="21"/>
                <w:szCs w:val="21"/>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Key Financial Milestones</w:t>
            </w:r>
          </w:p>
        </w:tc>
        <w:tc>
          <w:tcPr>
            <w:tcW w:w="476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Key Transition Milestones</w:t>
            </w:r>
          </w:p>
        </w:tc>
        <w:tc>
          <w:tcPr>
            <w:tcW w:w="4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0" w:type="dxa"/>
            <w:vAlign w:val="bottom"/>
          </w:tcPr>
          <w:p>
            <w:pPr>
              <w:spacing w:after="0"/>
              <w:rPr>
                <w:sz w:val="21"/>
                <w:szCs w:val="21"/>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Achievement of the Thermal Plan</w:t>
            </w:r>
          </w:p>
        </w:tc>
        <w:tc>
          <w:tcPr>
            <w:tcW w:w="4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Overall Funding</w:t>
            </w:r>
          </w:p>
        </w:tc>
        <w:tc>
          <w:tcPr>
            <w:tcW w:w="4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100%</w:t>
            </w:r>
          </w:p>
        </w:tc>
      </w:tr>
      <w:tr>
        <w:trPr>
          <w:trHeight w:val="243"/>
        </w:trPr>
        <w:tc>
          <w:tcPr>
            <w:tcW w:w="20" w:type="dxa"/>
            <w:vAlign w:val="bottom"/>
          </w:tcPr>
          <w:p>
            <w:pPr>
              <w:spacing w:after="0"/>
              <w:rPr>
                <w:sz w:val="21"/>
                <w:szCs w:val="21"/>
                <w:color w:val="auto"/>
              </w:rPr>
            </w:pPr>
          </w:p>
        </w:tc>
        <w:tc>
          <w:tcPr>
            <w:tcW w:w="6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Individual Performance</w:t>
            </w:r>
          </w:p>
        </w:tc>
        <w:tc>
          <w:tcPr>
            <w:tcW w:w="47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14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6" w:lineRule="exact"/>
        <w:rPr>
          <w:sz w:val="20"/>
          <w:szCs w:val="20"/>
          <w:color w:val="auto"/>
        </w:rPr>
      </w:pPr>
    </w:p>
    <w:p>
      <w:pPr>
        <w:jc w:val="both"/>
        <w:ind w:firstLine="8"/>
        <w:spacing w:after="0" w:line="169" w:lineRule="exact"/>
        <w:tabs>
          <w:tab w:leader="none" w:pos="204" w:val="left"/>
        </w:tabs>
        <w:numPr>
          <w:ilvl w:val="0"/>
          <w:numId w:val="37"/>
        </w:numPr>
        <w:rPr>
          <w:rFonts w:ascii="Arial" w:cs="Arial" w:eastAsia="Arial" w:hAnsi="Arial"/>
          <w:sz w:val="13"/>
          <w:szCs w:val="13"/>
          <w:color w:val="auto"/>
        </w:rPr>
      </w:pPr>
      <w:r>
        <w:rPr>
          <w:rFonts w:ascii="Arial" w:cs="Arial" w:eastAsia="Arial" w:hAnsi="Arial"/>
          <w:sz w:val="13"/>
          <w:szCs w:val="13"/>
          <w:color w:val="auto"/>
        </w:rPr>
        <w:t>CAFD is adjusted earnings before interest, taxes, depreciation and amortization (Adjusted EBITDA) plus cash distributions/return of investment from unconsolidated affiliates, cash receipts from notes receivable, cash distributions from noncontrolling interests, less cash distributions to noncontrolling interests, maintenance capital expenditures, pro</w:t>
      </w:r>
      <w:r>
        <w:rPr>
          <w:rFonts w:ascii="MS PGothic" w:cs="MS PGothic" w:eastAsia="MS PGothic" w:hAnsi="MS PGothic"/>
          <w:sz w:val="13"/>
          <w:szCs w:val="13"/>
          <w:color w:val="auto"/>
        </w:rPr>
        <w:t>‑</w:t>
      </w:r>
      <w:r>
        <w:rPr>
          <w:rFonts w:ascii="Arial" w:cs="Arial" w:eastAsia="Arial" w:hAnsi="Arial"/>
          <w:sz w:val="13"/>
          <w:szCs w:val="13"/>
          <w:color w:val="auto"/>
        </w:rPr>
        <w:t>rata Adjusted EBITDA from unconsolidated affiliates, cash interest paid, income taxes paid, principal amortization of indebtedness, Walnut Creek investment payments, and changes in prepaid and accrued capacity payments.</w:t>
      </w:r>
    </w:p>
    <w:p>
      <w:pPr>
        <w:spacing w:after="0" w:line="148" w:lineRule="exact"/>
        <w:rPr>
          <w:sz w:val="20"/>
          <w:szCs w:val="20"/>
          <w:color w:val="auto"/>
        </w:rPr>
      </w:pPr>
    </w:p>
    <w:p>
      <w:pPr>
        <w:ind w:left="340" w:hanging="332"/>
        <w:spacing w:after="0" w:line="277" w:lineRule="auto"/>
        <w:tabs>
          <w:tab w:leader="none" w:pos="34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CAFD</w:t>
      </w:r>
      <w:r>
        <w:rPr>
          <w:rFonts w:ascii="Arial" w:cs="Arial" w:eastAsia="Arial" w:hAnsi="Arial"/>
          <w:sz w:val="18"/>
          <w:szCs w:val="18"/>
          <w:color w:val="auto"/>
        </w:rPr>
        <w:t>. As noted above, the threshold CAFD performance metric represents the AIP Gate for 2019. The Compensation Committee set the 2019 AIP Gate</w:t>
      </w:r>
      <w:r>
        <w:rPr>
          <w:rFonts w:ascii="Arial" w:cs="Arial" w:eastAsia="Arial" w:hAnsi="Arial"/>
          <w:sz w:val="18"/>
          <w:szCs w:val="18"/>
          <w:i w:val="1"/>
          <w:iCs w:val="1"/>
          <w:color w:val="auto"/>
        </w:rPr>
        <w:t xml:space="preserve"> </w:t>
      </w:r>
      <w:r>
        <w:rPr>
          <w:rFonts w:ascii="Arial" w:cs="Arial" w:eastAsia="Arial" w:hAnsi="Arial"/>
          <w:sz w:val="18"/>
          <w:szCs w:val="18"/>
          <w:color w:val="auto"/>
        </w:rPr>
        <w:t>at $231 million. The Compensation Committee has removed the AIP Gate as a feature under the AIP for 2020.</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Beyond serving as a “gate” to any payout of AIP bonuses to NEOs, CAFD is also a distinct portion of our annual incentive framework. For 2019, the CAFD goals and the achieved level are set forth in the chart below. The Company achieved CAFD of approximately $254 million, surpassing the CAFD threshold (i.e., the AIP Gate) but less than the CAFD target.</w:t>
      </w:r>
    </w:p>
    <w:p>
      <w:pPr>
        <w:spacing w:after="0" w:line="281"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CAFD</w:t>
            </w:r>
          </w:p>
        </w:tc>
        <w:tc>
          <w:tcPr>
            <w:tcW w:w="2440" w:type="dxa"/>
            <w:vAlign w:val="bottom"/>
          </w:tcPr>
          <w:p>
            <w:pPr>
              <w:ind w:left="840"/>
              <w:spacing w:after="0"/>
              <w:rPr>
                <w:sz w:val="20"/>
                <w:szCs w:val="20"/>
                <w:color w:val="auto"/>
              </w:rPr>
            </w:pPr>
            <w:r>
              <w:rPr>
                <w:rFonts w:ascii="Arial" w:cs="Arial" w:eastAsia="Arial" w:hAnsi="Arial"/>
                <w:sz w:val="14"/>
                <w:szCs w:val="14"/>
                <w:b w:val="1"/>
                <w:bCs w:val="1"/>
                <w:color w:val="auto"/>
              </w:rPr>
              <w:t>CAFD</w:t>
            </w:r>
          </w:p>
        </w:tc>
        <w:tc>
          <w:tcPr>
            <w:tcW w:w="2120" w:type="dxa"/>
            <w:vAlign w:val="bottom"/>
          </w:tcPr>
          <w:p>
            <w:pPr>
              <w:jc w:val="center"/>
              <w:ind w:right="722"/>
              <w:spacing w:after="0"/>
              <w:rPr>
                <w:sz w:val="20"/>
                <w:szCs w:val="20"/>
                <w:color w:val="auto"/>
              </w:rPr>
            </w:pPr>
            <w:r>
              <w:rPr>
                <w:rFonts w:ascii="Arial" w:cs="Arial" w:eastAsia="Arial" w:hAnsi="Arial"/>
                <w:sz w:val="14"/>
                <w:szCs w:val="14"/>
                <w:b w:val="1"/>
                <w:bCs w:val="1"/>
                <w:color w:val="auto"/>
              </w:rPr>
              <w:t>CAFD</w:t>
            </w:r>
          </w:p>
        </w:tc>
        <w:tc>
          <w:tcPr>
            <w:tcW w:w="1880" w:type="dxa"/>
            <w:vAlign w:val="bottom"/>
          </w:tcPr>
          <w:p>
            <w:pPr>
              <w:ind w:left="500"/>
              <w:spacing w:after="0"/>
              <w:rPr>
                <w:sz w:val="20"/>
                <w:szCs w:val="20"/>
                <w:color w:val="auto"/>
              </w:rPr>
            </w:pPr>
            <w:r>
              <w:rPr>
                <w:rFonts w:ascii="Arial" w:cs="Arial" w:eastAsia="Arial" w:hAnsi="Arial"/>
                <w:sz w:val="14"/>
                <w:szCs w:val="14"/>
                <w:b w:val="1"/>
                <w:bCs w:val="1"/>
                <w:color w:val="auto"/>
              </w:rPr>
              <w:t>CAFD</w:t>
            </w:r>
          </w:p>
        </w:tc>
      </w:tr>
      <w:tr>
        <w:trPr>
          <w:trHeight w:val="186"/>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2440" w:type="dxa"/>
            <w:vAlign w:val="bottom"/>
          </w:tcPr>
          <w:p>
            <w:pPr>
              <w:ind w:left="840"/>
              <w:spacing w:after="0"/>
              <w:rPr>
                <w:sz w:val="20"/>
                <w:szCs w:val="20"/>
                <w:color w:val="auto"/>
              </w:rPr>
            </w:pPr>
            <w:r>
              <w:rPr>
                <w:rFonts w:ascii="Arial" w:cs="Arial" w:eastAsia="Arial" w:hAnsi="Arial"/>
                <w:sz w:val="14"/>
                <w:szCs w:val="14"/>
                <w:b w:val="1"/>
                <w:bCs w:val="1"/>
                <w:color w:val="auto"/>
              </w:rPr>
              <w:t>Target</w:t>
            </w:r>
          </w:p>
        </w:tc>
        <w:tc>
          <w:tcPr>
            <w:tcW w:w="2120" w:type="dxa"/>
            <w:vAlign w:val="bottom"/>
          </w:tcPr>
          <w:p>
            <w:pPr>
              <w:jc w:val="center"/>
              <w:ind w:right="722"/>
              <w:spacing w:after="0"/>
              <w:rPr>
                <w:sz w:val="20"/>
                <w:szCs w:val="20"/>
                <w:color w:val="auto"/>
              </w:rPr>
            </w:pPr>
            <w:r>
              <w:rPr>
                <w:rFonts w:ascii="Arial" w:cs="Arial" w:eastAsia="Arial" w:hAnsi="Arial"/>
                <w:sz w:val="14"/>
                <w:szCs w:val="14"/>
                <w:b w:val="1"/>
                <w:bCs w:val="1"/>
                <w:color w:val="auto"/>
                <w:w w:val="99"/>
              </w:rPr>
              <w:t>Maximum</w:t>
            </w:r>
          </w:p>
        </w:tc>
        <w:tc>
          <w:tcPr>
            <w:tcW w:w="1880" w:type="dxa"/>
            <w:vAlign w:val="bottom"/>
          </w:tcPr>
          <w:p>
            <w:pPr>
              <w:ind w:left="500"/>
              <w:spacing w:after="0"/>
              <w:rPr>
                <w:sz w:val="20"/>
                <w:szCs w:val="20"/>
                <w:color w:val="auto"/>
              </w:rPr>
            </w:pPr>
            <w:r>
              <w:rPr>
                <w:rFonts w:ascii="Arial" w:cs="Arial" w:eastAsia="Arial" w:hAnsi="Arial"/>
                <w:sz w:val="14"/>
                <w:szCs w:val="14"/>
                <w:b w:val="1"/>
                <w:bCs w:val="1"/>
                <w:color w:val="auto"/>
              </w:rPr>
              <w:t>Actual</w:t>
            </w:r>
          </w:p>
        </w:tc>
      </w:tr>
      <w:tr>
        <w:trPr>
          <w:trHeight w:val="26"/>
        </w:trPr>
        <w:tc>
          <w:tcPr>
            <w:tcW w:w="25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$231 million</w:t>
            </w:r>
          </w:p>
        </w:tc>
        <w:tc>
          <w:tcPr>
            <w:tcW w:w="2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$270 million</w:t>
            </w:r>
          </w:p>
        </w:tc>
        <w:tc>
          <w:tcPr>
            <w:tcW w:w="2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$309 million</w:t>
            </w:r>
          </w:p>
        </w:tc>
        <w:tc>
          <w:tcPr>
            <w:tcW w:w="18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7"/>
              </w:rPr>
              <w:t>$254 million</w:t>
            </w:r>
          </w:p>
        </w:tc>
      </w:tr>
      <w:tr>
        <w:trPr>
          <w:trHeight w:val="27"/>
        </w:trPr>
        <w:tc>
          <w:tcPr>
            <w:tcW w:w="256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left="340" w:hanging="332"/>
        <w:spacing w:after="0" w:line="257" w:lineRule="auto"/>
        <w:tabs>
          <w:tab w:leader="none" w:pos="34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Key Financial Milestones</w:t>
      </w:r>
      <w:r>
        <w:rPr>
          <w:rFonts w:ascii="Arial" w:cs="Arial" w:eastAsia="Arial" w:hAnsi="Arial"/>
          <w:sz w:val="18"/>
          <w:szCs w:val="18"/>
          <w:color w:val="auto"/>
        </w:rPr>
        <w:t>. Achievement of “key financial milestones” performance metrics are established as a defined annual incentive category.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establishes threshold, target and maximum levels of performance for this category based on the number of milestones achieved. For 2019, a total of eleven milestones were established relating to the Company’s credit rating, adherence to budget, CAFD per share goals, management of certain PG&amp;E related projects, and OSHA recordable incident rate. Additional CAFD and OSHA milestones also were applied as separate milestones with respect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41" w:right="239" w:bottom="1440" w:gutter="0" w:footer="0" w:header="0"/>
        </w:sectPr>
      </w:pPr>
    </w:p>
    <w:bookmarkStart w:id="66" w:name="page67"/>
    <w:bookmarkEnd w:id="66"/>
    <w:p>
      <w:pPr>
        <w:jc w:val="both"/>
        <w:ind w:left="340"/>
        <w:spacing w:after="0" w:line="264" w:lineRule="auto"/>
        <w:rPr>
          <w:sz w:val="20"/>
          <w:szCs w:val="20"/>
          <w:color w:val="auto"/>
        </w:rPr>
      </w:pPr>
      <w:r>
        <w:rPr>
          <w:rFonts w:ascii="Arial" w:cs="Arial" w:eastAsia="Arial" w:hAnsi="Arial"/>
          <w:sz w:val="18"/>
          <w:szCs w:val="18"/>
          <w:color w:val="auto"/>
        </w:rPr>
        <w:t>to the Company’s Thermal business. For 2019, threshold performance required the achievement of three out of the eleven milestones, target performance required the achievement of six out of the eleven milestones, and maximum performance required the achievement of all eleven milestones. Ultimately, target performance was attained with the achievement of six out of the eleven milestones in 2019.</w:t>
      </w:r>
    </w:p>
    <w:p>
      <w:pPr>
        <w:spacing w:after="0" w:line="343" w:lineRule="exact"/>
        <w:rPr>
          <w:sz w:val="20"/>
          <w:szCs w:val="20"/>
          <w:color w:val="auto"/>
        </w:rPr>
      </w:pPr>
    </w:p>
    <w:p>
      <w:pPr>
        <w:jc w:val="both"/>
        <w:ind w:left="340" w:hanging="332"/>
        <w:spacing w:after="0" w:line="272" w:lineRule="auto"/>
        <w:tabs>
          <w:tab w:leader="none" w:pos="34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Key Transition Milestones</w:t>
      </w:r>
      <w:r>
        <w:rPr>
          <w:rFonts w:ascii="Arial" w:cs="Arial" w:eastAsia="Arial" w:hAnsi="Arial"/>
          <w:sz w:val="17"/>
          <w:szCs w:val="17"/>
          <w:color w:val="auto"/>
        </w:rPr>
        <w:t>. Achievement of “key transition milestones” performance metrics were specifically established as a defined annual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category for 2019. The Compensation Committee establishes threshold, target and maximum levels of performance for this category based on the number of milestones achieved. For 2019, a total of five milestones were established relating to the Company’s cost savings initiatives, reduced use of NRG technology and services, implementation of certain asset management agreements and satisfactory completion of the auditor RFP (request for proposal). For 2019, threshold performance required the achievement of two out of the five milestones, target performance required the achievement of three out of the five milestones, and maximum performance required the achievement of all five milestones. Ultimately, maximum performance was attained with the achievement of five out of the five milestones in 2019.</w:t>
      </w:r>
    </w:p>
    <w:p>
      <w:pPr>
        <w:spacing w:after="0" w:line="339" w:lineRule="exact"/>
        <w:rPr>
          <w:rFonts w:ascii="Arial" w:cs="Arial" w:eastAsia="Arial" w:hAnsi="Arial"/>
          <w:sz w:val="17"/>
          <w:szCs w:val="17"/>
          <w:i w:val="1"/>
          <w:iCs w:val="1"/>
          <w:color w:val="auto"/>
        </w:rPr>
      </w:pPr>
    </w:p>
    <w:p>
      <w:pPr>
        <w:jc w:val="both"/>
        <w:ind w:left="340" w:hanging="332"/>
        <w:spacing w:after="0" w:line="270" w:lineRule="auto"/>
        <w:tabs>
          <w:tab w:leader="none" w:pos="34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Achievement of the Thermal Plan</w:t>
      </w:r>
      <w:r>
        <w:rPr>
          <w:rFonts w:ascii="Arial" w:cs="Arial" w:eastAsia="Arial" w:hAnsi="Arial"/>
          <w:sz w:val="17"/>
          <w:szCs w:val="17"/>
          <w:color w:val="auto"/>
        </w:rPr>
        <w:t>. Achievement of “Thermal Plan” performance metrics was added as an annual incentive category for 2019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view that all elements of the Company’s business should be reflected in the AIP bonus opportunity. The Compensation Committee establishes threshold, target and maximum levels for this category for each of the “Thermal Plan” performance metrics. For 2019, the Thermal Plan performance metrics relate to the Thermal business’s CAFD, capital expenditures, cost controls and system efficiencies. In addition, a separate metric was established for 2019 identifying a total of eleven key Thermal business goals. Similar to the key financial and transitional milestones described above, threshold, target and maximum levels of performance were established for this separate metric based on the number of goals achieved. These goals related to safety, cost control, customer retention and satisfaction, employee engagement, environmental risk management, good citizenship and growth, in each case, with respect to the Thermal business (threshold, target and maximum performance required the achievement of three, seven and ten goals, respectively, out of a total of eleven). Ultimately, above-target performance was attained (expressed as 153% of target) with respect to the thermal plan in 2019 (including achievement of six out of the eleven key Thermal business goals).</w:t>
      </w:r>
    </w:p>
    <w:p>
      <w:pPr>
        <w:spacing w:after="0" w:line="339" w:lineRule="exact"/>
        <w:rPr>
          <w:rFonts w:ascii="Arial" w:cs="Arial" w:eastAsia="Arial" w:hAnsi="Arial"/>
          <w:sz w:val="17"/>
          <w:szCs w:val="17"/>
          <w:i w:val="1"/>
          <w:iCs w:val="1"/>
          <w:color w:val="auto"/>
        </w:rPr>
      </w:pPr>
    </w:p>
    <w:p>
      <w:pPr>
        <w:jc w:val="both"/>
        <w:ind w:left="340" w:hanging="332"/>
        <w:spacing w:after="0" w:line="254" w:lineRule="auto"/>
        <w:tabs>
          <w:tab w:leader="none" w:pos="34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Individual Performance</w:t>
      </w:r>
      <w:r>
        <w:rPr>
          <w:rFonts w:ascii="Arial" w:cs="Arial" w:eastAsia="Arial" w:hAnsi="Arial"/>
          <w:sz w:val="18"/>
          <w:szCs w:val="18"/>
          <w:color w:val="auto"/>
        </w:rPr>
        <w:t>. As indicated above, individual performance may (negatively or positively) affect the AIP Bonus for an NEO by up to 20%,</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no AIP Bonus payments can exceed 200% of the target award. Such individual performance is determined on a discretionary basis based on the Compensation Committee’s assessment of the NEO’s contributions in supporting adherence to budget, support towards the achievement of key milestones, and other contributions towards the successful execution of the Company’s business strategy. In 2019, the Compensation Committee considered the individual performance of the CEO and recommended to the full Board that his AIP Bonus be increased by 20% to account for his individual performance. In a similar manner, the CEO recommended to the Compensation Committee that the AIP Bonus be increased for the other NEOs from 15% to 20%. The full board approved the above recommendation of the Compensation Committee and the Compensation Committee approved the above recommendation of the CEO.</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Annual Incentive Bonus Opportunity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threshold, target and maximum AIP bonus opportunities for NEOs for 2019, expressed as a percentage of base salary,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60" w:type="dxa"/>
            <w:vAlign w:val="bottom"/>
          </w:tcPr>
          <w:p>
            <w:pPr>
              <w:jc w:val="center"/>
              <w:ind w:left="1656"/>
              <w:spacing w:after="0"/>
              <w:rPr>
                <w:sz w:val="20"/>
                <w:szCs w:val="20"/>
                <w:color w:val="auto"/>
              </w:rPr>
            </w:pPr>
            <w:r>
              <w:rPr>
                <w:rFonts w:ascii="Arial" w:cs="Arial" w:eastAsia="Arial" w:hAnsi="Arial"/>
                <w:sz w:val="14"/>
                <w:szCs w:val="14"/>
                <w:b w:val="1"/>
                <w:bCs w:val="1"/>
                <w:color w:val="auto"/>
                <w:w w:val="95"/>
              </w:rPr>
              <w:t>Gate Not</w:t>
            </w: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Threshold</w:t>
            </w:r>
          </w:p>
        </w:tc>
        <w:tc>
          <w:tcPr>
            <w:tcW w:w="840" w:type="dxa"/>
            <w:vAlign w:val="bottom"/>
          </w:tcPr>
          <w:p>
            <w:pPr>
              <w:ind w:left="240"/>
              <w:spacing w:after="0"/>
              <w:rPr>
                <w:sz w:val="20"/>
                <w:szCs w:val="20"/>
                <w:color w:val="auto"/>
              </w:rPr>
            </w:pPr>
            <w:r>
              <w:rPr>
                <w:rFonts w:ascii="Arial" w:cs="Arial" w:eastAsia="Arial" w:hAnsi="Arial"/>
                <w:sz w:val="14"/>
                <w:szCs w:val="14"/>
                <w:b w:val="1"/>
                <w:bCs w:val="1"/>
                <w:color w:val="auto"/>
              </w:rPr>
              <w:t>Target</w:t>
            </w:r>
          </w:p>
        </w:tc>
        <w:tc>
          <w:tcPr>
            <w:tcW w:w="1240" w:type="dxa"/>
            <w:vAlign w:val="bottom"/>
          </w:tcPr>
          <w:p>
            <w:pPr>
              <w:ind w:left="200"/>
              <w:spacing w:after="0"/>
              <w:rPr>
                <w:sz w:val="20"/>
                <w:szCs w:val="20"/>
                <w:color w:val="auto"/>
              </w:rPr>
            </w:pPr>
            <w:r>
              <w:rPr>
                <w:rFonts w:ascii="Arial" w:cs="Arial" w:eastAsia="Arial" w:hAnsi="Arial"/>
                <w:sz w:val="14"/>
                <w:szCs w:val="14"/>
                <w:b w:val="1"/>
                <w:bCs w:val="1"/>
                <w:color w:val="auto"/>
              </w:rPr>
              <w:t>Maximum</w:t>
            </w:r>
          </w:p>
        </w:tc>
        <w:tc>
          <w:tcPr>
            <w:tcW w:w="1720" w:type="dxa"/>
            <w:vAlign w:val="bottom"/>
          </w:tcPr>
          <w:p>
            <w:pPr>
              <w:jc w:val="right"/>
              <w:ind w:right="676"/>
              <w:spacing w:after="0"/>
              <w:rPr>
                <w:sz w:val="20"/>
                <w:szCs w:val="20"/>
                <w:color w:val="auto"/>
              </w:rPr>
            </w:pPr>
            <w:r>
              <w:rPr>
                <w:rFonts w:ascii="Arial" w:cs="Arial" w:eastAsia="Arial" w:hAnsi="Arial"/>
                <w:sz w:val="14"/>
                <w:szCs w:val="14"/>
                <w:b w:val="1"/>
                <w:bCs w:val="1"/>
                <w:color w:val="auto"/>
              </w:rPr>
              <w:t>Target</w:t>
            </w:r>
          </w:p>
        </w:tc>
      </w:tr>
      <w:tr>
        <w:trPr>
          <w:trHeight w:val="171"/>
        </w:trPr>
        <w:tc>
          <w:tcPr>
            <w:tcW w:w="360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2860" w:type="dxa"/>
            <w:vAlign w:val="bottom"/>
          </w:tcPr>
          <w:p>
            <w:pPr>
              <w:jc w:val="center"/>
              <w:ind w:left="1656"/>
              <w:spacing w:after="0"/>
              <w:rPr>
                <w:sz w:val="20"/>
                <w:szCs w:val="20"/>
                <w:color w:val="auto"/>
              </w:rPr>
            </w:pPr>
            <w:r>
              <w:rPr>
                <w:rFonts w:ascii="Arial" w:cs="Arial" w:eastAsia="Arial" w:hAnsi="Arial"/>
                <w:sz w:val="14"/>
                <w:szCs w:val="14"/>
                <w:b w:val="1"/>
                <w:bCs w:val="1"/>
                <w:color w:val="auto"/>
              </w:rPr>
              <w:t>Met (%)</w:t>
            </w:r>
          </w:p>
        </w:tc>
        <w:tc>
          <w:tcPr>
            <w:tcW w:w="1160" w:type="dxa"/>
            <w:vAlign w:val="bottom"/>
          </w:tcPr>
          <w:p>
            <w:pPr>
              <w:jc w:val="cente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7"/>
                <w:szCs w:val="7"/>
                <w:b w:val="1"/>
                <w:bCs w:val="1"/>
                <w:color w:val="auto"/>
              </w:rPr>
              <w:t>(1)</w:t>
            </w:r>
          </w:p>
        </w:tc>
        <w:tc>
          <w:tcPr>
            <w:tcW w:w="840" w:type="dxa"/>
            <w:vAlign w:val="bottom"/>
          </w:tcPr>
          <w:p>
            <w:pPr>
              <w:jc w:val="cente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7"/>
                <w:szCs w:val="7"/>
                <w:b w:val="1"/>
                <w:bCs w:val="1"/>
                <w:color w:val="auto"/>
              </w:rPr>
              <w:t>(1)</w:t>
            </w: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ind w:right="536"/>
              <w:spacing w:after="0"/>
              <w:rPr>
                <w:sz w:val="20"/>
                <w:szCs w:val="20"/>
                <w:color w:val="auto"/>
              </w:rPr>
            </w:pPr>
            <w:r>
              <w:rPr>
                <w:rFonts w:ascii="Arial" w:cs="Arial" w:eastAsia="Arial" w:hAnsi="Arial"/>
                <w:sz w:val="14"/>
                <w:szCs w:val="14"/>
                <w:b w:val="1"/>
                <w:bCs w:val="1"/>
                <w:color w:val="auto"/>
              </w:rPr>
              <w:t>Amount ($)</w:t>
            </w:r>
          </w:p>
        </w:tc>
      </w:tr>
      <w:tr>
        <w:trPr>
          <w:trHeight w:val="21"/>
        </w:trPr>
        <w:tc>
          <w:tcPr>
            <w:tcW w:w="4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Christopher S. Sotos</w:t>
            </w:r>
          </w:p>
        </w:tc>
        <w:tc>
          <w:tcPr>
            <w:tcW w:w="2860" w:type="dxa"/>
            <w:vAlign w:val="bottom"/>
            <w:tcBorders>
              <w:bottom w:val="single" w:sz="8" w:color="CCEEFF"/>
            </w:tcBorders>
            <w:shd w:val="clear" w:color="auto" w:fill="CCEEFF"/>
          </w:tcPr>
          <w:p>
            <w:pPr>
              <w:jc w:val="center"/>
              <w:ind w:left="1656"/>
              <w:spacing w:after="0"/>
              <w:rPr>
                <w:sz w:val="20"/>
                <w:szCs w:val="20"/>
                <w:color w:val="auto"/>
              </w:rPr>
            </w:pPr>
            <w:r>
              <w:rPr>
                <w:rFonts w:ascii="Arial" w:cs="Arial" w:eastAsia="Arial" w:hAnsi="Arial"/>
                <w:sz w:val="18"/>
                <w:szCs w:val="18"/>
                <w:color w:val="auto"/>
                <w:w w:val="79"/>
              </w:rPr>
              <w:t>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24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93"/>
              </w:rPr>
              <w:t>200</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611,000</w:t>
            </w: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Chad Plotkin</w:t>
            </w:r>
          </w:p>
        </w:tc>
        <w:tc>
          <w:tcPr>
            <w:tcW w:w="2860" w:type="dxa"/>
            <w:vAlign w:val="bottom"/>
          </w:tcPr>
          <w:p>
            <w:pPr>
              <w:jc w:val="center"/>
              <w:ind w:left="1656"/>
              <w:spacing w:after="0"/>
              <w:rPr>
                <w:sz w:val="20"/>
                <w:szCs w:val="20"/>
                <w:color w:val="auto"/>
              </w:rPr>
            </w:pPr>
            <w:r>
              <w:rPr>
                <w:rFonts w:ascii="Arial" w:cs="Arial" w:eastAsia="Arial" w:hAnsi="Arial"/>
                <w:sz w:val="18"/>
                <w:szCs w:val="18"/>
                <w:color w:val="auto"/>
                <w:w w:val="79"/>
              </w:rPr>
              <w:t>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40" w:type="dxa"/>
            <w:vAlign w:val="bottom"/>
          </w:tcPr>
          <w:p>
            <w:pPr>
              <w:jc w:val="center"/>
              <w:ind w:right="116"/>
              <w:spacing w:after="0"/>
              <w:rPr>
                <w:sz w:val="20"/>
                <w:szCs w:val="20"/>
                <w:color w:val="auto"/>
              </w:rPr>
            </w:pPr>
            <w:r>
              <w:rPr>
                <w:rFonts w:ascii="Arial" w:cs="Arial" w:eastAsia="Arial" w:hAnsi="Arial"/>
                <w:sz w:val="18"/>
                <w:szCs w:val="18"/>
                <w:color w:val="auto"/>
                <w:w w:val="93"/>
              </w:rPr>
              <w:t>120</w:t>
            </w:r>
          </w:p>
        </w:tc>
        <w:tc>
          <w:tcPr>
            <w:tcW w:w="1720" w:type="dxa"/>
            <w:vAlign w:val="bottom"/>
          </w:tcPr>
          <w:p>
            <w:pPr>
              <w:jc w:val="right"/>
              <w:spacing w:after="0"/>
              <w:rPr>
                <w:sz w:val="20"/>
                <w:szCs w:val="20"/>
                <w:color w:val="auto"/>
              </w:rPr>
            </w:pPr>
            <w:r>
              <w:rPr>
                <w:rFonts w:ascii="Arial" w:cs="Arial" w:eastAsia="Arial" w:hAnsi="Arial"/>
                <w:sz w:val="18"/>
                <w:szCs w:val="18"/>
                <w:color w:val="auto"/>
              </w:rPr>
              <w:t>228,000</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Kevin Malcarney</w:t>
            </w:r>
          </w:p>
        </w:tc>
        <w:tc>
          <w:tcPr>
            <w:tcW w:w="2860" w:type="dxa"/>
            <w:vAlign w:val="bottom"/>
            <w:tcBorders>
              <w:bottom w:val="single" w:sz="8" w:color="CCEEFF"/>
            </w:tcBorders>
            <w:shd w:val="clear" w:color="auto" w:fill="CCEEFF"/>
          </w:tcPr>
          <w:p>
            <w:pPr>
              <w:jc w:val="center"/>
              <w:ind w:left="1656"/>
              <w:spacing w:after="0"/>
              <w:rPr>
                <w:sz w:val="20"/>
                <w:szCs w:val="20"/>
                <w:color w:val="auto"/>
              </w:rPr>
            </w:pPr>
            <w:r>
              <w:rPr>
                <w:rFonts w:ascii="Arial" w:cs="Arial" w:eastAsia="Arial" w:hAnsi="Arial"/>
                <w:sz w:val="18"/>
                <w:szCs w:val="18"/>
                <w:color w:val="auto"/>
                <w:w w:val="79"/>
              </w:rPr>
              <w:t>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24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9"/>
              </w:rPr>
              <w:t>80</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r>
      <w:tr>
        <w:trPr>
          <w:trHeight w:val="243"/>
        </w:trPr>
        <w:tc>
          <w:tcPr>
            <w:tcW w:w="3600" w:type="dxa"/>
            <w:vAlign w:val="bottom"/>
            <w:gridSpan w:val="3"/>
          </w:tcPr>
          <w:p>
            <w:pPr>
              <w:ind w:left="40"/>
              <w:spacing w:after="0" w:line="207" w:lineRule="exact"/>
              <w:rPr>
                <w:sz w:val="20"/>
                <w:szCs w:val="20"/>
                <w:color w:val="auto"/>
              </w:rPr>
            </w:pPr>
            <w:r>
              <w:rPr>
                <w:rFonts w:ascii="Arial" w:cs="Arial" w:eastAsia="Arial" w:hAnsi="Arial"/>
                <w:sz w:val="18"/>
                <w:szCs w:val="18"/>
                <w:color w:val="auto"/>
              </w:rPr>
              <w:t>Mary</w:t>
            </w:r>
            <w:r>
              <w:rPr>
                <w:rFonts w:ascii="MS PGothic" w:cs="MS PGothic" w:eastAsia="MS PGothic" w:hAnsi="MS PGothic"/>
                <w:sz w:val="18"/>
                <w:szCs w:val="18"/>
                <w:color w:val="auto"/>
              </w:rPr>
              <w:t>‑</w:t>
            </w:r>
            <w:r>
              <w:rPr>
                <w:rFonts w:ascii="Arial" w:cs="Arial" w:eastAsia="Arial" w:hAnsi="Arial"/>
                <w:sz w:val="18"/>
                <w:szCs w:val="18"/>
                <w:color w:val="auto"/>
              </w:rPr>
              <w:t>Lee Stillwell</w:t>
            </w:r>
          </w:p>
        </w:tc>
        <w:tc>
          <w:tcPr>
            <w:tcW w:w="2860" w:type="dxa"/>
            <w:vAlign w:val="bottom"/>
          </w:tcPr>
          <w:p>
            <w:pPr>
              <w:jc w:val="center"/>
              <w:ind w:left="1656"/>
              <w:spacing w:after="0"/>
              <w:rPr>
                <w:sz w:val="20"/>
                <w:szCs w:val="20"/>
                <w:color w:val="auto"/>
              </w:rPr>
            </w:pPr>
            <w:r>
              <w:rPr>
                <w:rFonts w:ascii="Arial" w:cs="Arial" w:eastAsia="Arial" w:hAnsi="Arial"/>
                <w:sz w:val="18"/>
                <w:szCs w:val="18"/>
                <w:color w:val="auto"/>
                <w:w w:val="79"/>
              </w:rPr>
              <w:t>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40" w:type="dxa"/>
            <w:vAlign w:val="bottom"/>
          </w:tcPr>
          <w:p>
            <w:pPr>
              <w:jc w:val="center"/>
              <w:ind w:right="136"/>
              <w:spacing w:after="0"/>
              <w:rPr>
                <w:sz w:val="20"/>
                <w:szCs w:val="20"/>
                <w:color w:val="auto"/>
              </w:rPr>
            </w:pPr>
            <w:r>
              <w:rPr>
                <w:rFonts w:ascii="Arial" w:cs="Arial" w:eastAsia="Arial" w:hAnsi="Arial"/>
                <w:sz w:val="18"/>
                <w:szCs w:val="18"/>
                <w:color w:val="auto"/>
                <w:w w:val="89"/>
              </w:rPr>
              <w:t>80</w:t>
            </w:r>
          </w:p>
        </w:tc>
        <w:tc>
          <w:tcPr>
            <w:tcW w:w="1720" w:type="dxa"/>
            <w:vAlign w:val="bottom"/>
          </w:tcPr>
          <w:p>
            <w:pPr>
              <w:jc w:val="right"/>
              <w:spacing w:after="0"/>
              <w:rPr>
                <w:sz w:val="20"/>
                <w:szCs w:val="20"/>
                <w:color w:val="auto"/>
              </w:rPr>
            </w:pPr>
            <w:r>
              <w:rPr>
                <w:rFonts w:ascii="Arial" w:cs="Arial" w:eastAsia="Arial" w:hAnsi="Arial"/>
                <w:sz w:val="18"/>
                <w:szCs w:val="18"/>
                <w:color w:val="auto"/>
              </w:rPr>
              <w:t>118,000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1414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9"/>
          <w:szCs w:val="9"/>
          <w:color w:val="auto"/>
        </w:rPr>
      </w:pPr>
      <w:r>
        <w:rPr>
          <w:rFonts w:ascii="Arial" w:cs="Arial" w:eastAsia="Arial" w:hAnsi="Arial"/>
          <w:sz w:val="14"/>
          <w:szCs w:val="14"/>
          <w:color w:val="auto"/>
        </w:rPr>
        <w:t>This assumes that the CAFD performance metric and all other quantitative and qualitative goals, including the key milestones, are achieved at threshold or target levels,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Annual Incentive Bonuses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noted above, with respect to AIP bonuses for 2019, the AIP Gate was $231 million, the CAFD target was $270 million, the key financial milestone target was achievement of six out of eleven key financial milestones, the key transition milestone target was achievement of three out of five key transition milestones and target achievement of the “Thermal Plan” metrics was based on the achievement of various sub-categories, including the achievement of seven out of eleven key Thermal business goals.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57" w:right="239" w:bottom="1440" w:gutter="0" w:footer="0" w:header="0"/>
        </w:sectPr>
      </w:pPr>
    </w:p>
    <w:bookmarkStart w:id="67" w:name="page68"/>
    <w:bookmarkEnd w:id="67"/>
    <w:p>
      <w:pPr>
        <w:jc w:val="both"/>
        <w:ind w:firstLine="648"/>
        <w:spacing w:after="0" w:line="293" w:lineRule="auto"/>
        <w:rPr>
          <w:sz w:val="20"/>
          <w:szCs w:val="20"/>
          <w:color w:val="auto"/>
        </w:rPr>
      </w:pPr>
      <w:r>
        <w:rPr>
          <w:rFonts w:ascii="Arial" w:cs="Arial" w:eastAsia="Arial" w:hAnsi="Arial"/>
          <w:sz w:val="16"/>
          <w:szCs w:val="16"/>
          <w:color w:val="auto"/>
        </w:rPr>
        <w:t>For 2019, the AIP Gate was surpassed, CAFD was between threshold and target at approximately $254 million, six out of eleven key financial milestones were achieved, and five out of five key transition milestones were achieved. In addition, overall achievement for the thermal plan for 2019 was above target at 153%. Due to the achievement specified above, 2019 AIP bonuses were paid at levels above target. If performance falls between threshold and target or target and maximum, the bonus opportunity will be determined on an interpolated basis. As a result, the CAFD metric, the key financial milestone, the key transition milestone, and thermal plan metrics were respectively weighted at 79%, 100%, 200% and 153% of target. Individual performance, which is determined on a discretionary basis, resulted in positive adjustments to the AIP Bonuses for the NEOs from 15% to 20%.</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annual incentive bonuses paid to NEOs for 2019 were:</w:t>
      </w: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Percentage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Annual</w:t>
            </w:r>
          </w:p>
        </w:tc>
      </w:tr>
      <w:tr>
        <w:trPr>
          <w:trHeight w:val="162"/>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Annual Base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Target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Incentive</w:t>
            </w:r>
          </w:p>
        </w:tc>
      </w:tr>
      <w:tr>
        <w:trPr>
          <w:trHeight w:val="206"/>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Salary (%)</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Achieved (%)</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Payment ($)</w:t>
            </w: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906,235</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Chad Plotkin</w:t>
            </w:r>
          </w:p>
        </w:tc>
        <w:tc>
          <w:tcPr>
            <w:tcW w:w="1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338,170</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Kevin P. Malcarney</w:t>
            </w: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170,568</w:t>
            </w:r>
          </w:p>
        </w:tc>
      </w:tr>
      <w:tr>
        <w:trPr>
          <w:trHeight w:val="243"/>
        </w:trPr>
        <w:tc>
          <w:tcPr>
            <w:tcW w:w="66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Mary</w:t>
            </w:r>
            <w:r>
              <w:rPr>
                <w:rFonts w:ascii="MS PGothic" w:cs="MS PGothic" w:eastAsia="MS PGothic" w:hAnsi="MS PGothic"/>
                <w:sz w:val="18"/>
                <w:szCs w:val="18"/>
                <w:color w:val="auto"/>
              </w:rPr>
              <w:t>‑</w:t>
            </w:r>
            <w:r>
              <w:rPr>
                <w:rFonts w:ascii="Arial" w:cs="Arial" w:eastAsia="Arial" w:hAnsi="Arial"/>
                <w:sz w:val="18"/>
                <w:szCs w:val="18"/>
                <w:color w:val="auto"/>
              </w:rPr>
              <w:t>Lee Stillwell</w:t>
            </w:r>
          </w:p>
        </w:tc>
        <w:tc>
          <w:tcPr>
            <w:tcW w:w="1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175,018</w:t>
            </w:r>
          </w:p>
        </w:tc>
      </w:tr>
    </w:tbl>
    <w:p>
      <w:pPr>
        <w:spacing w:after="0" w:line="17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Incentive Compensation</w:t>
      </w:r>
    </w:p>
    <w:p>
      <w:pPr>
        <w:spacing w:after="0" w:line="17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We believe that equity awards directly align our NEOs’ interests with those of our stockholders. In 2019, the Compensation Committee granted our NEOs a combination of performance</w:t>
      </w:r>
      <w:r>
        <w:rPr>
          <w:rFonts w:ascii="MS PGothic" w:cs="MS PGothic" w:eastAsia="MS PGothic" w:hAnsi="MS PGothic"/>
          <w:sz w:val="16"/>
          <w:szCs w:val="16"/>
          <w:color w:val="auto"/>
        </w:rPr>
        <w:t>‑</w:t>
      </w:r>
      <w:r>
        <w:rPr>
          <w:rFonts w:ascii="Arial" w:cs="Arial" w:eastAsia="Arial" w:hAnsi="Arial"/>
          <w:sz w:val="16"/>
          <w:szCs w:val="16"/>
          <w:color w:val="auto"/>
        </w:rPr>
        <w:t>based equity awards directly linked to long</w:t>
      </w:r>
      <w:r>
        <w:rPr>
          <w:rFonts w:ascii="MS PGothic" w:cs="MS PGothic" w:eastAsia="MS PGothic" w:hAnsi="MS PGothic"/>
          <w:sz w:val="16"/>
          <w:szCs w:val="16"/>
          <w:color w:val="auto"/>
        </w:rPr>
        <w:t>‑</w:t>
      </w:r>
      <w:r>
        <w:rPr>
          <w:rFonts w:ascii="Arial" w:cs="Arial" w:eastAsia="Arial" w:hAnsi="Arial"/>
          <w:sz w:val="16"/>
          <w:szCs w:val="16"/>
          <w:color w:val="auto"/>
        </w:rPr>
        <w:t>term stockholder value creation and time-based equity awards which also represent a critical component of our long-term incentive compensation due to the retention aspects of the awards. To enhance our compensation program’s focus on Company performance, the large majority of these long</w:t>
      </w:r>
      <w:r>
        <w:rPr>
          <w:rFonts w:ascii="MS PGothic" w:cs="MS PGothic" w:eastAsia="MS PGothic" w:hAnsi="MS PGothic"/>
          <w:sz w:val="16"/>
          <w:szCs w:val="16"/>
          <w:color w:val="auto"/>
        </w:rPr>
        <w:t>‑</w:t>
      </w:r>
      <w:r>
        <w:rPr>
          <w:rFonts w:ascii="Arial" w:cs="Arial" w:eastAsia="Arial" w:hAnsi="Arial"/>
          <w:sz w:val="16"/>
          <w:szCs w:val="16"/>
          <w:color w:val="auto"/>
        </w:rPr>
        <w:t>term incentive awards (67%) were performance</w:t>
      </w:r>
      <w:r>
        <w:rPr>
          <w:rFonts w:ascii="MS PGothic" w:cs="MS PGothic" w:eastAsia="MS PGothic" w:hAnsi="MS PGothic"/>
          <w:sz w:val="16"/>
          <w:szCs w:val="16"/>
          <w:color w:val="auto"/>
        </w:rPr>
        <w:t>‑</w:t>
      </w:r>
      <w:r>
        <w:rPr>
          <w:rFonts w:ascii="Arial" w:cs="Arial" w:eastAsia="Arial" w:hAnsi="Arial"/>
          <w:sz w:val="16"/>
          <w:szCs w:val="16"/>
          <w:color w:val="auto"/>
        </w:rPr>
        <w:t>based (i.e., granted as RPSUs). The remaining 33% of our long-term incentive awards were time-based (i.e., granted as RSUs which vest over 3 years). We believe that our AIP appropriately focuses our NEOs on shorter</w:t>
      </w:r>
      <w:r>
        <w:rPr>
          <w:rFonts w:ascii="MS PGothic" w:cs="MS PGothic" w:eastAsia="MS PGothic" w:hAnsi="MS PGothic"/>
          <w:sz w:val="16"/>
          <w:szCs w:val="16"/>
          <w:color w:val="auto"/>
        </w:rPr>
        <w:t>‑</w:t>
      </w:r>
      <w:r>
        <w:rPr>
          <w:rFonts w:ascii="Arial" w:cs="Arial" w:eastAsia="Arial" w:hAnsi="Arial"/>
          <w:sz w:val="16"/>
          <w:szCs w:val="16"/>
          <w:color w:val="auto"/>
        </w:rPr>
        <w:t>term (one</w:t>
      </w:r>
      <w:r>
        <w:rPr>
          <w:rFonts w:ascii="MS PGothic" w:cs="MS PGothic" w:eastAsia="MS PGothic" w:hAnsi="MS PGothic"/>
          <w:sz w:val="16"/>
          <w:szCs w:val="16"/>
          <w:color w:val="auto"/>
        </w:rPr>
        <w:t>‑</w:t>
      </w:r>
      <w:r>
        <w:rPr>
          <w:rFonts w:ascii="Arial" w:cs="Arial" w:eastAsia="Arial" w:hAnsi="Arial"/>
          <w:sz w:val="16"/>
          <w:szCs w:val="16"/>
          <w:color w:val="auto"/>
        </w:rPr>
        <w:t>year) financial metrics while our LTIP emphasizes long</w:t>
      </w:r>
      <w:r>
        <w:rPr>
          <w:rFonts w:ascii="MS PGothic" w:cs="MS PGothic" w:eastAsia="MS PGothic" w:hAnsi="MS PGothic"/>
          <w:sz w:val="16"/>
          <w:szCs w:val="16"/>
          <w:color w:val="auto"/>
        </w:rPr>
        <w:t>‑</w:t>
      </w:r>
      <w:r>
        <w:rPr>
          <w:rFonts w:ascii="Arial" w:cs="Arial" w:eastAsia="Arial" w:hAnsi="Arial"/>
          <w:sz w:val="16"/>
          <w:szCs w:val="16"/>
          <w:color w:val="auto"/>
        </w:rPr>
        <w:t>term stockholder value creation (i.e. three</w:t>
      </w:r>
      <w:r>
        <w:rPr>
          <w:rFonts w:ascii="MS PGothic" w:cs="MS PGothic" w:eastAsia="MS PGothic" w:hAnsi="MS PGothic"/>
          <w:sz w:val="16"/>
          <w:szCs w:val="16"/>
          <w:color w:val="auto"/>
        </w:rPr>
        <w:t>‑</w:t>
      </w:r>
      <w:r>
        <w:rPr>
          <w:rFonts w:ascii="Arial" w:cs="Arial" w:eastAsia="Arial" w:hAnsi="Arial"/>
          <w:sz w:val="16"/>
          <w:szCs w:val="16"/>
          <w:color w:val="auto"/>
        </w:rPr>
        <w:t>year TSR outperformance). For 2019, Mr. Sotos’ target LTIP award was 250% of his base salary, Mr. Plotkin’s target LTIP award was 125% of his base salary, Mr. Malcarney’s target LTIP award was 100% of his base salary, and Ms. Stillwell’s target LTIP award was 75% of her base salary. The above mix of long</w:t>
      </w:r>
      <w:r>
        <w:rPr>
          <w:rFonts w:ascii="MS PGothic" w:cs="MS PGothic" w:eastAsia="MS PGothic" w:hAnsi="MS PGothic"/>
          <w:sz w:val="16"/>
          <w:szCs w:val="16"/>
          <w:color w:val="auto"/>
        </w:rPr>
        <w:t>‑</w:t>
      </w:r>
      <w:r>
        <w:rPr>
          <w:rFonts w:ascii="Arial" w:cs="Arial" w:eastAsia="Arial" w:hAnsi="Arial"/>
          <w:sz w:val="16"/>
          <w:szCs w:val="16"/>
          <w:color w:val="auto"/>
        </w:rPr>
        <w:t>term incentive compensation applied to all NEOs, except Ms. Stillwell, for 2019, who received 100% RSUs under the terms of her offer letter.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Relative Performance Stock Units</w:t>
      </w:r>
    </w:p>
    <w:p>
      <w:pPr>
        <w:spacing w:after="0" w:line="17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Each RPSU represents the potential to receive one share of Class C common stock based on the Company’s TSR performance ranked against the TSR performance of a comparator group of similar companies (the “Performance Peer Group”) after the completion of a three</w:t>
      </w:r>
      <w:r>
        <w:rPr>
          <w:rFonts w:ascii="MS PGothic" w:cs="MS PGothic" w:eastAsia="MS PGothic" w:hAnsi="MS PGothic"/>
          <w:sz w:val="17"/>
          <w:szCs w:val="17"/>
          <w:color w:val="auto"/>
        </w:rPr>
        <w:t>‑</w:t>
      </w:r>
      <w:r>
        <w:rPr>
          <w:rFonts w:ascii="Arial" w:cs="Arial" w:eastAsia="Arial" w:hAnsi="Arial"/>
          <w:sz w:val="17"/>
          <w:szCs w:val="17"/>
          <w:color w:val="auto"/>
        </w:rPr>
        <w:t>year performance period. 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15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The payout of shares of Class C common stock at the end of the three</w:t>
      </w:r>
      <w:r>
        <w:rPr>
          <w:rFonts w:ascii="MS PGothic" w:cs="MS PGothic" w:eastAsia="MS PGothic" w:hAnsi="MS PGothic"/>
          <w:sz w:val="18"/>
          <w:szCs w:val="18"/>
          <w:color w:val="auto"/>
        </w:rPr>
        <w:t>‑</w:t>
      </w:r>
      <w:r>
        <w:rPr>
          <w:rFonts w:ascii="Arial" w:cs="Arial" w:eastAsia="Arial" w:hAnsi="Arial"/>
          <w:sz w:val="18"/>
          <w:szCs w:val="18"/>
          <w:color w:val="auto"/>
        </w:rPr>
        <w:t>year performance period is based on the Company’s TSR performance percentile rank compared with the TSR performance of the Performance Peer Group. To ensure a rigorous program design, the target</w:t>
      </w:r>
      <w:r>
        <w:rPr>
          <w:rFonts w:ascii="MS PGothic" w:cs="MS PGothic" w:eastAsia="MS PGothic" w:hAnsi="MS PGothic"/>
          <w:sz w:val="18"/>
          <w:szCs w:val="18"/>
          <w:color w:val="auto"/>
        </w:rPr>
        <w:t>‑</w:t>
      </w:r>
      <w:r>
        <w:rPr>
          <w:rFonts w:ascii="Arial" w:cs="Arial" w:eastAsia="Arial" w:hAnsi="Arial"/>
          <w:sz w:val="18"/>
          <w:szCs w:val="18"/>
          <w:color w:val="auto"/>
        </w:rPr>
        <w:t>level payout (100% of shares granted) requires the Company to perform at the 50th percentile. To induce management to achieve greater than target</w:t>
      </w:r>
      <w:r>
        <w:rPr>
          <w:rFonts w:ascii="MS PGothic" w:cs="MS PGothic" w:eastAsia="MS PGothic" w:hAnsi="MS PGothic"/>
          <w:sz w:val="18"/>
          <w:szCs w:val="18"/>
          <w:color w:val="auto"/>
        </w:rPr>
        <w:t>‑</w:t>
      </w:r>
      <w:r>
        <w:rPr>
          <w:rFonts w:ascii="Arial" w:cs="Arial" w:eastAsia="Arial" w:hAnsi="Arial"/>
          <w:sz w:val="18"/>
          <w:szCs w:val="18"/>
          <w:color w:val="auto"/>
        </w:rPr>
        <w:t>level performance in a down market, in the event that the Company’s TSR performance declines by more than 20% over the performance period, the target</w:t>
      </w:r>
      <w:r>
        <w:rPr>
          <w:rFonts w:ascii="MS PGothic" w:cs="MS PGothic" w:eastAsia="MS PGothic" w:hAnsi="MS PGothic"/>
          <w:sz w:val="18"/>
          <w:szCs w:val="18"/>
          <w:color w:val="auto"/>
        </w:rPr>
        <w:t>‑</w:t>
      </w:r>
      <w:r>
        <w:rPr>
          <w:rFonts w:ascii="Arial" w:cs="Arial" w:eastAsia="Arial" w:hAnsi="Arial"/>
          <w:sz w:val="18"/>
          <w:szCs w:val="18"/>
          <w:color w:val="auto"/>
        </w:rPr>
        <w:t>level payout (100% of shares granted) will require an even greater achievement of a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the event relative performance is below the 25th percentile, the award is forfeited. In the event relative performance is between the 25th percentile and the 50th percentile (or the 60th percentile if our TSR performance declines by more than 20% over the performance period), payouts will be based on an interpolated calculation. In the event relative performance reaches the 50th percentile (or the 60th percentile as described above), 100% of the award will be paid. In the event relative performance is between the 50th percentile (or the 60th percentile as described above) and the 75th percentile, payouts will be based on an interpolated calculation. In the event that relative performance is at or above the 75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a maximum payout of 150% of the target will be paid with respect to RPSU awards granted in 2019. Beginning with respect to RPSUs granted in 2018 and continuing for grants of 2019 RPSUs, the maximum payout was (and remains) changed from 200% to 150%.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41"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color w:val="auto"/>
        </w:rPr>
        <w:t>The table below illustrates the design of our RPSUs in 2019.</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580" w:type="dxa"/>
            <w:vAlign w:val="bottom"/>
            <w:tcBorders>
              <w:top w:val="single" w:sz="8" w:color="auto"/>
              <w:left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Performance Targets</w:t>
            </w:r>
          </w:p>
        </w:tc>
        <w:tc>
          <w:tcPr>
            <w:tcW w:w="1740" w:type="dxa"/>
            <w:vAlign w:val="bottom"/>
            <w:tcBorders>
              <w:top w:val="single" w:sz="8" w:color="auto"/>
            </w:tcBorders>
          </w:tcPr>
          <w:p>
            <w:pPr>
              <w:spacing w:after="0"/>
              <w:rPr>
                <w:sz w:val="22"/>
                <w:szCs w:val="22"/>
                <w:color w:val="auto"/>
              </w:rPr>
            </w:pPr>
          </w:p>
        </w:tc>
        <w:tc>
          <w:tcPr>
            <w:tcW w:w="3840" w:type="dxa"/>
            <w:vAlign w:val="bottom"/>
            <w:tcBorders>
              <w:top w:val="single" w:sz="8" w:color="auto"/>
              <w:right w:val="single" w:sz="8" w:color="auto"/>
            </w:tcBorders>
            <w:gridSpan w:val="2"/>
          </w:tcPr>
          <w:p>
            <w:pPr>
              <w:jc w:val="center"/>
              <w:ind w:right="1570"/>
              <w:spacing w:after="0"/>
              <w:rPr>
                <w:sz w:val="20"/>
                <w:szCs w:val="20"/>
                <w:color w:val="auto"/>
              </w:rPr>
            </w:pPr>
            <w:r>
              <w:rPr>
                <w:rFonts w:ascii="Arial" w:cs="Arial" w:eastAsia="Arial" w:hAnsi="Arial"/>
                <w:sz w:val="18"/>
                <w:szCs w:val="18"/>
                <w:b w:val="1"/>
                <w:bCs w:val="1"/>
                <w:color w:val="auto"/>
                <w:w w:val="91"/>
              </w:rPr>
              <w:t>Performance Requirement</w:t>
            </w:r>
          </w:p>
        </w:tc>
        <w:tc>
          <w:tcPr>
            <w:tcW w:w="228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Payout Opportunity</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69"/>
        </w:trPr>
        <w:tc>
          <w:tcPr>
            <w:tcW w:w="3580" w:type="dxa"/>
            <w:vAlign w:val="bottom"/>
            <w:tcBorders>
              <w:left w:val="single" w:sz="8" w:color="auto"/>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Maximum</w:t>
            </w:r>
          </w:p>
        </w:tc>
        <w:tc>
          <w:tcPr>
            <w:tcW w:w="17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right w:val="single" w:sz="8" w:color="auto"/>
            </w:tcBorders>
            <w:gridSpan w:val="2"/>
            <w:shd w:val="clear" w:color="auto" w:fill="CCEEFF"/>
          </w:tcPr>
          <w:p>
            <w:pPr>
              <w:jc w:val="center"/>
              <w:ind w:right="1570"/>
              <w:spacing w:after="0"/>
              <w:rPr>
                <w:sz w:val="20"/>
                <w:szCs w:val="20"/>
                <w:color w:val="auto"/>
              </w:rPr>
            </w:pPr>
            <w:r>
              <w:rPr>
                <w:rFonts w:ascii="Arial" w:cs="Arial" w:eastAsia="Arial" w:hAnsi="Arial"/>
                <w:sz w:val="18"/>
                <w:szCs w:val="18"/>
                <w:color w:val="auto"/>
                <w:w w:val="90"/>
              </w:rPr>
              <w:t>75th percentile or above</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91"/>
        </w:trPr>
        <w:tc>
          <w:tcPr>
            <w:tcW w:w="3580" w:type="dxa"/>
            <w:vAlign w:val="bottom"/>
            <w:tcBorders>
              <w:top w:val="single" w:sz="8" w:color="auto"/>
              <w:left w:val="single" w:sz="8" w:color="auto"/>
              <w:right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420" w:type="dxa"/>
            <w:vAlign w:val="bottom"/>
            <w:tcBorders>
              <w:top w:val="single" w:sz="8" w:color="auto"/>
              <w:right w:val="single" w:sz="8" w:color="auto"/>
            </w:tcBorders>
          </w:tcPr>
          <w:p>
            <w:pPr>
              <w:spacing w:after="0"/>
              <w:rPr>
                <w:sz w:val="24"/>
                <w:szCs w:val="24"/>
                <w:color w:val="auto"/>
              </w:rPr>
            </w:pP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Modified Target:</w:t>
            </w:r>
          </w:p>
        </w:tc>
        <w:tc>
          <w:tcPr>
            <w:tcW w:w="2280" w:type="dxa"/>
            <w:vAlign w:val="bottom"/>
            <w:tcBorders>
              <w:top w:val="single" w:sz="8" w:color="auto"/>
              <w:right w:val="single" w:sz="8" w:color="auto"/>
            </w:tcBorders>
          </w:tcPr>
          <w:p>
            <w:pPr>
              <w:spacing w:after="0"/>
              <w:rPr>
                <w:sz w:val="24"/>
                <w:szCs w:val="24"/>
                <w:color w:val="auto"/>
              </w:rPr>
            </w:pPr>
          </w:p>
        </w:tc>
      </w:tr>
      <w:tr>
        <w:trPr>
          <w:trHeight w:val="324"/>
        </w:trPr>
        <w:tc>
          <w:tcPr>
            <w:tcW w:w="3580" w:type="dxa"/>
            <w:vAlign w:val="bottom"/>
            <w:tcBorders>
              <w:left w:val="single" w:sz="8" w:color="auto"/>
              <w:right w:val="single" w:sz="8" w:color="auto"/>
            </w:tcBorders>
          </w:tcPr>
          <w:p>
            <w:pPr>
              <w:spacing w:after="0"/>
              <w:rPr>
                <w:sz w:val="24"/>
                <w:szCs w:val="24"/>
                <w:color w:val="auto"/>
              </w:rPr>
            </w:pP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87"/>
              </w:rPr>
              <w:t>Standard Target:</w:t>
            </w:r>
          </w:p>
        </w:tc>
        <w:tc>
          <w:tcPr>
            <w:tcW w:w="420" w:type="dxa"/>
            <w:vAlign w:val="bottom"/>
            <w:tcBorders>
              <w:right w:val="single" w:sz="8" w:color="auto"/>
            </w:tcBorders>
          </w:tcPr>
          <w:p>
            <w:pPr>
              <w:spacing w:after="0"/>
              <w:rPr>
                <w:sz w:val="24"/>
                <w:szCs w:val="24"/>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60th percentile</w:t>
            </w:r>
          </w:p>
        </w:tc>
        <w:tc>
          <w:tcPr>
            <w:tcW w:w="2280" w:type="dxa"/>
            <w:vAlign w:val="bottom"/>
            <w:tcBorders>
              <w:right w:val="single" w:sz="8" w:color="auto"/>
            </w:tcBorders>
          </w:tcPr>
          <w:p>
            <w:pPr>
              <w:spacing w:after="0"/>
              <w:rPr>
                <w:sz w:val="24"/>
                <w:szCs w:val="24"/>
                <w:color w:val="auto"/>
              </w:rPr>
            </w:pPr>
          </w:p>
        </w:tc>
      </w:tr>
      <w:tr>
        <w:trPr>
          <w:trHeight w:val="378"/>
        </w:trPr>
        <w:tc>
          <w:tcPr>
            <w:tcW w:w="358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8"/>
                <w:szCs w:val="18"/>
                <w:i w:val="1"/>
                <w:iCs w:val="1"/>
                <w:color w:val="auto"/>
              </w:rPr>
              <w:t>Target</w:t>
            </w:r>
          </w:p>
        </w:tc>
        <w:tc>
          <w:tcPr>
            <w:tcW w:w="1740" w:type="dxa"/>
            <w:vAlign w:val="bottom"/>
          </w:tcPr>
          <w:p>
            <w:pPr>
              <w:jc w:val="center"/>
              <w:ind w:left="290"/>
              <w:spacing w:after="0"/>
              <w:rPr>
                <w:sz w:val="20"/>
                <w:szCs w:val="20"/>
                <w:color w:val="auto"/>
              </w:rPr>
            </w:pPr>
            <w:r>
              <w:rPr>
                <w:rFonts w:ascii="Arial" w:cs="Arial" w:eastAsia="Arial" w:hAnsi="Arial"/>
                <w:sz w:val="18"/>
                <w:szCs w:val="18"/>
                <w:color w:val="auto"/>
                <w:w w:val="91"/>
              </w:rPr>
              <w:t>50th percentile</w:t>
            </w:r>
          </w:p>
        </w:tc>
        <w:tc>
          <w:tcPr>
            <w:tcW w:w="420" w:type="dxa"/>
            <w:vAlign w:val="bottom"/>
            <w:tcBorders>
              <w:right w:val="single" w:sz="8" w:color="auto"/>
            </w:tcBorders>
          </w:tcPr>
          <w:p>
            <w:pPr>
              <w:spacing w:after="0"/>
              <w:rPr>
                <w:sz w:val="24"/>
                <w:szCs w:val="24"/>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(less than −20% absolute TSR)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69"/>
        </w:trPr>
        <w:tc>
          <w:tcPr>
            <w:tcW w:w="3580" w:type="dxa"/>
            <w:vAlign w:val="bottom"/>
            <w:tcBorders>
              <w:left w:val="single" w:sz="8" w:color="auto"/>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Threshold</w:t>
            </w:r>
          </w:p>
        </w:tc>
        <w:tc>
          <w:tcPr>
            <w:tcW w:w="1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right w:val="single" w:sz="8" w:color="CCEEFF"/>
            </w:tcBorders>
            <w:shd w:val="clear" w:color="auto" w:fill="CCEEFF"/>
          </w:tcPr>
          <w:p>
            <w:pPr>
              <w:spacing w:after="0"/>
              <w:rPr>
                <w:sz w:val="22"/>
                <w:szCs w:val="22"/>
                <w:color w:val="auto"/>
              </w:rPr>
            </w:pPr>
          </w:p>
        </w:tc>
        <w:tc>
          <w:tcPr>
            <w:tcW w:w="3420" w:type="dxa"/>
            <w:vAlign w:val="bottom"/>
            <w:tcBorders>
              <w:bottom w:val="single" w:sz="8" w:color="CCEEFF"/>
              <w:right w:val="single" w:sz="8" w:color="auto"/>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25th percentile</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r>
      <w:tr>
        <w:trPr>
          <w:trHeight w:val="237"/>
        </w:trPr>
        <w:tc>
          <w:tcPr>
            <w:tcW w:w="3580" w:type="dxa"/>
            <w:vAlign w:val="bottom"/>
            <w:tcBorders>
              <w:top w:val="single" w:sz="8" w:color="auto"/>
              <w:left w:val="single" w:sz="8" w:color="auto"/>
              <w:right w:val="single" w:sz="8" w:color="auto"/>
            </w:tcBorders>
          </w:tcPr>
          <w:p>
            <w:pPr>
              <w:ind w:left="380"/>
              <w:spacing w:after="0"/>
              <w:rPr>
                <w:sz w:val="20"/>
                <w:szCs w:val="20"/>
                <w:color w:val="auto"/>
              </w:rPr>
            </w:pPr>
            <w:r>
              <w:rPr>
                <w:rFonts w:ascii="Arial" w:cs="Arial" w:eastAsia="Arial" w:hAnsi="Arial"/>
                <w:sz w:val="18"/>
                <w:szCs w:val="18"/>
                <w:i w:val="1"/>
                <w:iCs w:val="1"/>
                <w:color w:val="auto"/>
              </w:rPr>
              <w:t>Below Threshold</w:t>
            </w:r>
          </w:p>
        </w:tc>
        <w:tc>
          <w:tcPr>
            <w:tcW w:w="1740" w:type="dxa"/>
            <w:vAlign w:val="bottom"/>
            <w:tcBorders>
              <w:top w:val="single" w:sz="8" w:color="auto"/>
            </w:tcBorders>
          </w:tcPr>
          <w:p>
            <w:pPr>
              <w:spacing w:after="0"/>
              <w:rPr>
                <w:sz w:val="20"/>
                <w:szCs w:val="20"/>
                <w:color w:val="auto"/>
              </w:rPr>
            </w:pPr>
          </w:p>
        </w:tc>
        <w:tc>
          <w:tcPr>
            <w:tcW w:w="3840" w:type="dxa"/>
            <w:vAlign w:val="bottom"/>
            <w:tcBorders>
              <w:top w:val="single" w:sz="8" w:color="auto"/>
              <w:right w:val="single" w:sz="8" w:color="auto"/>
            </w:tcBorders>
            <w:gridSpan w:val="2"/>
          </w:tcPr>
          <w:p>
            <w:pPr>
              <w:jc w:val="center"/>
              <w:ind w:right="1570"/>
              <w:spacing w:after="0"/>
              <w:rPr>
                <w:sz w:val="20"/>
                <w:szCs w:val="20"/>
                <w:color w:val="auto"/>
              </w:rPr>
            </w:pPr>
            <w:r>
              <w:rPr>
                <w:rFonts w:ascii="Arial" w:cs="Arial" w:eastAsia="Arial" w:hAnsi="Arial"/>
                <w:sz w:val="18"/>
                <w:szCs w:val="18"/>
                <w:color w:val="auto"/>
                <w:w w:val="91"/>
              </w:rPr>
              <w:t>Below 25th percentile</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right="20" w:firstLine="648"/>
        <w:spacing w:after="0" w:line="224" w:lineRule="exact"/>
        <w:rPr>
          <w:sz w:val="20"/>
          <w:szCs w:val="20"/>
          <w:color w:val="auto"/>
        </w:rPr>
      </w:pPr>
      <w:r>
        <w:rPr>
          <w:rFonts w:ascii="Arial" w:cs="Arial" w:eastAsia="Arial" w:hAnsi="Arial"/>
          <w:sz w:val="16"/>
          <w:szCs w:val="16"/>
          <w:color w:val="auto"/>
        </w:rPr>
        <w:t>Each RSU represents the right to receive one share of our Class C common stock after the completion of the vesting period. The RSUs granted to the NEOs in 2019 vest ratably, meaning that one</w:t>
      </w:r>
      <w:r>
        <w:rPr>
          <w:rFonts w:ascii="MS PGothic" w:cs="MS PGothic" w:eastAsia="MS PGothic" w:hAnsi="MS PGothic"/>
          <w:sz w:val="16"/>
          <w:szCs w:val="16"/>
          <w:color w:val="auto"/>
        </w:rPr>
        <w:t>‑</w:t>
      </w:r>
      <w:r>
        <w:rPr>
          <w:rFonts w:ascii="Arial" w:cs="Arial" w:eastAsia="Arial" w:hAnsi="Arial"/>
          <w:sz w:val="16"/>
          <w:szCs w:val="16"/>
          <w:color w:val="auto"/>
        </w:rPr>
        <w:t>third of the award vests each year on the anniversary of the grant date, over a three</w:t>
      </w:r>
      <w:r>
        <w:rPr>
          <w:rFonts w:ascii="MS PGothic" w:cs="MS PGothic" w:eastAsia="MS PGothic" w:hAnsi="MS PGothic"/>
          <w:sz w:val="16"/>
          <w:szCs w:val="16"/>
          <w:color w:val="auto"/>
        </w:rPr>
        <w:t>‑</w:t>
      </w:r>
      <w:r>
        <w:rPr>
          <w:rFonts w:ascii="Arial" w:cs="Arial" w:eastAsia="Arial" w:hAnsi="Arial"/>
          <w:sz w:val="16"/>
          <w:szCs w:val="16"/>
          <w:color w:val="auto"/>
        </w:rPr>
        <w:t>year period.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 Rights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awards of both RPSUs and RSUs, each NEO also receives DERs, which accrue with respect to the award to which they relate. DERs accrue only to the extent that the shares of Class C common stock underlying each award become vested and deliverable to the NEO. Accrued DERs are paid at the same time such shares are delivered to the NEO. Accordingly, DERs are forfeited if the underlying shares are forfeited.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Clawbacks</w:t>
      </w:r>
    </w:p>
    <w:p>
      <w:pPr>
        <w:spacing w:after="0" w:line="171" w:lineRule="exact"/>
        <w:rPr>
          <w:sz w:val="20"/>
          <w:szCs w:val="20"/>
          <w:color w:val="auto"/>
        </w:rPr>
      </w:pPr>
    </w:p>
    <w:p>
      <w:pPr>
        <w:jc w:val="both"/>
        <w:ind w:right="20" w:firstLine="648"/>
        <w:spacing w:after="0" w:line="219" w:lineRule="exact"/>
        <w:rPr>
          <w:sz w:val="20"/>
          <w:szCs w:val="20"/>
          <w:color w:val="auto"/>
        </w:rPr>
      </w:pPr>
      <w:r>
        <w:rPr>
          <w:rFonts w:ascii="Arial" w:cs="Arial" w:eastAsia="Arial" w:hAnsi="Arial"/>
          <w:sz w:val="18"/>
          <w:szCs w:val="18"/>
          <w:color w:val="auto"/>
        </w:rPr>
        <w:t>The Company has a “clawback” policy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the policy. The policy is incremental to other remedies that are available to the Company. In addition to our “clawback” policy, if the Company is required to restate its earnings as a result of noncompliance with a financial reporting requirement due to misconduct, under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(“SOX”), the CEO and the CFO would also be subject to a “clawback,” as required by SOX.</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17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All of our NEOs participate in the same retirement, life insurance, health and welfare plans. To generally support more complicated financial planning and estate planning matters, NEOs are eligible for reimbursement of annual tax return preparation, tax advice, financial planning and estate planning expenses. Mr. Sotos is eligible for a maximum reimbursement of $12,000 per year and the remaining NEOs are eligible for a maximum reimbursement of $3,000 per year.</w:t>
      </w:r>
    </w:p>
    <w:p>
      <w:pPr>
        <w:spacing w:after="0" w:line="13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Potential Severance and Change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In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Control Benefits</w:t>
      </w:r>
    </w:p>
    <w:p>
      <w:pPr>
        <w:spacing w:after="0" w:line="171" w:lineRule="exact"/>
        <w:rPr>
          <w:sz w:val="20"/>
          <w:szCs w:val="20"/>
          <w:color w:val="auto"/>
        </w:rPr>
      </w:pPr>
    </w:p>
    <w:p>
      <w:pPr>
        <w:jc w:val="both"/>
        <w:ind w:right="20" w:firstLine="648"/>
        <w:spacing w:after="0" w:line="219" w:lineRule="exact"/>
        <w:rPr>
          <w:sz w:val="20"/>
          <w:szCs w:val="20"/>
          <w:color w:val="auto"/>
        </w:rPr>
      </w:pPr>
      <w:r>
        <w:rPr>
          <w:rFonts w:ascii="Arial" w:cs="Arial" w:eastAsia="Arial" w:hAnsi="Arial"/>
          <w:sz w:val="17"/>
          <w:szCs w:val="17"/>
          <w:color w:val="auto"/>
        </w:rPr>
        <w:t>Each NEO’s RPSU and RSU award agreements under the LTIP provide for special treatment in the event of such NEO’s termination of employment under certain circumstances, including in connection with a change-in-control. Additionally, Mr. Sotos, pursuant to his employment agreement, and the remaining NEOs, pursuant to the Company’s Executive Change</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Control and General Severance Plan for Tier IA and Tier IIA Executives (the “CIC Plan”) as well as pursuant to the Compensation Committee’s discretion under the AIP, are entitled to additional severance payments and benefits in the event of termination of employment under certain circumstances, including following a change</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control.</w:t>
      </w:r>
    </w:p>
    <w:p>
      <w:pPr>
        <w:spacing w:after="0" w:line="151" w:lineRule="exact"/>
        <w:rPr>
          <w:sz w:val="20"/>
          <w:szCs w:val="20"/>
          <w:color w:val="auto"/>
        </w:rPr>
      </w:pPr>
    </w:p>
    <w:p>
      <w:pPr>
        <w:jc w:val="both"/>
        <w:ind w:right="20" w:firstLine="648"/>
        <w:spacing w:after="0" w:line="219" w:lineRule="exact"/>
        <w:rPr>
          <w:sz w:val="20"/>
          <w:szCs w:val="20"/>
          <w:color w:val="auto"/>
        </w:rPr>
      </w:pPr>
      <w:r>
        <w:rPr>
          <w:rFonts w:ascii="Arial" w:cs="Arial" w:eastAsia="Arial" w:hAnsi="Arial"/>
          <w:sz w:val="18"/>
          <w:szCs w:val="18"/>
          <w:color w:val="auto"/>
        </w:rPr>
        <w:t>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 arrangements are considered a market practice among many publicly</w:t>
      </w:r>
      <w:r>
        <w:rPr>
          <w:rFonts w:ascii="MS PGothic" w:cs="MS PGothic" w:eastAsia="MS PGothic" w:hAnsi="MS PGothic"/>
          <w:sz w:val="18"/>
          <w:szCs w:val="18"/>
          <w:color w:val="auto"/>
        </w:rPr>
        <w:t>‑</w:t>
      </w:r>
      <w:r>
        <w:rPr>
          <w:rFonts w:ascii="Arial" w:cs="Arial" w:eastAsia="Arial" w:hAnsi="Arial"/>
          <w:sz w:val="18"/>
          <w:szCs w:val="18"/>
          <w:color w:val="auto"/>
        </w:rPr>
        <w:t>held companies. Most often, these arrangements are utilized to encourage executives to remain with the company during periods of extreme job uncertainty and to ensure that any potential transaction is thoroughly and objectively evaluated. In order to enable a smooth transition during an interim period,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 arrangements provide a defined level of security for the executive and the company, enabling a more seamless implementation of a particular merger, acquisition or asset sale or purchase, and subsequent integration.</w:t>
      </w:r>
    </w:p>
    <w:p>
      <w:pPr>
        <w:spacing w:after="0" w:line="152" w:lineRule="exact"/>
        <w:rPr>
          <w:sz w:val="20"/>
          <w:szCs w:val="20"/>
          <w:color w:val="auto"/>
        </w:rPr>
      </w:pPr>
    </w:p>
    <w:p>
      <w:pPr>
        <w:jc w:val="both"/>
        <w:ind w:right="20" w:firstLine="648"/>
        <w:spacing w:after="0" w:line="223" w:lineRule="exact"/>
        <w:rPr>
          <w:sz w:val="20"/>
          <w:szCs w:val="20"/>
          <w:color w:val="auto"/>
        </w:rPr>
      </w:pPr>
      <w:r>
        <w:rPr>
          <w:rFonts w:ascii="Arial" w:cs="Arial" w:eastAsia="Arial" w:hAnsi="Arial"/>
          <w:sz w:val="18"/>
          <w:szCs w:val="18"/>
          <w:color w:val="auto"/>
        </w:rPr>
        <w:t>For a more detailed discussion, including the quantification of potential payments, please see the section entitled “Severance and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 following the executive compensation tables below.</w:t>
      </w: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40"/>
          </w:cols>
          <w:pgMar w:left="240" w:top="341" w:right="2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Compensation Committee and the Board require the CEO to hold Company stock with a value equal to 4.0 times his base salary until his separation from the Company. Senior Vice Presidents are required to hold Company stock with a value equal to 2.0 times their base salary until their separation from the Company. The Chief Accounting Officer is required to hold Company stock with a value of 1.5 times her base salary until her separation from the Company. Personal holdings and vested awards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February 24, 2020 is shown below. Mr. Sotos and Mr. Plotkin became subject to the stock ownership guidelines upon becoming NEOs in 2016. In addition, Mr. Malcarney and Ms. Stillwell became subject to the stock ownership guidelines upon becoming NEOs in 2018. All of our NEOs met or exceeded their stock ownership guidelines as of February 24,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jc w:val="center"/>
              <w:ind w:left="588"/>
              <w:spacing w:after="0"/>
              <w:rPr>
                <w:sz w:val="20"/>
                <w:szCs w:val="20"/>
                <w:color w:val="auto"/>
              </w:rPr>
            </w:pPr>
            <w:r>
              <w:rPr>
                <w:rFonts w:ascii="Arial" w:cs="Arial" w:eastAsia="Arial" w:hAnsi="Arial"/>
                <w:sz w:val="14"/>
                <w:szCs w:val="14"/>
                <w:b w:val="1"/>
                <w:bCs w:val="1"/>
                <w:color w:val="auto"/>
                <w:w w:val="94"/>
              </w:rPr>
              <w:t>Target Ownership</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640"/>
              <w:spacing w:after="0"/>
              <w:rPr>
                <w:sz w:val="20"/>
                <w:szCs w:val="20"/>
                <w:color w:val="auto"/>
              </w:rPr>
            </w:pPr>
            <w:r>
              <w:rPr>
                <w:rFonts w:ascii="Arial" w:cs="Arial" w:eastAsia="Arial" w:hAnsi="Arial"/>
                <w:sz w:val="14"/>
                <w:szCs w:val="14"/>
                <w:b w:val="1"/>
                <w:bCs w:val="1"/>
                <w:color w:val="auto"/>
              </w:rPr>
              <w:t>Actual Ownership</w:t>
            </w:r>
          </w:p>
        </w:tc>
      </w:tr>
      <w:tr>
        <w:trPr>
          <w:trHeight w:val="20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Borders>
              <w:bottom w:val="single" w:sz="8" w:color="CCEEFF"/>
            </w:tcBorders>
          </w:tcPr>
          <w:p>
            <w:pPr>
              <w:spacing w:after="0"/>
              <w:rPr>
                <w:sz w:val="17"/>
                <w:szCs w:val="17"/>
                <w:color w:val="auto"/>
              </w:rPr>
            </w:pPr>
          </w:p>
        </w:tc>
        <w:tc>
          <w:tcPr>
            <w:tcW w:w="2500" w:type="dxa"/>
            <w:vAlign w:val="bottom"/>
            <w:tcBorders>
              <w:bottom w:val="single" w:sz="8" w:color="auto"/>
            </w:tcBorders>
          </w:tcPr>
          <w:p>
            <w:pPr>
              <w:jc w:val="center"/>
              <w:ind w:left="608"/>
              <w:spacing w:after="0"/>
              <w:rPr>
                <w:sz w:val="20"/>
                <w:szCs w:val="20"/>
                <w:color w:val="auto"/>
              </w:rPr>
            </w:pPr>
            <w:r>
              <w:rPr>
                <w:rFonts w:ascii="Arial" w:cs="Arial" w:eastAsia="Arial" w:hAnsi="Arial"/>
                <w:sz w:val="14"/>
                <w:szCs w:val="14"/>
                <w:b w:val="1"/>
                <w:bCs w:val="1"/>
                <w:color w:val="auto"/>
              </w:rPr>
              <w:t>Multiple</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Multiple</w:t>
            </w: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Christopher S. Sotos</w:t>
            </w:r>
          </w:p>
        </w:tc>
        <w:tc>
          <w:tcPr>
            <w:tcW w:w="2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4.0x</w:t>
            </w:r>
          </w:p>
        </w:tc>
        <w:tc>
          <w:tcPr>
            <w:tcW w:w="240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8"/>
                <w:szCs w:val="18"/>
                <w:color w:val="auto"/>
                <w:w w:val="93"/>
              </w:rPr>
              <w:t>8.8x</w:t>
            </w: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Chad Plotkin</w:t>
            </w:r>
          </w:p>
        </w:tc>
        <w:tc>
          <w:tcPr>
            <w:tcW w:w="2500" w:type="dxa"/>
            <w:vAlign w:val="bottom"/>
          </w:tcPr>
          <w:p>
            <w:pPr>
              <w:spacing w:after="0"/>
              <w:rPr>
                <w:sz w:val="21"/>
                <w:szCs w:val="21"/>
                <w:color w:val="auto"/>
              </w:rPr>
            </w:pP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2.0x</w:t>
            </w:r>
          </w:p>
        </w:tc>
        <w:tc>
          <w:tcPr>
            <w:tcW w:w="2400" w:type="dxa"/>
            <w:vAlign w:val="bottom"/>
          </w:tcPr>
          <w:p>
            <w:pPr>
              <w:ind w:left="2060"/>
              <w:spacing w:after="0"/>
              <w:rPr>
                <w:sz w:val="20"/>
                <w:szCs w:val="20"/>
                <w:color w:val="auto"/>
              </w:rPr>
            </w:pPr>
            <w:r>
              <w:rPr>
                <w:rFonts w:ascii="Arial" w:cs="Arial" w:eastAsia="Arial" w:hAnsi="Arial"/>
                <w:sz w:val="18"/>
                <w:szCs w:val="18"/>
                <w:color w:val="auto"/>
                <w:w w:val="93"/>
              </w:rPr>
              <w:t>3.5x</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Kevin P. Malcarney</w:t>
            </w:r>
          </w:p>
        </w:tc>
        <w:tc>
          <w:tcPr>
            <w:tcW w:w="2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2.0x</w:t>
            </w:r>
          </w:p>
        </w:tc>
        <w:tc>
          <w:tcPr>
            <w:tcW w:w="240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8"/>
                <w:szCs w:val="18"/>
                <w:color w:val="auto"/>
                <w:w w:val="93"/>
              </w:rPr>
              <w:t>3.4x</w:t>
            </w:r>
          </w:p>
        </w:tc>
      </w:tr>
      <w:tr>
        <w:trPr>
          <w:trHeight w:val="243"/>
        </w:trPr>
        <w:tc>
          <w:tcPr>
            <w:tcW w:w="574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Mary</w:t>
            </w:r>
            <w:r>
              <w:rPr>
                <w:rFonts w:ascii="MS PGothic" w:cs="MS PGothic" w:eastAsia="MS PGothic" w:hAnsi="MS PGothic"/>
                <w:sz w:val="18"/>
                <w:szCs w:val="18"/>
                <w:color w:val="auto"/>
              </w:rPr>
              <w:t>‑</w:t>
            </w:r>
            <w:r>
              <w:rPr>
                <w:rFonts w:ascii="Arial" w:cs="Arial" w:eastAsia="Arial" w:hAnsi="Arial"/>
                <w:sz w:val="18"/>
                <w:szCs w:val="18"/>
                <w:color w:val="auto"/>
              </w:rPr>
              <w:t>Lee Stillwell</w:t>
            </w:r>
          </w:p>
        </w:tc>
        <w:tc>
          <w:tcPr>
            <w:tcW w:w="2500" w:type="dxa"/>
            <w:vAlign w:val="bottom"/>
          </w:tcPr>
          <w:p>
            <w:pPr>
              <w:spacing w:after="0"/>
              <w:rPr>
                <w:sz w:val="21"/>
                <w:szCs w:val="21"/>
                <w:color w:val="auto"/>
              </w:rPr>
            </w:pP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1.5x</w:t>
            </w:r>
          </w:p>
        </w:tc>
        <w:tc>
          <w:tcPr>
            <w:tcW w:w="2400" w:type="dxa"/>
            <w:vAlign w:val="bottom"/>
          </w:tcPr>
          <w:p>
            <w:pPr>
              <w:ind w:left="2060"/>
              <w:spacing w:after="0"/>
              <w:rPr>
                <w:sz w:val="20"/>
                <w:szCs w:val="20"/>
                <w:color w:val="auto"/>
              </w:rPr>
            </w:pPr>
            <w:r>
              <w:rPr>
                <w:rFonts w:ascii="Arial" w:cs="Arial" w:eastAsia="Arial" w:hAnsi="Arial"/>
                <w:sz w:val="18"/>
                <w:szCs w:val="18"/>
                <w:color w:val="auto"/>
                <w:w w:val="93"/>
              </w:rPr>
              <w:t>2.4x</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71"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Section 162(m) of the Internal Revenue Code (the “Code”) precludes us, as a public company, from taking a tax deduction for individual compensation to certain of our executive officers in excess of $1 million, subject to certain exemptions. Prior to 2018, the exemptions included an exclusion of performance</w:t>
      </w:r>
      <w:r>
        <w:rPr>
          <w:rFonts w:ascii="MS PGothic" w:cs="MS PGothic" w:eastAsia="MS PGothic" w:hAnsi="MS PGothic"/>
          <w:sz w:val="17"/>
          <w:szCs w:val="17"/>
          <w:color w:val="auto"/>
        </w:rPr>
        <w:t>‑</w:t>
      </w:r>
      <w:r>
        <w:rPr>
          <w:rFonts w:ascii="Arial" w:cs="Arial" w:eastAsia="Arial" w:hAnsi="Arial"/>
          <w:sz w:val="17"/>
          <w:szCs w:val="17"/>
          <w:color w:val="auto"/>
        </w:rPr>
        <w:t>based compensation within the meaning of Section 162(m) of the Code (“Section 162(m)”). The Tax Cuts and Jobs Act, enacted in December 2017, however, amended Section 162(m) and eliminated the exclusion of performance</w:t>
      </w:r>
      <w:r>
        <w:rPr>
          <w:rFonts w:ascii="MS PGothic" w:cs="MS PGothic" w:eastAsia="MS PGothic" w:hAnsi="MS PGothic"/>
          <w:sz w:val="17"/>
          <w:szCs w:val="17"/>
          <w:color w:val="auto"/>
        </w:rPr>
        <w:t>‑</w:t>
      </w:r>
      <w:r>
        <w:rPr>
          <w:rFonts w:ascii="Arial" w:cs="Arial" w:eastAsia="Arial" w:hAnsi="Arial"/>
          <w:sz w:val="17"/>
          <w:szCs w:val="17"/>
          <w:color w:val="auto"/>
        </w:rPr>
        <w:t>based compensation from the $1 million limit, subject to certain new exemptions for performance</w:t>
      </w:r>
      <w:r>
        <w:rPr>
          <w:rFonts w:ascii="MS PGothic" w:cs="MS PGothic" w:eastAsia="MS PGothic" w:hAnsi="MS PGothic"/>
          <w:sz w:val="17"/>
          <w:szCs w:val="17"/>
          <w:color w:val="auto"/>
        </w:rPr>
        <w:t>‑</w:t>
      </w:r>
      <w:r>
        <w:rPr>
          <w:rFonts w:ascii="Arial" w:cs="Arial" w:eastAsia="Arial" w:hAnsi="Arial"/>
          <w:sz w:val="17"/>
          <w:szCs w:val="17"/>
          <w:color w:val="auto"/>
        </w:rPr>
        <w:t>based compensation that is “grandfathered” for purposes of amended Section 162(m). The Compensation Committee believes tax deductibility of compensation is an important consideration and continues to consider the implications of legislative changes to Section 162(m) and the possible effect of exemptions for grandfathered compensation.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150"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w:t>
      </w:r>
      <w:r>
        <w:rPr>
          <w:rFonts w:ascii="MS PGothic" w:cs="MS PGothic" w:eastAsia="MS PGothic" w:hAnsi="MS PGothic"/>
          <w:sz w:val="18"/>
          <w:szCs w:val="18"/>
          <w:color w:val="auto"/>
        </w:rPr>
        <w:t>‑</w:t>
      </w:r>
      <w:r>
        <w:rPr>
          <w:rFonts w:ascii="Arial" w:cs="Arial" w:eastAsia="Arial" w:hAnsi="Arial"/>
          <w:sz w:val="18"/>
          <w:szCs w:val="18"/>
          <w:color w:val="auto"/>
        </w:rPr>
        <w:t>term goals.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41" w:right="239" w:bottom="1440" w:gutter="0" w:footer="0" w:header="0"/>
        </w:sectPr>
      </w:pPr>
    </w:p>
    <w:bookmarkStart w:id="70" w:name="page71"/>
    <w:bookmarkEnd w:id="70"/>
    <w:p>
      <w:pPr>
        <w:ind w:right="1740"/>
        <w:spacing w:after="0" w:line="452" w:lineRule="auto"/>
        <w:rPr>
          <w:sz w:val="20"/>
          <w:szCs w:val="20"/>
          <w:color w:val="auto"/>
        </w:rPr>
      </w:pPr>
      <w:r>
        <w:rPr>
          <w:rFonts w:ascii="Arial" w:cs="Arial" w:eastAsia="Arial" w:hAnsi="Arial"/>
          <w:sz w:val="18"/>
          <w:szCs w:val="18"/>
          <w:b w:val="1"/>
          <w:bCs w:val="1"/>
          <w:i w:val="1"/>
          <w:iCs w:val="1"/>
          <w:color w:val="auto"/>
        </w:rPr>
        <w:t xml:space="preserve">Compensation Tables </w:t>
      </w:r>
      <w:r>
        <w:rPr>
          <w:rFonts w:ascii="Arial" w:cs="Arial" w:eastAsia="Arial" w:hAnsi="Arial"/>
          <w:sz w:val="18"/>
          <w:szCs w:val="18"/>
          <w:b w:val="1"/>
          <w:bCs w:val="1"/>
          <w:color w:val="auto"/>
        </w:rPr>
        <w:t>Summary Compensation Table Fiscal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Salary</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Bonus</w:t>
            </w:r>
          </w:p>
        </w:tc>
      </w:tr>
      <w:tr>
        <w:trPr>
          <w:trHeight w:val="21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4"/>
              </w:rPr>
              <w:t>Name and Principal Position</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188"/>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8"/>
                <w:szCs w:val="8"/>
                <w:b w:val="1"/>
                <w:bCs w:val="1"/>
                <w:color w:val="auto"/>
              </w:rPr>
              <w:t>(1)</w:t>
            </w:r>
          </w:p>
        </w:tc>
        <w:tc>
          <w:tcPr>
            <w:tcW w:w="140" w:type="dxa"/>
            <w:vAlign w:val="bottom"/>
          </w:tcPr>
          <w:p>
            <w:pPr>
              <w:spacing w:after="0"/>
              <w:rPr>
                <w:sz w:val="18"/>
                <w:szCs w:val="18"/>
                <w:color w:val="auto"/>
              </w:rPr>
            </w:pP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r>
      <w:tr>
        <w:trPr>
          <w:trHeight w:val="252"/>
        </w:trPr>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rPr>
              <w:t>Christopher S. Sotos</w:t>
            </w:r>
          </w:p>
        </w:tc>
        <w:tc>
          <w:tcPr>
            <w:tcW w:w="820" w:type="dxa"/>
            <w:vAlign w:val="bottom"/>
          </w:tcPr>
          <w:p>
            <w:pPr>
              <w:jc w:val="right"/>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606,304</w:t>
            </w:r>
          </w:p>
        </w:tc>
        <w:tc>
          <w:tcPr>
            <w:tcW w:w="140" w:type="dxa"/>
            <w:vAlign w:val="bottom"/>
          </w:tcPr>
          <w:p>
            <w:pPr>
              <w:spacing w:after="0"/>
              <w:rPr>
                <w:sz w:val="21"/>
                <w:szCs w:val="21"/>
                <w:color w:val="auto"/>
              </w:rPr>
            </w:pPr>
          </w:p>
        </w:tc>
        <w:tc>
          <w:tcPr>
            <w:tcW w:w="800" w:type="dxa"/>
            <w:vAlign w:val="bottom"/>
          </w:tcPr>
          <w:p>
            <w:pPr>
              <w:ind w:left="600"/>
              <w:spacing w:after="0"/>
              <w:rPr>
                <w:sz w:val="20"/>
                <w:szCs w:val="20"/>
                <w:color w:val="auto"/>
              </w:rPr>
            </w:pPr>
            <w:r>
              <w:rPr>
                <w:rFonts w:ascii="Arial" w:cs="Arial" w:eastAsia="Arial" w:hAnsi="Arial"/>
                <w:sz w:val="18"/>
                <w:szCs w:val="18"/>
                <w:b w:val="1"/>
                <w:bCs w:val="1"/>
                <w:color w:val="auto"/>
                <w:w w:val="99"/>
              </w:rPr>
              <w:t>—</w:t>
            </w: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President and Chief</w:t>
            </w:r>
          </w:p>
        </w:tc>
        <w:tc>
          <w:tcPr>
            <w:tcW w:w="820" w:type="dxa"/>
            <w:vAlign w:val="bottom"/>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500,000</w:t>
            </w:r>
          </w:p>
        </w:tc>
        <w:tc>
          <w:tcPr>
            <w:tcW w:w="140" w:type="dxa"/>
            <w:vAlign w:val="bottom"/>
          </w:tcPr>
          <w:p>
            <w:pPr>
              <w:spacing w:after="0"/>
              <w:rPr>
                <w:sz w:val="23"/>
                <w:szCs w:val="23"/>
                <w:color w:val="auto"/>
              </w:rPr>
            </w:pPr>
          </w:p>
        </w:tc>
        <w:tc>
          <w:tcPr>
            <w:tcW w:w="800" w:type="dxa"/>
            <w:vAlign w:val="bottom"/>
          </w:tcPr>
          <w:p>
            <w:pPr>
              <w:ind w:left="600"/>
              <w:spacing w:after="0"/>
              <w:rPr>
                <w:sz w:val="20"/>
                <w:szCs w:val="20"/>
                <w:color w:val="auto"/>
              </w:rPr>
            </w:pPr>
            <w:r>
              <w:rPr>
                <w:rFonts w:ascii="Arial" w:cs="Arial" w:eastAsia="Arial" w:hAnsi="Arial"/>
                <w:sz w:val="18"/>
                <w:szCs w:val="18"/>
                <w:b w:val="1"/>
                <w:bCs w:val="1"/>
                <w:color w:val="auto"/>
                <w:w w:val="99"/>
              </w:rPr>
              <w:t>—</w:t>
            </w: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Executive Officer</w:t>
            </w:r>
          </w:p>
        </w:tc>
        <w:tc>
          <w:tcPr>
            <w:tcW w:w="820" w:type="dxa"/>
            <w:vAlign w:val="bottom"/>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500,000</w:t>
            </w:r>
          </w:p>
        </w:tc>
        <w:tc>
          <w:tcPr>
            <w:tcW w:w="140" w:type="dxa"/>
            <w:vAlign w:val="bottom"/>
          </w:tcPr>
          <w:p>
            <w:pPr>
              <w:spacing w:after="0"/>
              <w:rPr>
                <w:sz w:val="23"/>
                <w:szCs w:val="23"/>
                <w:color w:val="auto"/>
              </w:rPr>
            </w:pPr>
          </w:p>
        </w:tc>
        <w:tc>
          <w:tcPr>
            <w:tcW w:w="800" w:type="dxa"/>
            <w:vAlign w:val="bottom"/>
          </w:tcPr>
          <w:p>
            <w:pPr>
              <w:ind w:left="600"/>
              <w:spacing w:after="0"/>
              <w:rPr>
                <w:sz w:val="20"/>
                <w:szCs w:val="20"/>
                <w:color w:val="auto"/>
              </w:rPr>
            </w:pPr>
            <w:r>
              <w:rPr>
                <w:rFonts w:ascii="Arial" w:cs="Arial" w:eastAsia="Arial" w:hAnsi="Arial"/>
                <w:sz w:val="18"/>
                <w:szCs w:val="18"/>
                <w:b w:val="1"/>
                <w:bCs w:val="1"/>
                <w:color w:val="auto"/>
                <w:w w:val="99"/>
              </w:rPr>
              <w:t>—</w:t>
            </w: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Chad Plotkin</w:t>
            </w:r>
          </w:p>
        </w:tc>
        <w:tc>
          <w:tcPr>
            <w:tcW w:w="820" w:type="dxa"/>
            <w:vAlign w:val="bottom"/>
          </w:tcPr>
          <w:p>
            <w:pPr>
              <w:jc w:val="right"/>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378,731</w:t>
            </w:r>
          </w:p>
        </w:tc>
        <w:tc>
          <w:tcPr>
            <w:tcW w:w="140" w:type="dxa"/>
            <w:vAlign w:val="bottom"/>
          </w:tcPr>
          <w:p>
            <w:pPr>
              <w:spacing w:after="0"/>
              <w:rPr>
                <w:sz w:val="23"/>
                <w:szCs w:val="23"/>
                <w:color w:val="auto"/>
              </w:rPr>
            </w:pPr>
          </w:p>
        </w:tc>
        <w:tc>
          <w:tcPr>
            <w:tcW w:w="800" w:type="dxa"/>
            <w:vAlign w:val="bottom"/>
          </w:tcPr>
          <w:p>
            <w:pPr>
              <w:ind w:left="600"/>
              <w:spacing w:after="0"/>
              <w:rPr>
                <w:sz w:val="20"/>
                <w:szCs w:val="20"/>
                <w:color w:val="auto"/>
              </w:rPr>
            </w:pPr>
            <w:r>
              <w:rPr>
                <w:rFonts w:ascii="Arial" w:cs="Arial" w:eastAsia="Arial" w:hAnsi="Arial"/>
                <w:sz w:val="18"/>
                <w:szCs w:val="18"/>
                <w:b w:val="1"/>
                <w:bCs w:val="1"/>
                <w:color w:val="auto"/>
                <w:w w:val="99"/>
              </w:rPr>
              <w:t>—</w:t>
            </w: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Senior Vice President</w:t>
            </w:r>
          </w:p>
        </w:tc>
        <w:tc>
          <w:tcPr>
            <w:tcW w:w="820" w:type="dxa"/>
            <w:vAlign w:val="bottom"/>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350,000</w:t>
            </w:r>
          </w:p>
        </w:tc>
        <w:tc>
          <w:tcPr>
            <w:tcW w:w="140" w:type="dxa"/>
            <w:vAlign w:val="bottom"/>
          </w:tcPr>
          <w:p>
            <w:pPr>
              <w:spacing w:after="0"/>
              <w:rPr>
                <w:sz w:val="23"/>
                <w:szCs w:val="23"/>
                <w:color w:val="auto"/>
              </w:rPr>
            </w:pPr>
          </w:p>
        </w:tc>
        <w:tc>
          <w:tcPr>
            <w:tcW w:w="800" w:type="dxa"/>
            <w:vAlign w:val="bottom"/>
          </w:tcPr>
          <w:p>
            <w:pPr>
              <w:ind w:left="600"/>
              <w:spacing w:after="0"/>
              <w:rPr>
                <w:sz w:val="20"/>
                <w:szCs w:val="20"/>
                <w:color w:val="auto"/>
              </w:rPr>
            </w:pPr>
            <w:r>
              <w:rPr>
                <w:rFonts w:ascii="Arial" w:cs="Arial" w:eastAsia="Arial" w:hAnsi="Arial"/>
                <w:sz w:val="18"/>
                <w:szCs w:val="18"/>
                <w:b w:val="1"/>
                <w:bCs w:val="1"/>
                <w:color w:val="auto"/>
                <w:w w:val="99"/>
              </w:rPr>
              <w:t>—</w:t>
            </w: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and Chief Financial</w:t>
            </w:r>
          </w:p>
        </w:tc>
        <w:tc>
          <w:tcPr>
            <w:tcW w:w="820" w:type="dxa"/>
            <w:vAlign w:val="bottom"/>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350,000</w:t>
            </w:r>
          </w:p>
        </w:tc>
        <w:tc>
          <w:tcPr>
            <w:tcW w:w="140" w:type="dxa"/>
            <w:vAlign w:val="bottom"/>
          </w:tcPr>
          <w:p>
            <w:pPr>
              <w:spacing w:after="0"/>
              <w:rPr>
                <w:sz w:val="23"/>
                <w:szCs w:val="23"/>
                <w:color w:val="auto"/>
              </w:rPr>
            </w:pPr>
          </w:p>
        </w:tc>
        <w:tc>
          <w:tcPr>
            <w:tcW w:w="800" w:type="dxa"/>
            <w:vAlign w:val="bottom"/>
          </w:tcPr>
          <w:p>
            <w:pPr>
              <w:ind w:left="600"/>
              <w:spacing w:after="0"/>
              <w:rPr>
                <w:sz w:val="20"/>
                <w:szCs w:val="20"/>
                <w:color w:val="auto"/>
              </w:rPr>
            </w:pPr>
            <w:r>
              <w:rPr>
                <w:rFonts w:ascii="Arial" w:cs="Arial" w:eastAsia="Arial" w:hAnsi="Arial"/>
                <w:sz w:val="18"/>
                <w:szCs w:val="18"/>
                <w:b w:val="1"/>
                <w:bCs w:val="1"/>
                <w:color w:val="auto"/>
                <w:w w:val="99"/>
              </w:rPr>
              <w:t>—</w:t>
            </w: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Officer</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1960" w:type="dxa"/>
            <w:vAlign w:val="bottom"/>
            <w:gridSpan w:val="2"/>
          </w:tcPr>
          <w:p>
            <w:pPr>
              <w:ind w:left="220"/>
              <w:spacing w:after="0"/>
              <w:rPr>
                <w:sz w:val="20"/>
                <w:szCs w:val="20"/>
                <w:color w:val="auto"/>
              </w:rPr>
            </w:pPr>
            <w:r>
              <w:rPr>
                <w:rFonts w:ascii="Arial" w:cs="Arial" w:eastAsia="Arial" w:hAnsi="Arial"/>
                <w:sz w:val="14"/>
                <w:szCs w:val="14"/>
                <w:b w:val="1"/>
                <w:bCs w:val="1"/>
                <w:color w:val="auto"/>
              </w:rPr>
              <w:t>Kevin P. Malcarney</w:t>
            </w:r>
            <w:r>
              <w:rPr>
                <w:rFonts w:ascii="Arial" w:cs="Arial" w:eastAsia="Arial" w:hAnsi="Arial"/>
                <w:sz w:val="8"/>
                <w:szCs w:val="8"/>
                <w:color w:val="auto"/>
              </w:rPr>
              <w:t>(5)</w:t>
            </w:r>
          </w:p>
        </w:tc>
        <w:tc>
          <w:tcPr>
            <w:tcW w:w="820" w:type="dxa"/>
            <w:vAlign w:val="bottom"/>
          </w:tcPr>
          <w:p>
            <w:pPr>
              <w:jc w:val="right"/>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300,000</w:t>
            </w:r>
          </w:p>
        </w:tc>
        <w:tc>
          <w:tcPr>
            <w:tcW w:w="140" w:type="dxa"/>
            <w:vAlign w:val="bottom"/>
          </w:tcPr>
          <w:p>
            <w:pPr>
              <w:spacing w:after="0"/>
              <w:rPr>
                <w:sz w:val="23"/>
                <w:szCs w:val="23"/>
                <w:color w:val="auto"/>
              </w:rPr>
            </w:pPr>
          </w:p>
        </w:tc>
        <w:tc>
          <w:tcPr>
            <w:tcW w:w="800" w:type="dxa"/>
            <w:vAlign w:val="bottom"/>
          </w:tcPr>
          <w:p>
            <w:pPr>
              <w:ind w:left="600"/>
              <w:spacing w:after="0"/>
              <w:rPr>
                <w:sz w:val="20"/>
                <w:szCs w:val="20"/>
                <w:color w:val="auto"/>
              </w:rPr>
            </w:pPr>
            <w:r>
              <w:rPr>
                <w:rFonts w:ascii="Arial" w:cs="Arial" w:eastAsia="Arial" w:hAnsi="Arial"/>
                <w:sz w:val="18"/>
                <w:szCs w:val="18"/>
                <w:b w:val="1"/>
                <w:bCs w:val="1"/>
                <w:color w:val="auto"/>
                <w:w w:val="99"/>
              </w:rPr>
              <w:t>—</w:t>
            </w: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Senior Vice President,</w:t>
            </w:r>
          </w:p>
        </w:tc>
        <w:tc>
          <w:tcPr>
            <w:tcW w:w="820" w:type="dxa"/>
            <w:vAlign w:val="bottom"/>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180,000</w:t>
            </w:r>
          </w:p>
        </w:tc>
        <w:tc>
          <w:tcPr>
            <w:tcW w:w="140" w:type="dxa"/>
            <w:vAlign w:val="bottom"/>
          </w:tcPr>
          <w:p>
            <w:pPr>
              <w:spacing w:after="0"/>
              <w:rPr>
                <w:sz w:val="23"/>
                <w:szCs w:val="23"/>
                <w:color w:val="auto"/>
              </w:rPr>
            </w:pPr>
          </w:p>
        </w:tc>
        <w:tc>
          <w:tcPr>
            <w:tcW w:w="800" w:type="dxa"/>
            <w:vAlign w:val="bottom"/>
          </w:tcPr>
          <w:p>
            <w:pPr>
              <w:ind w:left="600"/>
              <w:spacing w:after="0"/>
              <w:rPr>
                <w:sz w:val="20"/>
                <w:szCs w:val="20"/>
                <w:color w:val="auto"/>
              </w:rPr>
            </w:pPr>
            <w:r>
              <w:rPr>
                <w:rFonts w:ascii="Arial" w:cs="Arial" w:eastAsia="Arial" w:hAnsi="Arial"/>
                <w:sz w:val="18"/>
                <w:szCs w:val="18"/>
                <w:b w:val="1"/>
                <w:bCs w:val="1"/>
                <w:color w:val="auto"/>
                <w:w w:val="99"/>
              </w:rPr>
              <w:t>—</w:t>
            </w: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General Counsel and</w:t>
            </w:r>
          </w:p>
        </w:tc>
        <w:tc>
          <w:tcPr>
            <w:tcW w:w="820" w:type="dxa"/>
            <w:vAlign w:val="bottom"/>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ind w:left="600"/>
              <w:spacing w:after="0"/>
              <w:rPr>
                <w:sz w:val="20"/>
                <w:szCs w:val="20"/>
                <w:color w:val="auto"/>
              </w:rPr>
            </w:pPr>
            <w:r>
              <w:rPr>
                <w:rFonts w:ascii="Arial" w:cs="Arial" w:eastAsia="Arial" w:hAnsi="Arial"/>
                <w:sz w:val="18"/>
                <w:szCs w:val="18"/>
                <w:b w:val="1"/>
                <w:bCs w:val="1"/>
                <w:color w:val="auto"/>
                <w:w w:val="99"/>
              </w:rPr>
              <w:t>—</w:t>
            </w: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Corporate Secretary</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1960" w:type="dxa"/>
            <w:vAlign w:val="bottom"/>
            <w:gridSpan w:val="2"/>
          </w:tcPr>
          <w:p>
            <w:pPr>
              <w:ind w:left="220"/>
              <w:spacing w:after="0" w:line="161" w:lineRule="exact"/>
              <w:rPr>
                <w:sz w:val="20"/>
                <w:szCs w:val="20"/>
                <w:color w:val="auto"/>
              </w:rPr>
            </w:pPr>
            <w:r>
              <w:rPr>
                <w:rFonts w:ascii="Arial" w:cs="Arial" w:eastAsia="Arial" w:hAnsi="Arial"/>
                <w:sz w:val="14"/>
                <w:szCs w:val="14"/>
                <w:b w:val="1"/>
                <w:bCs w:val="1"/>
                <w:color w:val="auto"/>
              </w:rPr>
              <w:t>Mary</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Lee Stillwell</w:t>
            </w:r>
            <w:r>
              <w:rPr>
                <w:rFonts w:ascii="Arial" w:cs="Arial" w:eastAsia="Arial" w:hAnsi="Arial"/>
                <w:sz w:val="8"/>
                <w:szCs w:val="8"/>
                <w:color w:val="auto"/>
              </w:rPr>
              <w:t>(6)</w:t>
            </w:r>
          </w:p>
        </w:tc>
        <w:tc>
          <w:tcPr>
            <w:tcW w:w="820" w:type="dxa"/>
            <w:vAlign w:val="bottom"/>
          </w:tcPr>
          <w:p>
            <w:pPr>
              <w:jc w:val="right"/>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295,000</w:t>
            </w:r>
          </w:p>
        </w:tc>
        <w:tc>
          <w:tcPr>
            <w:tcW w:w="140" w:type="dxa"/>
            <w:vAlign w:val="bottom"/>
          </w:tcPr>
          <w:p>
            <w:pPr>
              <w:spacing w:after="0"/>
              <w:rPr>
                <w:sz w:val="23"/>
                <w:szCs w:val="23"/>
                <w:color w:val="auto"/>
              </w:rPr>
            </w:pPr>
          </w:p>
        </w:tc>
        <w:tc>
          <w:tcPr>
            <w:tcW w:w="800" w:type="dxa"/>
            <w:vAlign w:val="bottom"/>
          </w:tcPr>
          <w:p>
            <w:pPr>
              <w:ind w:left="600"/>
              <w:spacing w:after="0"/>
              <w:rPr>
                <w:sz w:val="20"/>
                <w:szCs w:val="20"/>
                <w:color w:val="auto"/>
              </w:rPr>
            </w:pPr>
            <w:r>
              <w:rPr>
                <w:rFonts w:ascii="Arial" w:cs="Arial" w:eastAsia="Arial" w:hAnsi="Arial"/>
                <w:sz w:val="18"/>
                <w:szCs w:val="18"/>
                <w:b w:val="1"/>
                <w:bCs w:val="1"/>
                <w:color w:val="auto"/>
                <w:w w:val="99"/>
              </w:rPr>
              <w:t>—</w:t>
            </w: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Chief Accounting</w:t>
            </w:r>
          </w:p>
        </w:tc>
        <w:tc>
          <w:tcPr>
            <w:tcW w:w="820" w:type="dxa"/>
            <w:vAlign w:val="bottom"/>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86,231</w:t>
            </w:r>
          </w:p>
        </w:tc>
        <w:tc>
          <w:tcPr>
            <w:tcW w:w="140" w:type="dxa"/>
            <w:vAlign w:val="bottom"/>
          </w:tcPr>
          <w:p>
            <w:pPr>
              <w:spacing w:after="0"/>
              <w:rPr>
                <w:sz w:val="23"/>
                <w:szCs w:val="23"/>
                <w:color w:val="auto"/>
              </w:rPr>
            </w:pPr>
          </w:p>
        </w:tc>
        <w:tc>
          <w:tcPr>
            <w:tcW w:w="800" w:type="dxa"/>
            <w:vAlign w:val="bottom"/>
          </w:tcPr>
          <w:p>
            <w:pPr>
              <w:ind w:left="600"/>
              <w:spacing w:after="0"/>
              <w:rPr>
                <w:sz w:val="20"/>
                <w:szCs w:val="20"/>
                <w:color w:val="auto"/>
              </w:rPr>
            </w:pPr>
            <w:r>
              <w:rPr>
                <w:rFonts w:ascii="Arial" w:cs="Arial" w:eastAsia="Arial" w:hAnsi="Arial"/>
                <w:sz w:val="18"/>
                <w:szCs w:val="18"/>
                <w:b w:val="1"/>
                <w:bCs w:val="1"/>
                <w:color w:val="auto"/>
                <w:w w:val="99"/>
              </w:rPr>
              <w:t>—</w:t>
            </w: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Officer</w:t>
            </w:r>
          </w:p>
        </w:tc>
        <w:tc>
          <w:tcPr>
            <w:tcW w:w="820" w:type="dxa"/>
            <w:vAlign w:val="bottom"/>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ind w:left="600"/>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414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Change in</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Pension</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Value and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Nonqualified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20"/>
              <w:spacing w:after="0" w:line="161" w:lineRule="exact"/>
              <w:rPr>
                <w:sz w:val="20"/>
                <w:szCs w:val="20"/>
                <w:color w:val="auto"/>
              </w:rPr>
            </w:pPr>
            <w:r>
              <w:rPr>
                <w:rFonts w:ascii="Arial" w:cs="Arial" w:eastAsia="Arial" w:hAnsi="Arial"/>
                <w:sz w:val="14"/>
                <w:szCs w:val="14"/>
                <w:b w:val="1"/>
                <w:bCs w:val="1"/>
                <w:color w:val="auto"/>
                <w:w w:val="96"/>
              </w:rPr>
              <w:t>Non</w:t>
            </w:r>
            <w:r>
              <w:rPr>
                <w:rFonts w:ascii="MS PGothic" w:cs="MS PGothic" w:eastAsia="MS PGothic" w:hAnsi="MS PGothic"/>
                <w:sz w:val="14"/>
                <w:szCs w:val="14"/>
                <w:b w:val="1"/>
                <w:bCs w:val="1"/>
                <w:color w:val="auto"/>
                <w:w w:val="96"/>
              </w:rPr>
              <w:t>‑</w:t>
            </w:r>
            <w:r>
              <w:rPr>
                <w:rFonts w:ascii="Arial" w:cs="Arial" w:eastAsia="Arial" w:hAnsi="Arial"/>
                <w:sz w:val="14"/>
                <w:szCs w:val="14"/>
                <w:b w:val="1"/>
                <w:bCs w:val="1"/>
                <w:color w:val="auto"/>
                <w:w w:val="96"/>
              </w:rPr>
              <w:t>Equity</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Deferred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Stock</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Incentive Plan</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Compensation</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020" w:type="dxa"/>
            <w:vAlign w:val="bottom"/>
          </w:tcPr>
          <w:p>
            <w:pPr>
              <w:spacing w:after="0"/>
              <w:rPr>
                <w:sz w:val="14"/>
                <w:szCs w:val="14"/>
                <w:color w:val="auto"/>
              </w:rPr>
            </w:pPr>
          </w:p>
        </w:tc>
      </w:tr>
      <w:tr>
        <w:trPr>
          <w:trHeight w:val="16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Awards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Compensation</w:t>
            </w:r>
          </w:p>
        </w:tc>
        <w:tc>
          <w:tcPr>
            <w:tcW w:w="102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12"/>
        </w:trPr>
        <w:tc>
          <w:tcPr>
            <w:tcW w:w="104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24"/>
                <w:szCs w:val="24"/>
                <w:b w:val="1"/>
                <w:bCs w:val="1"/>
                <w:color w:val="auto"/>
                <w:w w:val="95"/>
                <w:vertAlign w:val="subscript"/>
              </w:rPr>
              <w:t>($)</w:t>
            </w:r>
            <w:r>
              <w:rPr>
                <w:rFonts w:ascii="Arial" w:cs="Arial" w:eastAsia="Arial" w:hAnsi="Arial"/>
                <w:sz w:val="8"/>
                <w:szCs w:val="8"/>
                <w:b w:val="1"/>
                <w:bCs w:val="1"/>
                <w:color w:val="auto"/>
                <w:w w:val="95"/>
              </w:rPr>
              <w:t>(2)</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24"/>
                <w:szCs w:val="24"/>
                <w:b w:val="1"/>
                <w:bCs w:val="1"/>
                <w:color w:val="auto"/>
                <w:w w:val="95"/>
                <w:vertAlign w:val="subscript"/>
              </w:rPr>
              <w:t>($)</w:t>
            </w:r>
            <w:r>
              <w:rPr>
                <w:rFonts w:ascii="Arial" w:cs="Arial" w:eastAsia="Arial" w:hAnsi="Arial"/>
                <w:sz w:val="8"/>
                <w:szCs w:val="8"/>
                <w:b w:val="1"/>
                <w:bCs w:val="1"/>
                <w:color w:val="auto"/>
                <w:w w:val="95"/>
              </w:rPr>
              <w:t>(3)</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24"/>
                <w:szCs w:val="24"/>
                <w:b w:val="1"/>
                <w:bCs w:val="1"/>
                <w:color w:val="auto"/>
                <w:w w:val="88"/>
                <w:vertAlign w:val="subscript"/>
              </w:rPr>
              <w:t>($)</w:t>
            </w:r>
            <w:r>
              <w:rPr>
                <w:rFonts w:ascii="Arial" w:cs="Arial" w:eastAsia="Arial" w:hAnsi="Arial"/>
                <w:sz w:val="8"/>
                <w:szCs w:val="8"/>
                <w:b w:val="1"/>
                <w:bCs w:val="1"/>
                <w:color w:val="auto"/>
                <w:w w:val="88"/>
              </w:rPr>
              <w:t>(4)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r>
      <w:tr>
        <w:trPr>
          <w:trHeight w:val="252"/>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1,527,522</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906,235</w:t>
            </w:r>
          </w:p>
        </w:tc>
        <w:tc>
          <w:tcPr>
            <w:tcW w:w="120" w:type="dxa"/>
            <w:vAlign w:val="bottom"/>
          </w:tcPr>
          <w:p>
            <w:pPr>
              <w:spacing w:after="0"/>
              <w:rPr>
                <w:sz w:val="21"/>
                <w:szCs w:val="21"/>
                <w:color w:val="auto"/>
              </w:rPr>
            </w:pP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14,882</w:t>
            </w:r>
          </w:p>
        </w:tc>
        <w:tc>
          <w:tcPr>
            <w:tcW w:w="1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3,054,942</w:t>
            </w:r>
          </w:p>
        </w:tc>
      </w:tr>
      <w:tr>
        <w:trPr>
          <w:trHeight w:val="270"/>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1,250,021</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626,809</w:t>
            </w:r>
          </w:p>
        </w:tc>
        <w:tc>
          <w:tcPr>
            <w:tcW w:w="120" w:type="dxa"/>
            <w:vAlign w:val="bottom"/>
          </w:tcPr>
          <w:p>
            <w:pPr>
              <w:spacing w:after="0"/>
              <w:rPr>
                <w:sz w:val="23"/>
                <w:szCs w:val="23"/>
                <w:color w:val="auto"/>
              </w:rPr>
            </w:pP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21,350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2,398,180</w:t>
            </w:r>
          </w:p>
        </w:tc>
      </w:tr>
      <w:tr>
        <w:trPr>
          <w:trHeight w:val="270"/>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1,250,008</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685,000</w:t>
            </w:r>
          </w:p>
        </w:tc>
        <w:tc>
          <w:tcPr>
            <w:tcW w:w="120" w:type="dxa"/>
            <w:vAlign w:val="bottom"/>
          </w:tcPr>
          <w:p>
            <w:pPr>
              <w:spacing w:after="0"/>
              <w:rPr>
                <w:sz w:val="23"/>
                <w:szCs w:val="23"/>
                <w:color w:val="auto"/>
              </w:rPr>
            </w:pP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22,750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2,457,758</w:t>
            </w:r>
          </w:p>
        </w:tc>
      </w:tr>
      <w:tr>
        <w:trPr>
          <w:trHeight w:val="270"/>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475,020</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338,170</w:t>
            </w:r>
          </w:p>
        </w:tc>
        <w:tc>
          <w:tcPr>
            <w:tcW w:w="120" w:type="dxa"/>
            <w:vAlign w:val="bottom"/>
          </w:tcPr>
          <w:p>
            <w:pPr>
              <w:spacing w:after="0"/>
              <w:rPr>
                <w:sz w:val="23"/>
                <w:szCs w:val="23"/>
                <w:color w:val="auto"/>
              </w:rPr>
            </w:pP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15,200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1,207,120</w:t>
            </w:r>
          </w:p>
        </w:tc>
      </w:tr>
      <w:tr>
        <w:trPr>
          <w:trHeight w:val="270"/>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350,019</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219,383</w:t>
            </w:r>
          </w:p>
        </w:tc>
        <w:tc>
          <w:tcPr>
            <w:tcW w:w="120" w:type="dxa"/>
            <w:vAlign w:val="bottom"/>
          </w:tcPr>
          <w:p>
            <w:pPr>
              <w:spacing w:after="0"/>
              <w:rPr>
                <w:sz w:val="23"/>
                <w:szCs w:val="23"/>
                <w:color w:val="auto"/>
              </w:rPr>
            </w:pP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22,602</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942,004</w:t>
            </w:r>
          </w:p>
        </w:tc>
      </w:tr>
      <w:tr>
        <w:trPr>
          <w:trHeight w:val="270"/>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350,007</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239,750</w:t>
            </w:r>
          </w:p>
        </w:tc>
        <w:tc>
          <w:tcPr>
            <w:tcW w:w="120" w:type="dxa"/>
            <w:vAlign w:val="bottom"/>
          </w:tcPr>
          <w:p>
            <w:pPr>
              <w:spacing w:after="0"/>
              <w:rPr>
                <w:sz w:val="23"/>
                <w:szCs w:val="23"/>
                <w:color w:val="auto"/>
              </w:rPr>
            </w:pP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24,248</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964,005</w:t>
            </w:r>
          </w:p>
        </w:tc>
      </w:tr>
      <w:tr>
        <w:trPr>
          <w:trHeight w:val="540"/>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300,019</w:t>
            </w:r>
          </w:p>
        </w:tc>
        <w:tc>
          <w:tcPr>
            <w:tcW w:w="1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170,568</w:t>
            </w:r>
          </w:p>
        </w:tc>
        <w:tc>
          <w:tcPr>
            <w:tcW w:w="120" w:type="dxa"/>
            <w:vAlign w:val="bottom"/>
          </w:tcPr>
          <w:p>
            <w:pPr>
              <w:spacing w:after="0"/>
              <w:rPr>
                <w:sz w:val="24"/>
                <w:szCs w:val="24"/>
                <w:color w:val="auto"/>
              </w:rPr>
            </w:pP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11,077</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781,663</w:t>
            </w:r>
          </w:p>
        </w:tc>
      </w:tr>
      <w:tr>
        <w:trPr>
          <w:trHeight w:val="270"/>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589,868</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96,855</w:t>
            </w:r>
          </w:p>
        </w:tc>
        <w:tc>
          <w:tcPr>
            <w:tcW w:w="120" w:type="dxa"/>
            <w:vAlign w:val="bottom"/>
          </w:tcPr>
          <w:p>
            <w:pPr>
              <w:spacing w:after="0"/>
              <w:rPr>
                <w:sz w:val="23"/>
                <w:szCs w:val="23"/>
                <w:color w:val="auto"/>
              </w:rPr>
            </w:pP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867,223</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540"/>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221,261</w:t>
            </w:r>
          </w:p>
        </w:tc>
        <w:tc>
          <w:tcPr>
            <w:tcW w:w="1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175,018</w:t>
            </w:r>
          </w:p>
        </w:tc>
        <w:tc>
          <w:tcPr>
            <w:tcW w:w="120" w:type="dxa"/>
            <w:vAlign w:val="bottom"/>
          </w:tcPr>
          <w:p>
            <w:pPr>
              <w:spacing w:after="0"/>
              <w:rPr>
                <w:sz w:val="24"/>
                <w:szCs w:val="24"/>
                <w:color w:val="auto"/>
              </w:rPr>
            </w:pP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10,892</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702,171</w:t>
            </w:r>
          </w:p>
        </w:tc>
      </w:tr>
      <w:tr>
        <w:trPr>
          <w:trHeight w:val="270"/>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556,336</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49,849</w:t>
            </w:r>
          </w:p>
        </w:tc>
        <w:tc>
          <w:tcPr>
            <w:tcW w:w="120" w:type="dxa"/>
            <w:vAlign w:val="bottom"/>
          </w:tcPr>
          <w:p>
            <w:pPr>
              <w:spacing w:after="0"/>
              <w:rPr>
                <w:sz w:val="23"/>
                <w:szCs w:val="23"/>
                <w:color w:val="auto"/>
              </w:rPr>
            </w:pP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692,416</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-2401570</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-2049780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-1706880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-1363980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-1021080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-677545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-334645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120"/>
            <w:col w:w="6660"/>
          </w:cols>
          <w:pgMar w:left="240" w:top="341" w:right="239" w:bottom="1440" w:gutter="0" w:footer="0" w:header="0"/>
        </w:sectPr>
      </w:pPr>
    </w:p>
    <w:p>
      <w:pPr>
        <w:spacing w:after="0" w:line="171" w:lineRule="exact"/>
        <w:rPr>
          <w:sz w:val="20"/>
          <w:szCs w:val="20"/>
          <w:color w:val="auto"/>
        </w:rPr>
      </w:pPr>
    </w:p>
    <w:p>
      <w:pPr>
        <w:ind w:left="140" w:hanging="132"/>
        <w:spacing w:after="0"/>
        <w:tabs>
          <w:tab w:leader="none" w:pos="140" w:val="left"/>
        </w:tabs>
        <w:numPr>
          <w:ilvl w:val="0"/>
          <w:numId w:val="42"/>
        </w:numPr>
        <w:rPr>
          <w:rFonts w:ascii="Arial" w:cs="Arial" w:eastAsia="Arial" w:hAnsi="Arial"/>
          <w:sz w:val="9"/>
          <w:szCs w:val="9"/>
          <w:color w:val="auto"/>
        </w:rPr>
      </w:pPr>
      <w:r>
        <w:rPr>
          <w:rFonts w:ascii="Arial" w:cs="Arial" w:eastAsia="Arial" w:hAnsi="Arial"/>
          <w:sz w:val="14"/>
          <w:szCs w:val="14"/>
          <w:color w:val="auto"/>
        </w:rPr>
        <w:t>Reflects base salary earnings.</w:t>
      </w:r>
    </w:p>
    <w:p>
      <w:pPr>
        <w:spacing w:after="0" w:line="13" w:lineRule="exact"/>
        <w:rPr>
          <w:rFonts w:ascii="Arial" w:cs="Arial" w:eastAsia="Arial" w:hAnsi="Arial"/>
          <w:sz w:val="9"/>
          <w:szCs w:val="9"/>
          <w:color w:val="auto"/>
        </w:rPr>
      </w:pPr>
    </w:p>
    <w:p>
      <w:pPr>
        <w:jc w:val="both"/>
        <w:ind w:firstLine="8"/>
        <w:spacing w:after="0" w:line="241" w:lineRule="auto"/>
        <w:tabs>
          <w:tab w:leader="none" w:pos="141" w:val="left"/>
        </w:tabs>
        <w:numPr>
          <w:ilvl w:val="0"/>
          <w:numId w:val="42"/>
        </w:numPr>
        <w:rPr>
          <w:rFonts w:ascii="Arial" w:cs="Arial" w:eastAsia="Arial" w:hAnsi="Arial"/>
          <w:sz w:val="9"/>
          <w:szCs w:val="9"/>
          <w:color w:val="auto"/>
        </w:rPr>
      </w:pPr>
      <w:r>
        <w:rPr>
          <w:rFonts w:ascii="Arial" w:cs="Arial" w:eastAsia="Arial" w:hAnsi="Arial"/>
          <w:sz w:val="14"/>
          <w:szCs w:val="14"/>
          <w:color w:val="auto"/>
        </w:rPr>
        <w:t>Reflects the grant date fair value determined in accordance with the Financial Accounting Standards Board Accounting Standards Codification Topic 718, Comparison - Stock Compensation. Clearway Energy, Inc. uses the Company's Class C common stock price on the date of grant as the fair value of the Company's RSUs. The fair value of RPSUs is estimated on the date of grant using a Monte Carlo simulation model. For performance-based RPSUs granted in 2019, if the maximum level of performance is achieved, the fair value will be approximately $1,535,162 for Mr. Sotos, $477,388 for Mr. Plotkin and $301,523 for Mr. Malcarney.</w:t>
      </w:r>
    </w:p>
    <w:p>
      <w:pPr>
        <w:spacing w:after="0" w:line="1" w:lineRule="exact"/>
        <w:rPr>
          <w:rFonts w:ascii="Arial" w:cs="Arial" w:eastAsia="Arial" w:hAnsi="Arial"/>
          <w:sz w:val="9"/>
          <w:szCs w:val="9"/>
          <w:color w:val="auto"/>
        </w:rPr>
      </w:pPr>
    </w:p>
    <w:p>
      <w:pPr>
        <w:ind w:firstLine="8"/>
        <w:spacing w:after="0" w:line="241" w:lineRule="auto"/>
        <w:tabs>
          <w:tab w:leader="none" w:pos="141" w:val="left"/>
        </w:tabs>
        <w:numPr>
          <w:ilvl w:val="0"/>
          <w:numId w:val="42"/>
        </w:numPr>
        <w:rPr>
          <w:rFonts w:ascii="Arial" w:cs="Arial" w:eastAsia="Arial" w:hAnsi="Arial"/>
          <w:sz w:val="9"/>
          <w:szCs w:val="9"/>
          <w:color w:val="auto"/>
        </w:rPr>
      </w:pPr>
      <w:r>
        <w:rPr>
          <w:rFonts w:ascii="Arial" w:cs="Arial" w:eastAsia="Arial" w:hAnsi="Arial"/>
          <w:sz w:val="14"/>
          <w:szCs w:val="14"/>
          <w:color w:val="auto"/>
        </w:rPr>
        <w:t>The amounts shown in this column represent the annual incentive bonuses paid to the NEOs. Further information regarding the annual incentive bonuses is included in the “2019 Annual Incentive Bonuses” section of this CD&amp;A.</w:t>
      </w:r>
    </w:p>
    <w:p>
      <w:pPr>
        <w:jc w:val="both"/>
        <w:ind w:firstLine="8"/>
        <w:spacing w:after="0" w:line="248" w:lineRule="auto"/>
        <w:tabs>
          <w:tab w:leader="none" w:pos="141" w:val="left"/>
        </w:tabs>
        <w:numPr>
          <w:ilvl w:val="0"/>
          <w:numId w:val="42"/>
        </w:numPr>
        <w:rPr>
          <w:rFonts w:ascii="Arial" w:cs="Arial" w:eastAsia="Arial" w:hAnsi="Arial"/>
          <w:sz w:val="9"/>
          <w:szCs w:val="9"/>
          <w:color w:val="auto"/>
        </w:rPr>
      </w:pPr>
      <w:r>
        <w:rPr>
          <w:rFonts w:ascii="Arial" w:cs="Arial" w:eastAsia="Arial" w:hAnsi="Arial"/>
          <w:sz w:val="14"/>
          <w:szCs w:val="14"/>
          <w:color w:val="auto"/>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not including the financial advisor’s travel or out-of-pocket expenses; and when applicable, the Company’s discretionary contribution to the 401(k) plan. The following table identifies the additional compensation for each NEO.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41" w:right="2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left="428"/>
              <w:spacing w:after="0"/>
              <w:rPr>
                <w:sz w:val="20"/>
                <w:szCs w:val="20"/>
                <w:color w:val="auto"/>
              </w:rPr>
            </w:pPr>
            <w:r>
              <w:rPr>
                <w:rFonts w:ascii="Arial" w:cs="Arial" w:eastAsia="Arial" w:hAnsi="Arial"/>
                <w:sz w:val="14"/>
                <w:szCs w:val="14"/>
                <w:b w:val="1"/>
                <w:bCs w:val="1"/>
                <w:color w:val="auto"/>
                <w:w w:val="96"/>
              </w:rPr>
              <w:t>Life and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401(k)</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left="428"/>
              <w:spacing w:after="0"/>
              <w:rPr>
                <w:sz w:val="20"/>
                <w:szCs w:val="20"/>
                <w:color w:val="auto"/>
              </w:rPr>
            </w:pPr>
            <w:r>
              <w:rPr>
                <w:rFonts w:ascii="Arial" w:cs="Arial" w:eastAsia="Arial" w:hAnsi="Arial"/>
                <w:sz w:val="14"/>
                <w:szCs w:val="14"/>
                <w:b w:val="1"/>
                <w:bCs w:val="1"/>
                <w:color w:val="auto"/>
                <w:w w:val="96"/>
              </w:rPr>
              <w:t>Disability</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left="448"/>
              <w:spacing w:after="0"/>
              <w:rPr>
                <w:sz w:val="20"/>
                <w:szCs w:val="20"/>
                <w:color w:val="auto"/>
              </w:rPr>
            </w:pPr>
            <w:r>
              <w:rPr>
                <w:rFonts w:ascii="Arial" w:cs="Arial" w:eastAsia="Arial" w:hAnsi="Arial"/>
                <w:sz w:val="14"/>
                <w:szCs w:val="14"/>
                <w:b w:val="1"/>
                <w:bCs w:val="1"/>
                <w:color w:val="auto"/>
                <w:w w:val="95"/>
              </w:rPr>
              <w:t>Financial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Employer</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401(k)</w:t>
            </w:r>
          </w:p>
        </w:tc>
        <w:tc>
          <w:tcPr>
            <w:tcW w:w="158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left="428"/>
              <w:spacing w:after="0"/>
              <w:rPr>
                <w:sz w:val="20"/>
                <w:szCs w:val="20"/>
                <w:color w:val="auto"/>
              </w:rPr>
            </w:pPr>
            <w:r>
              <w:rPr>
                <w:rFonts w:ascii="Arial" w:cs="Arial" w:eastAsia="Arial" w:hAnsi="Arial"/>
                <w:sz w:val="14"/>
                <w:szCs w:val="14"/>
                <w:b w:val="1"/>
                <w:bCs w:val="1"/>
                <w:color w:val="auto"/>
                <w:w w:val="90"/>
              </w:rPr>
              <w:t>Insurance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left="448"/>
              <w:spacing w:after="0"/>
              <w:rPr>
                <w:sz w:val="20"/>
                <w:szCs w:val="20"/>
                <w:color w:val="auto"/>
              </w:rPr>
            </w:pPr>
            <w:r>
              <w:rPr>
                <w:rFonts w:ascii="Arial" w:cs="Arial" w:eastAsia="Arial" w:hAnsi="Arial"/>
                <w:sz w:val="14"/>
                <w:szCs w:val="14"/>
                <w:b w:val="1"/>
                <w:bCs w:val="1"/>
                <w:color w:val="auto"/>
                <w:w w:val="95"/>
              </w:rPr>
              <w:t>Advisor</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Matching</w:t>
            </w: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Discretionary</w:t>
            </w:r>
          </w:p>
        </w:tc>
        <w:tc>
          <w:tcPr>
            <w:tcW w:w="158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Reimbursement</w:t>
            </w:r>
          </w:p>
        </w:tc>
        <w:tc>
          <w:tcPr>
            <w:tcW w:w="1220" w:type="dxa"/>
            <w:vAlign w:val="bottom"/>
          </w:tcPr>
          <w:p>
            <w:pPr>
              <w:jc w:val="center"/>
              <w:ind w:left="448"/>
              <w:spacing w:after="0"/>
              <w:rPr>
                <w:sz w:val="20"/>
                <w:szCs w:val="20"/>
                <w:color w:val="auto"/>
              </w:rPr>
            </w:pPr>
            <w:r>
              <w:rPr>
                <w:rFonts w:ascii="Arial" w:cs="Arial" w:eastAsia="Arial" w:hAnsi="Arial"/>
                <w:sz w:val="14"/>
                <w:szCs w:val="14"/>
                <w:b w:val="1"/>
                <w:bCs w:val="1"/>
                <w:color w:val="auto"/>
                <w:w w:val="86"/>
              </w:rPr>
              <w:t>Services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Contribution</w:t>
            </w: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Contribution</w:t>
            </w:r>
          </w:p>
        </w:tc>
        <w:tc>
          <w:tcPr>
            <w:tcW w:w="1580" w:type="dxa"/>
            <w:vAlign w:val="bottom"/>
          </w:tcPr>
          <w:p>
            <w:pPr>
              <w:jc w:val="right"/>
              <w:ind w:right="568"/>
              <w:spacing w:after="0"/>
              <w:rPr>
                <w:sz w:val="20"/>
                <w:szCs w:val="20"/>
                <w:color w:val="auto"/>
              </w:rPr>
            </w:pPr>
            <w:r>
              <w:rPr>
                <w:rFonts w:ascii="Arial" w:cs="Arial" w:eastAsia="Arial" w:hAnsi="Arial"/>
                <w:sz w:val="14"/>
                <w:szCs w:val="14"/>
                <w:b w:val="1"/>
                <w:bCs w:val="1"/>
                <w:color w:val="auto"/>
              </w:rPr>
              <w:t>Total</w:t>
            </w:r>
          </w:p>
        </w:tc>
      </w:tr>
      <w:tr>
        <w:trPr>
          <w:trHeight w:val="206"/>
        </w:trPr>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3"/>
              </w:rPr>
              <w:t>($)</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r>
      <w:tr>
        <w:trPr>
          <w:trHeight w:val="25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Christopher S. Sotos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2,682</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11,200</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14,882</w:t>
            </w:r>
          </w:p>
        </w:tc>
      </w:tr>
      <w:tr>
        <w:trPr>
          <w:trHeight w:val="264"/>
        </w:trPr>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2,250</w:t>
            </w:r>
          </w:p>
        </w:tc>
        <w:tc>
          <w:tcPr>
            <w:tcW w:w="100" w:type="dxa"/>
            <w:vAlign w:val="bottom"/>
          </w:tcPr>
          <w:p>
            <w:pPr>
              <w:spacing w:after="0"/>
              <w:rPr>
                <w:sz w:val="22"/>
                <w:szCs w:val="22"/>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11,000</w:t>
            </w:r>
          </w:p>
        </w:tc>
        <w:tc>
          <w:tcPr>
            <w:tcW w:w="10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8,100</w:t>
            </w:r>
          </w:p>
        </w:tc>
        <w:tc>
          <w:tcPr>
            <w:tcW w:w="10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21,350</w:t>
            </w:r>
          </w:p>
        </w:tc>
      </w:tr>
      <w:tr>
        <w:trPr>
          <w:trHeight w:val="276"/>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7,950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22,750</w:t>
            </w: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Chad Plotkin</w:t>
            </w:r>
          </w:p>
        </w:tc>
        <w:tc>
          <w:tcPr>
            <w:tcW w:w="700" w:type="dxa"/>
            <w:vAlign w:val="bottom"/>
          </w:tcPr>
          <w:p>
            <w:pPr>
              <w:jc w:val="right"/>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2"/>
                <w:szCs w:val="22"/>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11,200</w:t>
            </w:r>
          </w:p>
        </w:tc>
        <w:tc>
          <w:tcPr>
            <w:tcW w:w="10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15,200</w:t>
            </w:r>
          </w:p>
        </w:tc>
      </w:tr>
      <w:tr>
        <w:trPr>
          <w:trHeight w:val="276"/>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11,502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8,100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22,602</w:t>
            </w:r>
          </w:p>
        </w:tc>
      </w:tr>
      <w:tr>
        <w:trPr>
          <w:trHeight w:val="264"/>
        </w:trPr>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2"/>
                <w:szCs w:val="22"/>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10,298</w:t>
            </w:r>
          </w:p>
        </w:tc>
        <w:tc>
          <w:tcPr>
            <w:tcW w:w="10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7,950</w:t>
            </w:r>
          </w:p>
        </w:tc>
        <w:tc>
          <w:tcPr>
            <w:tcW w:w="10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24,248</w:t>
            </w: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Kevin P. Malcarney</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11,077</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11,077</w:t>
            </w:r>
          </w:p>
        </w:tc>
      </w:tr>
      <w:tr>
        <w:trPr>
          <w:trHeight w:val="264"/>
        </w:trPr>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2"/>
                <w:szCs w:val="22"/>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500</w:t>
            </w:r>
          </w:p>
        </w:tc>
      </w:tr>
      <w:tr>
        <w:trPr>
          <w:trHeight w:val="276"/>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1840" w:type="dxa"/>
            <w:vAlign w:val="bottom"/>
            <w:gridSpan w:val="2"/>
          </w:tcPr>
          <w:p>
            <w:pPr>
              <w:ind w:left="40"/>
              <w:spacing w:after="0" w:line="161" w:lineRule="exact"/>
              <w:rPr>
                <w:sz w:val="20"/>
                <w:szCs w:val="20"/>
                <w:color w:val="auto"/>
              </w:rPr>
            </w:pPr>
            <w:r>
              <w:rPr>
                <w:rFonts w:ascii="Arial" w:cs="Arial" w:eastAsia="Arial" w:hAnsi="Arial"/>
                <w:sz w:val="14"/>
                <w:szCs w:val="14"/>
                <w:b w:val="1"/>
                <w:bCs w:val="1"/>
                <w:color w:val="auto"/>
              </w:rPr>
              <w:t>Mary</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Lee Stillwell</w:t>
            </w:r>
          </w:p>
        </w:tc>
        <w:tc>
          <w:tcPr>
            <w:tcW w:w="700" w:type="dxa"/>
            <w:vAlign w:val="bottom"/>
          </w:tcPr>
          <w:p>
            <w:pPr>
              <w:jc w:val="right"/>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10,892</w:t>
            </w:r>
          </w:p>
        </w:tc>
        <w:tc>
          <w:tcPr>
            <w:tcW w:w="10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10,892</w:t>
            </w:r>
          </w:p>
        </w:tc>
      </w:tr>
      <w:tr>
        <w:trPr>
          <w:trHeight w:val="276"/>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4147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51"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Malcarney was appointed as Senior Vice President, General Counsel &amp; Corporate Secretary on May 11, 2018.</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Ms. Stillwell was appointed as Chief Accounting Officer on August 31, 2018.</w:t>
      </w:r>
    </w:p>
    <w:p>
      <w:pPr>
        <w:spacing w:after="0" w:line="20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Grants of Plan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2019</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All Other</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Grant</w:t>
            </w: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5"/>
              </w:rPr>
              <w:t>Estimated Possible Payouts</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Awards: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Fair Value</w:t>
            </w: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Under</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Estimated Future Payouts</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Number</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5"/>
              </w:rPr>
              <w:t>of Stock</w:t>
            </w: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tcPr>
          <w:p>
            <w:pPr>
              <w:jc w:val="center"/>
              <w:ind w:right="80"/>
              <w:spacing w:after="0" w:line="150" w:lineRule="exact"/>
              <w:rPr>
                <w:sz w:val="20"/>
                <w:szCs w:val="20"/>
                <w:color w:val="auto"/>
              </w:rPr>
            </w:pPr>
            <w:r>
              <w:rPr>
                <w:rFonts w:ascii="Arial" w:cs="Arial" w:eastAsia="Arial" w:hAnsi="Arial"/>
                <w:sz w:val="13"/>
                <w:szCs w:val="13"/>
                <w:b w:val="1"/>
                <w:bCs w:val="1"/>
                <w:color w:val="auto"/>
                <w:w w:val="89"/>
              </w:rPr>
              <w:t>Non</w:t>
            </w:r>
            <w:r>
              <w:rPr>
                <w:rFonts w:ascii="MS PGothic" w:cs="MS PGothic" w:eastAsia="MS PGothic" w:hAnsi="MS PGothic"/>
                <w:sz w:val="13"/>
                <w:szCs w:val="13"/>
                <w:b w:val="1"/>
                <w:bCs w:val="1"/>
                <w:color w:val="auto"/>
                <w:w w:val="89"/>
              </w:rPr>
              <w:t>‑</w:t>
            </w:r>
            <w:r>
              <w:rPr>
                <w:rFonts w:ascii="Arial" w:cs="Arial" w:eastAsia="Arial" w:hAnsi="Arial"/>
                <w:sz w:val="13"/>
                <w:szCs w:val="13"/>
                <w:b w:val="1"/>
                <w:bCs w:val="1"/>
                <w:color w:val="auto"/>
                <w:w w:val="89"/>
              </w:rPr>
              <w:t>Equity Incentive</w:t>
            </w:r>
          </w:p>
        </w:tc>
        <w:tc>
          <w:tcPr>
            <w:tcW w:w="268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0"/>
              </w:rPr>
              <w:t>Under Equity Incentive</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of Shares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and</w:t>
            </w:r>
          </w:p>
        </w:tc>
      </w:tr>
      <w:tr>
        <w:trPr>
          <w:trHeight w:val="164"/>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Plan Awards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Plan Awards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1"/>
              </w:rPr>
              <w:t>of Stock</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r>
      <w:tr>
        <w:trPr>
          <w:trHeight w:val="30"/>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1"/>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Award</w:t>
            </w:r>
          </w:p>
        </w:tc>
        <w:tc>
          <w:tcPr>
            <w:tcW w:w="940" w:type="dxa"/>
            <w:vAlign w:val="bottom"/>
            <w:gridSpan w:val="2"/>
          </w:tcPr>
          <w:p>
            <w:pPr>
              <w:ind w:left="240"/>
              <w:spacing w:after="0"/>
              <w:rPr>
                <w:sz w:val="20"/>
                <w:szCs w:val="20"/>
                <w:color w:val="auto"/>
              </w:rPr>
            </w:pPr>
            <w:r>
              <w:rPr>
                <w:rFonts w:ascii="Arial" w:cs="Arial" w:eastAsia="Arial" w:hAnsi="Arial"/>
                <w:sz w:val="13"/>
                <w:szCs w:val="13"/>
                <w:b w:val="1"/>
                <w:bCs w:val="1"/>
                <w:color w:val="auto"/>
              </w:rPr>
              <w:t>Grant</w:t>
            </w:r>
          </w:p>
        </w:tc>
        <w:tc>
          <w:tcPr>
            <w:tcW w:w="1260" w:type="dxa"/>
            <w:vAlign w:val="bottom"/>
            <w:gridSpan w:val="2"/>
          </w:tcPr>
          <w:p>
            <w:pPr>
              <w:ind w:left="320"/>
              <w:spacing w:after="0"/>
              <w:rPr>
                <w:sz w:val="20"/>
                <w:szCs w:val="20"/>
                <w:color w:val="auto"/>
              </w:rPr>
            </w:pPr>
            <w:r>
              <w:rPr>
                <w:rFonts w:ascii="Arial" w:cs="Arial" w:eastAsia="Arial" w:hAnsi="Arial"/>
                <w:sz w:val="13"/>
                <w:szCs w:val="13"/>
                <w:b w:val="1"/>
                <w:bCs w:val="1"/>
                <w:color w:val="auto"/>
              </w:rPr>
              <w:t>Approval</w:t>
            </w:r>
          </w:p>
        </w:tc>
        <w:tc>
          <w:tcPr>
            <w:tcW w:w="760" w:type="dxa"/>
            <w:vAlign w:val="bottom"/>
          </w:tcPr>
          <w:p>
            <w:pPr>
              <w:jc w:val="right"/>
              <w:ind w:right="18"/>
              <w:spacing w:after="0"/>
              <w:rPr>
                <w:sz w:val="20"/>
                <w:szCs w:val="20"/>
                <w:color w:val="auto"/>
              </w:rPr>
            </w:pPr>
            <w:r>
              <w:rPr>
                <w:rFonts w:ascii="Arial" w:cs="Arial" w:eastAsia="Arial" w:hAnsi="Arial"/>
                <w:sz w:val="13"/>
                <w:szCs w:val="13"/>
                <w:b w:val="1"/>
                <w:bCs w:val="1"/>
                <w:color w:val="auto"/>
              </w:rPr>
              <w:t>Threshold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Target</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Maximum</w:t>
            </w: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Threshold</w:t>
            </w:r>
          </w:p>
        </w:tc>
        <w:tc>
          <w:tcPr>
            <w:tcW w:w="860" w:type="dxa"/>
            <w:vAlign w:val="bottom"/>
          </w:tcPr>
          <w:p>
            <w:pPr>
              <w:jc w:val="right"/>
              <w:ind w:right="257"/>
              <w:spacing w:after="0"/>
              <w:rPr>
                <w:sz w:val="20"/>
                <w:szCs w:val="20"/>
                <w:color w:val="auto"/>
              </w:rPr>
            </w:pPr>
            <w:r>
              <w:rPr>
                <w:rFonts w:ascii="Arial" w:cs="Arial" w:eastAsia="Arial" w:hAnsi="Arial"/>
                <w:sz w:val="13"/>
                <w:szCs w:val="13"/>
                <w:b w:val="1"/>
                <w:bCs w:val="1"/>
                <w:color w:val="auto"/>
              </w:rPr>
              <w:t>Target</w:t>
            </w: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Maximum</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or Units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r>
      <w:tr>
        <w:trPr>
          <w:trHeight w:val="194"/>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Type</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Date</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Date</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158"/>
              <w:spacing w:after="0" w:line="193"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(1)</w:t>
            </w:r>
          </w:p>
        </w:tc>
        <w:tc>
          <w:tcPr>
            <w:tcW w:w="80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22"/>
                <w:szCs w:val="22"/>
                <w:b w:val="1"/>
                <w:bCs w:val="1"/>
                <w:color w:val="auto"/>
                <w:w w:val="86"/>
                <w:vertAlign w:val="subscript"/>
              </w:rPr>
              <w:t>($)</w:t>
            </w:r>
            <w:r>
              <w:rPr>
                <w:rFonts w:ascii="Arial" w:cs="Arial" w:eastAsia="Arial" w:hAnsi="Arial"/>
                <w:sz w:val="8"/>
                <w:szCs w:val="8"/>
                <w:b w:val="1"/>
                <w:bCs w:val="1"/>
                <w:color w:val="auto"/>
                <w:w w:val="86"/>
              </w:rPr>
              <w:t>(2)</w:t>
            </w:r>
          </w:p>
        </w:tc>
        <w:tc>
          <w:tcPr>
            <w:tcW w:w="720" w:type="dxa"/>
            <w:vAlign w:val="bottom"/>
            <w:tcBorders>
              <w:bottom w:val="single" w:sz="8" w:color="auto"/>
            </w:tcBorders>
          </w:tcPr>
          <w:p>
            <w:pPr>
              <w:jc w:val="right"/>
              <w:ind w:right="198"/>
              <w:spacing w:after="0" w:line="193"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(3)</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22"/>
                <w:szCs w:val="22"/>
                <w:b w:val="1"/>
                <w:bCs w:val="1"/>
                <w:color w:val="auto"/>
                <w:w w:val="93"/>
                <w:vertAlign w:val="subscript"/>
              </w:rPr>
              <w:t>($)</w:t>
            </w:r>
            <w:r>
              <w:rPr>
                <w:rFonts w:ascii="Arial" w:cs="Arial" w:eastAsia="Arial" w:hAnsi="Arial"/>
                <w:sz w:val="8"/>
                <w:szCs w:val="8"/>
                <w:b w:val="1"/>
                <w:bCs w:val="1"/>
                <w:color w:val="auto"/>
                <w:w w:val="93"/>
              </w:rPr>
              <w:t>(4)</w:t>
            </w: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3"/>
                <w:szCs w:val="13"/>
                <w:b w:val="1"/>
                <w:bCs w:val="1"/>
                <w:color w:val="auto"/>
              </w:rPr>
              <w:t>Christopher S. Sotos</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AIP</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305,500</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611,000</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1,222,000</w:t>
            </w:r>
          </w:p>
        </w:tc>
        <w:tc>
          <w:tcPr>
            <w:tcW w:w="12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w:t>
            </w:r>
          </w:p>
        </w:tc>
      </w:tr>
      <w:tr>
        <w:trPr>
          <w:trHeight w:val="278"/>
        </w:trPr>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RPSU</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1/2/2019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12/6/2018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13,668</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54,671</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82,007</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1,023,441</w:t>
            </w:r>
          </w:p>
        </w:tc>
      </w:tr>
      <w:tr>
        <w:trPr>
          <w:trHeight w:val="262"/>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RSU</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1/2/2019</w:t>
            </w:r>
          </w:p>
        </w:tc>
        <w:tc>
          <w:tcPr>
            <w:tcW w:w="12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12/6/2018</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29,307</w:t>
            </w:r>
          </w:p>
        </w:tc>
        <w:tc>
          <w:tcPr>
            <w:tcW w:w="100" w:type="dxa"/>
            <w:vAlign w:val="bottom"/>
          </w:tcPr>
          <w:p>
            <w:pPr>
              <w:spacing w:after="0"/>
              <w:rPr>
                <w:sz w:val="22"/>
                <w:szCs w:val="22"/>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504,080</w:t>
            </w:r>
          </w:p>
        </w:tc>
      </w:tr>
      <w:tr>
        <w:trPr>
          <w:trHeight w:val="278"/>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Chad Plotkin</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AIP</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114,000</w:t>
            </w: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228,000</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456,000</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r>
      <w:tr>
        <w:trPr>
          <w:trHeight w:val="262"/>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RPSU</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1/2/2019</w:t>
            </w:r>
          </w:p>
        </w:tc>
        <w:tc>
          <w:tcPr>
            <w:tcW w:w="12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11/29/2018</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4,250</w:t>
            </w:r>
          </w:p>
        </w:tc>
        <w:tc>
          <w:tcPr>
            <w:tcW w:w="860" w:type="dxa"/>
            <w:vAlign w:val="bottom"/>
          </w:tcPr>
          <w:p>
            <w:pPr>
              <w:jc w:val="right"/>
              <w:ind w:right="197"/>
              <w:spacing w:after="0"/>
              <w:rPr>
                <w:sz w:val="20"/>
                <w:szCs w:val="20"/>
                <w:color w:val="auto"/>
              </w:rPr>
            </w:pPr>
            <w:r>
              <w:rPr>
                <w:rFonts w:ascii="Arial" w:cs="Arial" w:eastAsia="Arial" w:hAnsi="Arial"/>
                <w:sz w:val="13"/>
                <w:szCs w:val="13"/>
                <w:color w:val="auto"/>
              </w:rPr>
              <w:t>17,001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25,502</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318,259</w:t>
            </w:r>
          </w:p>
        </w:tc>
      </w:tr>
      <w:tr>
        <w:trPr>
          <w:trHeight w:val="278"/>
        </w:trPr>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RSU</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1/2/2019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11/29/2018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9,114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156,761</w:t>
            </w:r>
          </w:p>
        </w:tc>
      </w:tr>
      <w:tr>
        <w:trPr>
          <w:trHeight w:val="262"/>
        </w:trPr>
        <w:tc>
          <w:tcPr>
            <w:tcW w:w="1500" w:type="dxa"/>
            <w:vAlign w:val="bottom"/>
            <w:gridSpan w:val="2"/>
          </w:tcPr>
          <w:p>
            <w:pPr>
              <w:ind w:left="40"/>
              <w:spacing w:after="0"/>
              <w:rPr>
                <w:sz w:val="20"/>
                <w:szCs w:val="20"/>
                <w:color w:val="auto"/>
              </w:rPr>
            </w:pPr>
            <w:r>
              <w:rPr>
                <w:rFonts w:ascii="Arial" w:cs="Arial" w:eastAsia="Arial" w:hAnsi="Arial"/>
                <w:sz w:val="13"/>
                <w:szCs w:val="13"/>
                <w:b w:val="1"/>
                <w:bCs w:val="1"/>
                <w:color w:val="auto"/>
              </w:rPr>
              <w:t>Kevin P. Malcarney</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AIP</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60,000</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120,000</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240,000</w:t>
            </w:r>
          </w:p>
        </w:tc>
        <w:tc>
          <w:tcPr>
            <w:tcW w:w="12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w:t>
            </w:r>
          </w:p>
        </w:tc>
      </w:tr>
      <w:tr>
        <w:trPr>
          <w:trHeight w:val="278"/>
        </w:trPr>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RPSU</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1/2/2019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12/6/2018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2,685</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10,738</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16,107</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201,015</w:t>
            </w:r>
          </w:p>
        </w:tc>
      </w:tr>
      <w:tr>
        <w:trPr>
          <w:trHeight w:val="262"/>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RSU</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1/2/2019</w:t>
            </w:r>
          </w:p>
        </w:tc>
        <w:tc>
          <w:tcPr>
            <w:tcW w:w="12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12/6/2018</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5,756</w:t>
            </w:r>
          </w:p>
        </w:tc>
        <w:tc>
          <w:tcPr>
            <w:tcW w:w="100" w:type="dxa"/>
            <w:vAlign w:val="bottom"/>
          </w:tcPr>
          <w:p>
            <w:pPr>
              <w:spacing w:after="0"/>
              <w:rPr>
                <w:sz w:val="22"/>
                <w:szCs w:val="22"/>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99,003</w:t>
            </w:r>
          </w:p>
        </w:tc>
      </w:tr>
      <w:tr>
        <w:trPr>
          <w:trHeight w:val="278"/>
        </w:trPr>
        <w:tc>
          <w:tcPr>
            <w:tcW w:w="1500" w:type="dxa"/>
            <w:vAlign w:val="bottom"/>
            <w:gridSpan w:val="2"/>
            <w:shd w:val="clear" w:color="auto" w:fill="CCEEFF"/>
          </w:tcPr>
          <w:p>
            <w:pPr>
              <w:ind w:left="40"/>
              <w:spacing w:after="0" w:line="150" w:lineRule="exact"/>
              <w:rPr>
                <w:sz w:val="20"/>
                <w:szCs w:val="20"/>
                <w:color w:val="auto"/>
              </w:rPr>
            </w:pPr>
            <w:r>
              <w:rPr>
                <w:rFonts w:ascii="Arial" w:cs="Arial" w:eastAsia="Arial" w:hAnsi="Arial"/>
                <w:sz w:val="13"/>
                <w:szCs w:val="13"/>
                <w:b w:val="1"/>
                <w:bCs w:val="1"/>
                <w:color w:val="auto"/>
              </w:rPr>
              <w:t>Mary</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Lee Stillwell</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AIP</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59,000</w:t>
            </w: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118,000</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236,000</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r>
      <w:tr>
        <w:trPr>
          <w:trHeight w:val="262"/>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RPSU</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w:t>
            </w:r>
          </w:p>
        </w:tc>
      </w:tr>
      <w:tr>
        <w:trPr>
          <w:trHeight w:val="278"/>
        </w:trPr>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RSU</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1/2/2019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12/6/2018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12,864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221,261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Threshold non-equity incentive plan awards include annual incentive plan threshold payments, as presented in the CD&amp;A.</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Target non-equity incentive plan awards include annual incentive plan target payments, as presented in the CD&amp;A.</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Maximum non-equity incentive plan awards include annual incentive plan maximum payments, as presented in the CD&amp;A.</w:t>
      </w:r>
    </w:p>
    <w:p>
      <w:pPr>
        <w:spacing w:after="0" w:line="1" w:lineRule="exact"/>
        <w:rPr>
          <w:rFonts w:ascii="Arial" w:cs="Arial" w:eastAsia="Arial" w:hAnsi="Arial"/>
          <w:sz w:val="9"/>
          <w:szCs w:val="9"/>
          <w:color w:val="auto"/>
        </w:rPr>
      </w:pPr>
    </w:p>
    <w:p>
      <w:pPr>
        <w:jc w:val="both"/>
        <w:ind w:firstLine="8"/>
        <w:spacing w:after="0" w:line="248" w:lineRule="auto"/>
        <w:tabs>
          <w:tab w:leader="none" w:pos="127" w:val="left"/>
        </w:tabs>
        <w:numPr>
          <w:ilvl w:val="0"/>
          <w:numId w:val="44"/>
        </w:numPr>
        <w:rPr>
          <w:rFonts w:ascii="Arial" w:cs="Arial" w:eastAsia="Arial" w:hAnsi="Arial"/>
          <w:sz w:val="9"/>
          <w:szCs w:val="9"/>
          <w:color w:val="auto"/>
        </w:rPr>
      </w:pPr>
      <w:r>
        <w:rPr>
          <w:rFonts w:ascii="Arial" w:cs="Arial" w:eastAsia="Arial" w:hAnsi="Arial"/>
          <w:sz w:val="14"/>
          <w:szCs w:val="14"/>
          <w:color w:val="auto"/>
        </w:rPr>
        <w:t>Reflects the grant date fair value determined in accordance with the Financial Accounting Standards Board Accounting Standards Codification Topic 718, Comparison-Stock Compensation. The Company uses the Class C common stock price on the date of grant as the fair value of the Company’s RSUs. The fair value of RPSUs is estimated on the date of grant using a Monte Carlo simulation model.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11"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2019</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800"/>
              <w:spacing w:after="0"/>
              <w:rPr>
                <w:sz w:val="20"/>
                <w:szCs w:val="20"/>
                <w:color w:val="auto"/>
              </w:rPr>
            </w:pPr>
            <w:r>
              <w:rPr>
                <w:rFonts w:ascii="Arial" w:cs="Arial" w:eastAsia="Arial" w:hAnsi="Arial"/>
                <w:sz w:val="13"/>
                <w:szCs w:val="13"/>
                <w:b w:val="1"/>
                <w:bCs w:val="1"/>
                <w:color w:val="auto"/>
                <w:w w:val="86"/>
              </w:rPr>
              <w:t>Option Awards</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Stock Awards</w:t>
            </w:r>
          </w:p>
        </w:tc>
        <w:tc>
          <w:tcPr>
            <w:tcW w:w="1480" w:type="dxa"/>
            <w:vAlign w:val="bottom"/>
            <w:tcBorders>
              <w:bottom w:val="single" w:sz="8" w:color="auto"/>
            </w:tcBorders>
          </w:tcPr>
          <w:p>
            <w:pPr>
              <w:spacing w:after="0"/>
              <w:rPr>
                <w:sz w:val="15"/>
                <w:szCs w:val="15"/>
                <w:color w:val="auto"/>
              </w:rPr>
            </w:pPr>
          </w:p>
        </w:tc>
      </w:tr>
      <w:tr>
        <w:trPr>
          <w:trHeight w:val="254"/>
        </w:trPr>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9"/>
              </w:rPr>
              <w:t>Number of</w:t>
            </w:r>
          </w:p>
        </w:tc>
        <w:tc>
          <w:tcPr>
            <w:tcW w:w="162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9"/>
              </w:rPr>
              <w:t>Number of</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Number</w:t>
            </w:r>
          </w:p>
        </w:tc>
        <w:tc>
          <w:tcPr>
            <w:tcW w:w="1020" w:type="dxa"/>
            <w:vAlign w:val="bottom"/>
          </w:tcPr>
          <w:p>
            <w:pPr>
              <w:jc w:val="center"/>
              <w:ind w:left="57"/>
              <w:spacing w:after="0"/>
              <w:rPr>
                <w:sz w:val="20"/>
                <w:szCs w:val="20"/>
                <w:color w:val="auto"/>
              </w:rPr>
            </w:pPr>
            <w:r>
              <w:rPr>
                <w:rFonts w:ascii="Arial" w:cs="Arial" w:eastAsia="Arial" w:hAnsi="Arial"/>
                <w:sz w:val="13"/>
                <w:szCs w:val="13"/>
                <w:b w:val="1"/>
                <w:bCs w:val="1"/>
                <w:color w:val="auto"/>
                <w:w w:val="92"/>
              </w:rPr>
              <w:t>Market Value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20" w:type="dxa"/>
            <w:vAlign w:val="bottom"/>
            <w:gridSpan w:val="3"/>
          </w:tcPr>
          <w:p>
            <w:pPr>
              <w:jc w:val="right"/>
              <w:ind w:right="537"/>
              <w:spacing w:after="0"/>
              <w:rPr>
                <w:sz w:val="20"/>
                <w:szCs w:val="20"/>
                <w:color w:val="auto"/>
              </w:rPr>
            </w:pPr>
            <w:r>
              <w:rPr>
                <w:rFonts w:ascii="Arial" w:cs="Arial" w:eastAsia="Arial" w:hAnsi="Arial"/>
                <w:sz w:val="13"/>
                <w:szCs w:val="13"/>
                <w:b w:val="1"/>
                <w:bCs w:val="1"/>
                <w:color w:val="auto"/>
              </w:rPr>
              <w:t>Equity Incentive Plan Awards</w:t>
            </w:r>
          </w:p>
        </w:tc>
      </w:tr>
      <w:tr>
        <w:trPr>
          <w:trHeight w:val="17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3"/>
              </w:rPr>
              <w:t>Securities</w:t>
            </w:r>
          </w:p>
        </w:tc>
        <w:tc>
          <w:tcPr>
            <w:tcW w:w="16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3"/>
              </w:rPr>
              <w:t>Securities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0"/>
              </w:rPr>
              <w:t>of Shares</w:t>
            </w:r>
          </w:p>
        </w:tc>
        <w:tc>
          <w:tcPr>
            <w:tcW w:w="1020" w:type="dxa"/>
            <w:vAlign w:val="bottom"/>
          </w:tcPr>
          <w:p>
            <w:pPr>
              <w:jc w:val="center"/>
              <w:ind w:left="37"/>
              <w:spacing w:after="0"/>
              <w:rPr>
                <w:sz w:val="20"/>
                <w:szCs w:val="20"/>
                <w:color w:val="auto"/>
              </w:rPr>
            </w:pPr>
            <w:r>
              <w:rPr>
                <w:rFonts w:ascii="Arial" w:cs="Arial" w:eastAsia="Arial" w:hAnsi="Arial"/>
                <w:sz w:val="13"/>
                <w:szCs w:val="13"/>
                <w:b w:val="1"/>
                <w:bCs w:val="1"/>
                <w:color w:val="auto"/>
                <w:w w:val="84"/>
              </w:rPr>
              <w:t>of Shares or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Number of</w:t>
            </w:r>
          </w:p>
        </w:tc>
        <w:tc>
          <w:tcPr>
            <w:tcW w:w="1480" w:type="dxa"/>
            <w:vAlign w:val="bottom"/>
          </w:tcPr>
          <w:p>
            <w:pPr>
              <w:spacing w:after="0"/>
              <w:rPr>
                <w:sz w:val="15"/>
                <w:szCs w:val="15"/>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Underlying</w:t>
            </w:r>
          </w:p>
        </w:tc>
        <w:tc>
          <w:tcPr>
            <w:tcW w:w="162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1"/>
              </w:rPr>
              <w:t>Underlying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or Units of</w:t>
            </w:r>
          </w:p>
        </w:tc>
        <w:tc>
          <w:tcPr>
            <w:tcW w:w="1020" w:type="dxa"/>
            <w:vAlign w:val="bottom"/>
          </w:tcPr>
          <w:p>
            <w:pPr>
              <w:jc w:val="center"/>
              <w:ind w:left="57"/>
              <w:spacing w:after="0"/>
              <w:rPr>
                <w:sz w:val="20"/>
                <w:szCs w:val="20"/>
                <w:color w:val="auto"/>
              </w:rPr>
            </w:pPr>
            <w:r>
              <w:rPr>
                <w:rFonts w:ascii="Arial" w:cs="Arial" w:eastAsia="Arial" w:hAnsi="Arial"/>
                <w:sz w:val="13"/>
                <w:szCs w:val="13"/>
                <w:b w:val="1"/>
                <w:bCs w:val="1"/>
                <w:color w:val="auto"/>
                <w:w w:val="86"/>
              </w:rPr>
              <w:t>Units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Unearned</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2"/>
              </w:rPr>
              <w:t>Market Value</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5"/>
              </w:rPr>
              <w:t>Unexercised</w:t>
            </w:r>
          </w:p>
        </w:tc>
        <w:tc>
          <w:tcPr>
            <w:tcW w:w="162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5"/>
              </w:rPr>
              <w:t>Unexercised</w:t>
            </w:r>
          </w:p>
        </w:tc>
        <w:tc>
          <w:tcPr>
            <w:tcW w:w="8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Option</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Stock that</w:t>
            </w:r>
          </w:p>
        </w:tc>
        <w:tc>
          <w:tcPr>
            <w:tcW w:w="1020" w:type="dxa"/>
            <w:vAlign w:val="bottom"/>
          </w:tcPr>
          <w:p>
            <w:pPr>
              <w:jc w:val="center"/>
              <w:ind w:left="37"/>
              <w:spacing w:after="0"/>
              <w:rPr>
                <w:sz w:val="20"/>
                <w:szCs w:val="20"/>
                <w:color w:val="auto"/>
              </w:rPr>
            </w:pPr>
            <w:r>
              <w:rPr>
                <w:rFonts w:ascii="Arial" w:cs="Arial" w:eastAsia="Arial" w:hAnsi="Arial"/>
                <w:sz w:val="13"/>
                <w:szCs w:val="13"/>
                <w:b w:val="1"/>
                <w:bCs w:val="1"/>
                <w:color w:val="auto"/>
                <w:w w:val="89"/>
              </w:rPr>
              <w:t>Stock that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Shares that</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9"/>
              </w:rPr>
              <w:t>of Unearned</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Options</w:t>
            </w:r>
          </w:p>
        </w:tc>
        <w:tc>
          <w:tcPr>
            <w:tcW w:w="162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5"/>
              </w:rPr>
              <w:t>Options</w:t>
            </w:r>
          </w:p>
        </w:tc>
        <w:tc>
          <w:tcPr>
            <w:tcW w:w="8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Exercise</w:t>
            </w:r>
          </w:p>
        </w:tc>
        <w:tc>
          <w:tcPr>
            <w:tcW w:w="880" w:type="dxa"/>
            <w:vAlign w:val="bottom"/>
          </w:tcPr>
          <w:p>
            <w:pPr>
              <w:jc w:val="center"/>
              <w:ind w:left="197"/>
              <w:spacing w:after="0"/>
              <w:rPr>
                <w:sz w:val="20"/>
                <w:szCs w:val="20"/>
                <w:color w:val="auto"/>
              </w:rPr>
            </w:pPr>
            <w:r>
              <w:rPr>
                <w:rFonts w:ascii="Arial" w:cs="Arial" w:eastAsia="Arial" w:hAnsi="Arial"/>
                <w:sz w:val="13"/>
                <w:szCs w:val="13"/>
                <w:b w:val="1"/>
                <w:bCs w:val="1"/>
                <w:color w:val="auto"/>
                <w:w w:val="90"/>
              </w:rPr>
              <w:t>Option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Have Not</w:t>
            </w:r>
          </w:p>
        </w:tc>
        <w:tc>
          <w:tcPr>
            <w:tcW w:w="1020" w:type="dxa"/>
            <w:vAlign w:val="bottom"/>
          </w:tcPr>
          <w:p>
            <w:pPr>
              <w:jc w:val="center"/>
              <w:ind w:left="37"/>
              <w:spacing w:after="0"/>
              <w:rPr>
                <w:sz w:val="20"/>
                <w:szCs w:val="20"/>
                <w:color w:val="auto"/>
              </w:rPr>
            </w:pPr>
            <w:r>
              <w:rPr>
                <w:rFonts w:ascii="Arial" w:cs="Arial" w:eastAsia="Arial" w:hAnsi="Arial"/>
                <w:sz w:val="13"/>
                <w:szCs w:val="13"/>
                <w:b w:val="1"/>
                <w:bCs w:val="1"/>
                <w:color w:val="auto"/>
                <w:w w:val="92"/>
              </w:rPr>
              <w:t>Have Not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Have</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7"/>
              </w:rPr>
              <w:t>Shares that Have</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left="1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Price</w:t>
            </w:r>
          </w:p>
        </w:tc>
        <w:tc>
          <w:tcPr>
            <w:tcW w:w="880" w:type="dxa"/>
            <w:vAlign w:val="bottom"/>
          </w:tcPr>
          <w:p>
            <w:pPr>
              <w:jc w:val="center"/>
              <w:ind w:left="197"/>
              <w:spacing w:after="0"/>
              <w:rPr>
                <w:sz w:val="20"/>
                <w:szCs w:val="20"/>
                <w:color w:val="auto"/>
              </w:rPr>
            </w:pPr>
            <w:r>
              <w:rPr>
                <w:rFonts w:ascii="Arial" w:cs="Arial" w:eastAsia="Arial" w:hAnsi="Arial"/>
                <w:sz w:val="13"/>
                <w:szCs w:val="13"/>
                <w:b w:val="1"/>
                <w:bCs w:val="1"/>
                <w:color w:val="auto"/>
                <w:w w:val="91"/>
              </w:rPr>
              <w:t>Expiration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Vested</w:t>
            </w:r>
          </w:p>
        </w:tc>
        <w:tc>
          <w:tcPr>
            <w:tcW w:w="1020" w:type="dxa"/>
            <w:vAlign w:val="bottom"/>
          </w:tcPr>
          <w:p>
            <w:pPr>
              <w:jc w:val="center"/>
              <w:ind w:left="37"/>
              <w:spacing w:after="0"/>
              <w:rPr>
                <w:sz w:val="20"/>
                <w:szCs w:val="20"/>
                <w:color w:val="auto"/>
              </w:rPr>
            </w:pPr>
            <w:r>
              <w:rPr>
                <w:rFonts w:ascii="Arial" w:cs="Arial" w:eastAsia="Arial" w:hAnsi="Arial"/>
                <w:sz w:val="13"/>
                <w:szCs w:val="13"/>
                <w:b w:val="1"/>
                <w:bCs w:val="1"/>
                <w:color w:val="auto"/>
                <w:w w:val="84"/>
              </w:rPr>
              <w:t>Vested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Not Vested</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5"/>
              </w:rPr>
              <w:t>Not Vested</w:t>
            </w:r>
          </w:p>
        </w:tc>
      </w:tr>
      <w:tr>
        <w:trPr>
          <w:trHeight w:val="187"/>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5"/>
              </w:rPr>
              <w:t>Exercisable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Unexercisable</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ind w:left="217"/>
              <w:spacing w:after="0"/>
              <w:rPr>
                <w:sz w:val="20"/>
                <w:szCs w:val="20"/>
                <w:color w:val="auto"/>
              </w:rPr>
            </w:pPr>
            <w:r>
              <w:rPr>
                <w:rFonts w:ascii="Arial" w:cs="Arial" w:eastAsia="Arial" w:hAnsi="Arial"/>
                <w:sz w:val="13"/>
                <w:szCs w:val="13"/>
                <w:b w:val="1"/>
                <w:bCs w:val="1"/>
                <w:color w:val="auto"/>
                <w:w w:val="85"/>
              </w:rPr>
              <w:t>Date</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w:t>
            </w:r>
            <w:r>
              <w:rPr>
                <w:rFonts w:ascii="Arial" w:cs="Arial" w:eastAsia="Arial" w:hAnsi="Arial"/>
                <w:sz w:val="8"/>
                <w:szCs w:val="8"/>
                <w:b w:val="1"/>
                <w:bCs w:val="1"/>
                <w:color w:val="auto"/>
                <w:w w:val="93"/>
              </w:rPr>
              <w:t>(1)</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w:t>
            </w:r>
            <w:r>
              <w:rPr>
                <w:rFonts w:ascii="Arial" w:cs="Arial" w:eastAsia="Arial" w:hAnsi="Arial"/>
                <w:sz w:val="8"/>
                <w:szCs w:val="8"/>
                <w:b w:val="1"/>
                <w:bCs w:val="1"/>
                <w:color w:val="auto"/>
                <w:w w:val="93"/>
              </w:rPr>
              <w:t>(1)</w:t>
            </w:r>
          </w:p>
        </w:tc>
      </w:tr>
      <w:tr>
        <w:trPr>
          <w:trHeight w:val="257"/>
        </w:trPr>
        <w:tc>
          <w:tcPr>
            <w:tcW w:w="1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Christopher S. Sotos</w:t>
            </w:r>
          </w:p>
        </w:tc>
        <w:tc>
          <w:tcPr>
            <w:tcW w:w="1160" w:type="dxa"/>
            <w:vAlign w:val="bottom"/>
            <w:gridSpan w:val="3"/>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20" w:type="dxa"/>
            <w:vAlign w:val="bottom"/>
            <w:gridSpan w:val="3"/>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xml:space="preserve">52,266 </w:t>
            </w:r>
            <w:r>
              <w:rPr>
                <w:rFonts w:ascii="Arial" w:cs="Arial" w:eastAsia="Arial" w:hAnsi="Arial"/>
                <w:sz w:val="8"/>
                <w:szCs w:val="8"/>
                <w:color w:val="auto"/>
              </w:rPr>
              <w:t>(2)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1,042,707</w:t>
            </w:r>
          </w:p>
        </w:tc>
        <w:tc>
          <w:tcPr>
            <w:tcW w:w="146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 xml:space="preserve">133,645 </w:t>
            </w:r>
            <w:r>
              <w:rPr>
                <w:rFonts w:ascii="Arial" w:cs="Arial" w:eastAsia="Arial" w:hAnsi="Arial"/>
                <w:sz w:val="8"/>
                <w:szCs w:val="8"/>
                <w:color w:val="auto"/>
              </w:rPr>
              <w:t>(3)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2,666,218</w:t>
            </w:r>
          </w:p>
        </w:tc>
      </w:tr>
      <w:tr>
        <w:trPr>
          <w:trHeight w:val="262"/>
        </w:trPr>
        <w:tc>
          <w:tcPr>
            <w:tcW w:w="1280" w:type="dxa"/>
            <w:vAlign w:val="bottom"/>
            <w:gridSpan w:val="2"/>
          </w:tcPr>
          <w:p>
            <w:pPr>
              <w:ind w:left="40"/>
              <w:spacing w:after="0"/>
              <w:rPr>
                <w:sz w:val="20"/>
                <w:szCs w:val="20"/>
                <w:color w:val="auto"/>
              </w:rPr>
            </w:pPr>
            <w:r>
              <w:rPr>
                <w:rFonts w:ascii="Arial" w:cs="Arial" w:eastAsia="Arial" w:hAnsi="Arial"/>
                <w:sz w:val="13"/>
                <w:szCs w:val="13"/>
                <w:color w:val="auto"/>
              </w:rPr>
              <w:t>Chad Plotkin</w:t>
            </w:r>
          </w:p>
        </w:tc>
        <w:tc>
          <w:tcPr>
            <w:tcW w:w="1160" w:type="dxa"/>
            <w:vAlign w:val="bottom"/>
            <w:gridSpan w:val="3"/>
          </w:tcPr>
          <w:p>
            <w:pPr>
              <w:ind w:left="800"/>
              <w:spacing w:after="0"/>
              <w:rPr>
                <w:sz w:val="20"/>
                <w:szCs w:val="20"/>
                <w:color w:val="auto"/>
              </w:rPr>
            </w:pPr>
            <w:r>
              <w:rPr>
                <w:rFonts w:ascii="Arial" w:cs="Arial" w:eastAsia="Arial" w:hAnsi="Arial"/>
                <w:sz w:val="13"/>
                <w:szCs w:val="13"/>
                <w:color w:val="auto"/>
              </w:rPr>
              <w:t>—</w:t>
            </w:r>
          </w:p>
        </w:tc>
        <w:tc>
          <w:tcPr>
            <w:tcW w:w="1620" w:type="dxa"/>
            <w:vAlign w:val="bottom"/>
            <w:gridSpan w:val="3"/>
          </w:tcPr>
          <w:p>
            <w:pPr>
              <w:ind w:left="102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 xml:space="preserve">15,544 </w:t>
            </w:r>
            <w:r>
              <w:rPr>
                <w:rFonts w:ascii="Arial" w:cs="Arial" w:eastAsia="Arial" w:hAnsi="Arial"/>
                <w:sz w:val="8"/>
                <w:szCs w:val="8"/>
                <w:color w:val="auto"/>
              </w:rPr>
              <w:t>(4)</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310,103</w:t>
            </w:r>
          </w:p>
        </w:tc>
        <w:tc>
          <w:tcPr>
            <w:tcW w:w="1460" w:type="dxa"/>
            <w:vAlign w:val="bottom"/>
            <w:gridSpan w:val="3"/>
          </w:tcPr>
          <w:p>
            <w:pPr>
              <w:jc w:val="right"/>
              <w:ind w:right="37"/>
              <w:spacing w:after="0"/>
              <w:rPr>
                <w:sz w:val="20"/>
                <w:szCs w:val="20"/>
                <w:color w:val="auto"/>
              </w:rPr>
            </w:pPr>
            <w:r>
              <w:rPr>
                <w:rFonts w:ascii="Arial" w:cs="Arial" w:eastAsia="Arial" w:hAnsi="Arial"/>
                <w:sz w:val="13"/>
                <w:szCs w:val="13"/>
                <w:color w:val="auto"/>
              </w:rPr>
              <w:t xml:space="preserve">39,114 </w:t>
            </w:r>
            <w:r>
              <w:rPr>
                <w:rFonts w:ascii="Arial" w:cs="Arial" w:eastAsia="Arial" w:hAnsi="Arial"/>
                <w:sz w:val="8"/>
                <w:szCs w:val="8"/>
                <w:color w:val="auto"/>
              </w:rPr>
              <w:t>(5)</w:t>
            </w:r>
          </w:p>
        </w:tc>
        <w:tc>
          <w:tcPr>
            <w:tcW w:w="100" w:type="dxa"/>
            <w:vAlign w:val="bottom"/>
          </w:tcPr>
          <w:p>
            <w:pPr>
              <w:spacing w:after="0"/>
              <w:rPr>
                <w:sz w:val="22"/>
                <w:szCs w:val="22"/>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color w:val="auto"/>
              </w:rPr>
              <w:t>780,324</w:t>
            </w:r>
          </w:p>
        </w:tc>
      </w:tr>
      <w:tr>
        <w:trPr>
          <w:trHeight w:val="278"/>
        </w:trPr>
        <w:tc>
          <w:tcPr>
            <w:tcW w:w="1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Kevin P. Malcarney</w:t>
            </w:r>
          </w:p>
        </w:tc>
        <w:tc>
          <w:tcPr>
            <w:tcW w:w="1160" w:type="dxa"/>
            <w:vAlign w:val="bottom"/>
            <w:gridSpan w:val="3"/>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20" w:type="dxa"/>
            <w:vAlign w:val="bottom"/>
            <w:gridSpan w:val="3"/>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xml:space="preserve">20,046 </w:t>
            </w:r>
            <w:r>
              <w:rPr>
                <w:rFonts w:ascii="Arial" w:cs="Arial" w:eastAsia="Arial" w:hAnsi="Arial"/>
                <w:sz w:val="8"/>
                <w:szCs w:val="8"/>
                <w:color w:val="auto"/>
              </w:rPr>
              <w:t>(6)</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399,918</w:t>
            </w:r>
          </w:p>
        </w:tc>
        <w:tc>
          <w:tcPr>
            <w:tcW w:w="146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10,738</w:t>
            </w:r>
            <w:r>
              <w:rPr>
                <w:rFonts w:ascii="Arial" w:cs="Arial" w:eastAsia="Arial" w:hAnsi="Arial"/>
                <w:sz w:val="8"/>
                <w:szCs w:val="8"/>
                <w:color w:val="auto"/>
              </w:rPr>
              <w:t>(7)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214,223</w:t>
            </w:r>
          </w:p>
        </w:tc>
      </w:tr>
      <w:tr>
        <w:trPr>
          <w:trHeight w:val="262"/>
        </w:trPr>
        <w:tc>
          <w:tcPr>
            <w:tcW w:w="1280" w:type="dxa"/>
            <w:vAlign w:val="bottom"/>
            <w:gridSpan w:val="2"/>
          </w:tcPr>
          <w:p>
            <w:pPr>
              <w:ind w:left="40"/>
              <w:spacing w:after="0" w:line="150" w:lineRule="exact"/>
              <w:rPr>
                <w:sz w:val="20"/>
                <w:szCs w:val="20"/>
                <w:color w:val="auto"/>
              </w:rPr>
            </w:pPr>
            <w:r>
              <w:rPr>
                <w:rFonts w:ascii="Arial" w:cs="Arial" w:eastAsia="Arial" w:hAnsi="Arial"/>
                <w:sz w:val="13"/>
                <w:szCs w:val="13"/>
                <w:color w:val="auto"/>
              </w:rPr>
              <w:t>Mary</w:t>
            </w:r>
            <w:r>
              <w:rPr>
                <w:rFonts w:ascii="MS PGothic" w:cs="MS PGothic" w:eastAsia="MS PGothic" w:hAnsi="MS PGothic"/>
                <w:sz w:val="13"/>
                <w:szCs w:val="13"/>
                <w:color w:val="auto"/>
              </w:rPr>
              <w:t>‑</w:t>
            </w:r>
            <w:r>
              <w:rPr>
                <w:rFonts w:ascii="Arial" w:cs="Arial" w:eastAsia="Arial" w:hAnsi="Arial"/>
                <w:sz w:val="13"/>
                <w:szCs w:val="13"/>
                <w:color w:val="auto"/>
              </w:rPr>
              <w:t>Lee Stillwell</w:t>
            </w:r>
          </w:p>
        </w:tc>
        <w:tc>
          <w:tcPr>
            <w:tcW w:w="1160" w:type="dxa"/>
            <w:vAlign w:val="bottom"/>
            <w:gridSpan w:val="3"/>
          </w:tcPr>
          <w:p>
            <w:pPr>
              <w:ind w:left="800"/>
              <w:spacing w:after="0"/>
              <w:rPr>
                <w:sz w:val="20"/>
                <w:szCs w:val="20"/>
                <w:color w:val="auto"/>
              </w:rPr>
            </w:pPr>
            <w:r>
              <w:rPr>
                <w:rFonts w:ascii="Arial" w:cs="Arial" w:eastAsia="Arial" w:hAnsi="Arial"/>
                <w:sz w:val="13"/>
                <w:szCs w:val="13"/>
                <w:color w:val="auto"/>
              </w:rPr>
              <w:t>—</w:t>
            </w:r>
          </w:p>
        </w:tc>
        <w:tc>
          <w:tcPr>
            <w:tcW w:w="1620" w:type="dxa"/>
            <w:vAlign w:val="bottom"/>
            <w:gridSpan w:val="3"/>
          </w:tcPr>
          <w:p>
            <w:pPr>
              <w:ind w:left="102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 xml:space="preserve">24,916 </w:t>
            </w:r>
            <w:r>
              <w:rPr>
                <w:rFonts w:ascii="Arial" w:cs="Arial" w:eastAsia="Arial" w:hAnsi="Arial"/>
                <w:sz w:val="8"/>
                <w:szCs w:val="8"/>
                <w:color w:val="auto"/>
              </w:rPr>
              <w:t>(8)</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497,074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32"/>
        </w:trPr>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311"/>
        </w:trPr>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35" w:lineRule="exact"/>
        <w:rPr>
          <w:sz w:val="20"/>
          <w:szCs w:val="20"/>
          <w:color w:val="auto"/>
        </w:rPr>
      </w:pPr>
    </w:p>
    <w:p>
      <w:pPr>
        <w:ind w:left="140" w:hanging="132"/>
        <w:spacing w:after="0"/>
        <w:tabs>
          <w:tab w:leader="none" w:pos="140" w:val="left"/>
        </w:tabs>
        <w:numPr>
          <w:ilvl w:val="0"/>
          <w:numId w:val="45"/>
        </w:numPr>
        <w:rPr>
          <w:rFonts w:ascii="Arial" w:cs="Arial" w:eastAsia="Arial" w:hAnsi="Arial"/>
          <w:sz w:val="9"/>
          <w:szCs w:val="9"/>
          <w:color w:val="auto"/>
        </w:rPr>
      </w:pPr>
      <w:r>
        <w:rPr>
          <w:rFonts w:ascii="Arial" w:cs="Arial" w:eastAsia="Arial" w:hAnsi="Arial"/>
          <w:sz w:val="14"/>
          <w:szCs w:val="14"/>
          <w:color w:val="auto"/>
        </w:rPr>
        <w:t>Assumes achievement at target award level for 2017, 2018 and 2019 RPSU awards as discussed in the CD&amp;A.</w:t>
      </w:r>
    </w:p>
    <w:p>
      <w:pPr>
        <w:spacing w:after="0" w:line="55" w:lineRule="exact"/>
        <w:rPr>
          <w:rFonts w:ascii="Arial" w:cs="Arial" w:eastAsia="Arial" w:hAnsi="Arial"/>
          <w:sz w:val="9"/>
          <w:szCs w:val="9"/>
          <w:color w:val="auto"/>
        </w:rPr>
      </w:pPr>
    </w:p>
    <w:p>
      <w:pPr>
        <w:ind w:firstLine="8"/>
        <w:spacing w:after="0" w:line="273" w:lineRule="auto"/>
        <w:tabs>
          <w:tab w:leader="none" w:pos="127" w:val="left"/>
        </w:tabs>
        <w:numPr>
          <w:ilvl w:val="0"/>
          <w:numId w:val="45"/>
        </w:numPr>
        <w:rPr>
          <w:rFonts w:ascii="Arial" w:cs="Arial" w:eastAsia="Arial" w:hAnsi="Arial"/>
          <w:sz w:val="9"/>
          <w:szCs w:val="9"/>
          <w:color w:val="auto"/>
        </w:rPr>
      </w:pPr>
      <w:r>
        <w:rPr>
          <w:rFonts w:ascii="Arial" w:cs="Arial" w:eastAsia="Arial" w:hAnsi="Arial"/>
          <w:sz w:val="14"/>
          <w:szCs w:val="14"/>
          <w:color w:val="auto"/>
        </w:rPr>
        <w:t>This amount represents 16,840 RSUs that vested on January 2, 2020, 8,776 RSUs that vested on January 3, 2020, 16,861 RSUs that will vest on January 2, 2021, and 9,789 RSUs that will vest on January 2, 2022.</w:t>
      </w:r>
    </w:p>
    <w:p>
      <w:pPr>
        <w:spacing w:after="0" w:line="11" w:lineRule="exact"/>
        <w:rPr>
          <w:rFonts w:ascii="Arial" w:cs="Arial" w:eastAsia="Arial" w:hAnsi="Arial"/>
          <w:sz w:val="9"/>
          <w:szCs w:val="9"/>
          <w:color w:val="auto"/>
        </w:rPr>
      </w:pPr>
    </w:p>
    <w:p>
      <w:pPr>
        <w:ind w:right="20" w:firstLine="8"/>
        <w:spacing w:after="0" w:line="273" w:lineRule="auto"/>
        <w:tabs>
          <w:tab w:leader="none" w:pos="141" w:val="left"/>
        </w:tabs>
        <w:numPr>
          <w:ilvl w:val="0"/>
          <w:numId w:val="45"/>
        </w:numPr>
        <w:rPr>
          <w:rFonts w:ascii="Arial" w:cs="Arial" w:eastAsia="Arial" w:hAnsi="Arial"/>
          <w:sz w:val="9"/>
          <w:szCs w:val="9"/>
          <w:color w:val="auto"/>
        </w:rPr>
      </w:pPr>
      <w:r>
        <w:rPr>
          <w:rFonts w:ascii="Arial" w:cs="Arial" w:eastAsia="Arial" w:hAnsi="Arial"/>
          <w:sz w:val="14"/>
          <w:szCs w:val="14"/>
          <w:color w:val="auto"/>
        </w:rPr>
        <w:t>This amount represents 39,375 RPSUs that vested on January 3, 2020, 39,599 that will vest on January 2, 2021, and 54,671 that will vest on January 2, 2022. On January 3, 2020, the 2017 RPSU award vested at 157% of target based on the Company’s TSR performance ranked against the TSR performance of the Performance Peer Group.</w:t>
      </w:r>
    </w:p>
    <w:p>
      <w:pPr>
        <w:spacing w:after="0" w:line="11" w:lineRule="exact"/>
        <w:rPr>
          <w:rFonts w:ascii="Arial" w:cs="Arial" w:eastAsia="Arial" w:hAnsi="Arial"/>
          <w:sz w:val="9"/>
          <w:szCs w:val="9"/>
          <w:color w:val="auto"/>
        </w:rPr>
      </w:pPr>
    </w:p>
    <w:p>
      <w:pPr>
        <w:ind w:firstLine="8"/>
        <w:spacing w:after="0" w:line="273" w:lineRule="auto"/>
        <w:tabs>
          <w:tab w:leader="none" w:pos="141" w:val="left"/>
        </w:tabs>
        <w:numPr>
          <w:ilvl w:val="0"/>
          <w:numId w:val="45"/>
        </w:numPr>
        <w:rPr>
          <w:rFonts w:ascii="Arial" w:cs="Arial" w:eastAsia="Arial" w:hAnsi="Arial"/>
          <w:sz w:val="9"/>
          <w:szCs w:val="9"/>
          <w:color w:val="auto"/>
        </w:rPr>
      </w:pPr>
      <w:r>
        <w:rPr>
          <w:rFonts w:ascii="Arial" w:cs="Arial" w:eastAsia="Arial" w:hAnsi="Arial"/>
          <w:sz w:val="14"/>
          <w:szCs w:val="14"/>
          <w:color w:val="auto"/>
        </w:rPr>
        <w:t>This amount represents 5,017 RSUs that vested on January 2, 2020, 2,458 RSUs that vested on January 3, 2020, 5,024 RSUs that will vest on January 2, 2021, and 3,045 RSUs that will vest on January 2, 2022.</w:t>
      </w:r>
    </w:p>
    <w:p>
      <w:pPr>
        <w:spacing w:after="0" w:line="11" w:lineRule="exact"/>
        <w:rPr>
          <w:rFonts w:ascii="Arial" w:cs="Arial" w:eastAsia="Arial" w:hAnsi="Arial"/>
          <w:sz w:val="9"/>
          <w:szCs w:val="9"/>
          <w:color w:val="auto"/>
        </w:rPr>
      </w:pPr>
    </w:p>
    <w:p>
      <w:pPr>
        <w:ind w:firstLine="8"/>
        <w:spacing w:after="0" w:line="273" w:lineRule="auto"/>
        <w:tabs>
          <w:tab w:leader="none" w:pos="141" w:val="left"/>
        </w:tabs>
        <w:numPr>
          <w:ilvl w:val="0"/>
          <w:numId w:val="45"/>
        </w:numPr>
        <w:rPr>
          <w:rFonts w:ascii="Arial" w:cs="Arial" w:eastAsia="Arial" w:hAnsi="Arial"/>
          <w:sz w:val="9"/>
          <w:szCs w:val="9"/>
          <w:color w:val="auto"/>
        </w:rPr>
      </w:pPr>
      <w:r>
        <w:rPr>
          <w:rFonts w:ascii="Arial" w:cs="Arial" w:eastAsia="Arial" w:hAnsi="Arial"/>
          <w:sz w:val="14"/>
          <w:szCs w:val="14"/>
          <w:color w:val="auto"/>
        </w:rPr>
        <w:t>This amount represents 11,025 RPSUs that vested on January 3, 2020, 11,088 that will vest on January 2, 2021, and 17,001 that will vest on January 2, 2022. On January 3, 2020, the 2017 RPSU award vested at 157% of target based on the Company’s TSR performance ranked against the TSR performance of the Performance Peer Group.</w:t>
      </w:r>
    </w:p>
    <w:p>
      <w:pPr>
        <w:spacing w:after="0" w:line="11" w:lineRule="exact"/>
        <w:rPr>
          <w:rFonts w:ascii="Arial" w:cs="Arial" w:eastAsia="Arial" w:hAnsi="Arial"/>
          <w:sz w:val="9"/>
          <w:szCs w:val="9"/>
          <w:color w:val="auto"/>
        </w:rPr>
      </w:pPr>
    </w:p>
    <w:p>
      <w:pPr>
        <w:ind w:right="20" w:firstLine="8"/>
        <w:spacing w:after="0" w:line="273" w:lineRule="auto"/>
        <w:tabs>
          <w:tab w:leader="none" w:pos="141" w:val="left"/>
        </w:tabs>
        <w:numPr>
          <w:ilvl w:val="0"/>
          <w:numId w:val="45"/>
        </w:numPr>
        <w:rPr>
          <w:rFonts w:ascii="Arial" w:cs="Arial" w:eastAsia="Arial" w:hAnsi="Arial"/>
          <w:sz w:val="9"/>
          <w:szCs w:val="9"/>
          <w:color w:val="auto"/>
        </w:rPr>
      </w:pPr>
      <w:r>
        <w:rPr>
          <w:rFonts w:ascii="Arial" w:cs="Arial" w:eastAsia="Arial" w:hAnsi="Arial"/>
          <w:sz w:val="14"/>
          <w:szCs w:val="14"/>
          <w:color w:val="auto"/>
        </w:rPr>
        <w:t>This amount represents 1,916 RSUs that vested on January 2, 2020, 10,967 RSUs that vested on January 3, 2020, 5,240 RSUs that will vest on January 2, 2021, and 1,923 RSUs that will vest on January 2, 2022.</w:t>
      </w:r>
    </w:p>
    <w:p>
      <w:pPr>
        <w:spacing w:after="0" w:line="11" w:lineRule="exact"/>
        <w:rPr>
          <w:rFonts w:ascii="Arial" w:cs="Arial" w:eastAsia="Arial" w:hAnsi="Arial"/>
          <w:sz w:val="9"/>
          <w:szCs w:val="9"/>
          <w:color w:val="auto"/>
        </w:rPr>
      </w:pPr>
    </w:p>
    <w:p>
      <w:pPr>
        <w:ind w:left="140" w:hanging="132"/>
        <w:spacing w:after="0"/>
        <w:tabs>
          <w:tab w:leader="none" w:pos="140" w:val="left"/>
        </w:tabs>
        <w:numPr>
          <w:ilvl w:val="0"/>
          <w:numId w:val="45"/>
        </w:numPr>
        <w:rPr>
          <w:rFonts w:ascii="Arial" w:cs="Arial" w:eastAsia="Arial" w:hAnsi="Arial"/>
          <w:sz w:val="9"/>
          <w:szCs w:val="9"/>
          <w:color w:val="auto"/>
        </w:rPr>
      </w:pPr>
      <w:r>
        <w:rPr>
          <w:rFonts w:ascii="Arial" w:cs="Arial" w:eastAsia="Arial" w:hAnsi="Arial"/>
          <w:sz w:val="14"/>
          <w:szCs w:val="14"/>
          <w:color w:val="auto"/>
        </w:rPr>
        <w:t>This amount represents 10,738 RPSUs that will vest on January 2, 2022.</w:t>
      </w:r>
    </w:p>
    <w:p>
      <w:pPr>
        <w:spacing w:after="0" w:line="55" w:lineRule="exact"/>
        <w:rPr>
          <w:rFonts w:ascii="Arial" w:cs="Arial" w:eastAsia="Arial" w:hAnsi="Arial"/>
          <w:sz w:val="9"/>
          <w:szCs w:val="9"/>
          <w:color w:val="auto"/>
        </w:rPr>
      </w:pPr>
    </w:p>
    <w:p>
      <w:pPr>
        <w:ind w:firstLine="8"/>
        <w:spacing w:after="0" w:line="273" w:lineRule="auto"/>
        <w:tabs>
          <w:tab w:leader="none" w:pos="127" w:val="left"/>
        </w:tabs>
        <w:numPr>
          <w:ilvl w:val="0"/>
          <w:numId w:val="45"/>
        </w:numPr>
        <w:rPr>
          <w:rFonts w:ascii="Arial" w:cs="Arial" w:eastAsia="Arial" w:hAnsi="Arial"/>
          <w:sz w:val="9"/>
          <w:szCs w:val="9"/>
          <w:color w:val="auto"/>
        </w:rPr>
      </w:pPr>
      <w:r>
        <w:rPr>
          <w:rFonts w:ascii="Arial" w:cs="Arial" w:eastAsia="Arial" w:hAnsi="Arial"/>
          <w:sz w:val="14"/>
          <w:szCs w:val="14"/>
          <w:color w:val="auto"/>
        </w:rPr>
        <w:t>This amount represents 4,283 RSUs that vested on January 2, 2020, 9,249 RSUs that vested on January 3, 2020, 7,087 RSUs that will vest on January 2, 2021, and 4,297 RSUs that will vest on January 2,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2019</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ind w:left="720"/>
              <w:spacing w:after="0"/>
              <w:rPr>
                <w:sz w:val="20"/>
                <w:szCs w:val="20"/>
                <w:color w:val="auto"/>
              </w:rPr>
            </w:pPr>
            <w:r>
              <w:rPr>
                <w:rFonts w:ascii="Arial" w:cs="Arial" w:eastAsia="Arial" w:hAnsi="Arial"/>
                <w:sz w:val="14"/>
                <w:szCs w:val="14"/>
                <w:b w:val="1"/>
                <w:bCs w:val="1"/>
                <w:color w:val="auto"/>
              </w:rPr>
              <w:t>Option Awards</w:t>
            </w:r>
          </w:p>
        </w:tc>
        <w:tc>
          <w:tcPr>
            <w:tcW w:w="2900" w:type="dxa"/>
            <w:vAlign w:val="bottom"/>
            <w:gridSpan w:val="3"/>
          </w:tcPr>
          <w:p>
            <w:pPr>
              <w:jc w:val="right"/>
              <w:ind w:right="938"/>
              <w:spacing w:after="0"/>
              <w:rPr>
                <w:sz w:val="20"/>
                <w:szCs w:val="20"/>
                <w:color w:val="auto"/>
              </w:rPr>
            </w:pPr>
            <w:r>
              <w:rPr>
                <w:rFonts w:ascii="Arial" w:cs="Arial" w:eastAsia="Arial" w:hAnsi="Arial"/>
                <w:sz w:val="14"/>
                <w:szCs w:val="14"/>
                <w:b w:val="1"/>
                <w:bCs w:val="1"/>
                <w:color w:val="auto"/>
              </w:rPr>
              <w:t>Stock Awards</w:t>
            </w:r>
          </w:p>
        </w:tc>
      </w:tr>
      <w:tr>
        <w:trPr>
          <w:trHeight w:val="166"/>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Number of Shares</w:t>
            </w: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1620" w:type="dxa"/>
            <w:vAlign w:val="bottom"/>
            <w:tcBorders>
              <w:top w:val="single" w:sz="8" w:color="auto"/>
            </w:tcBorders>
          </w:tcPr>
          <w:p>
            <w:pPr>
              <w:spacing w:after="0"/>
              <w:rPr>
                <w:sz w:val="14"/>
                <w:szCs w:val="14"/>
                <w:color w:val="auto"/>
              </w:rPr>
            </w:pPr>
          </w:p>
        </w:tc>
      </w:tr>
      <w:tr>
        <w:trPr>
          <w:trHeight w:val="162"/>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Acquired on</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Value Realized</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Acquired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Value Realized</w:t>
            </w:r>
          </w:p>
        </w:tc>
      </w:tr>
      <w:tr>
        <w:trPr>
          <w:trHeight w:val="162"/>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on Exercise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on Vesting</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on Vesting</w:t>
            </w:r>
          </w:p>
        </w:tc>
      </w:tr>
      <w:tr>
        <w:trPr>
          <w:trHeight w:val="20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t>
            </w:r>
            <w:r>
              <w:rPr>
                <w:rFonts w:ascii="Arial" w:cs="Arial" w:eastAsia="Arial" w:hAnsi="Arial"/>
                <w:sz w:val="8"/>
                <w:szCs w:val="8"/>
                <w:b w:val="1"/>
                <w:bCs w:val="1"/>
                <w:color w:val="auto"/>
                <w:w w:val="96"/>
              </w:rPr>
              <w:t>(1)</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70"/>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Christopher S. Sotos</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95,628 </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1,676,418 </w:t>
            </w:r>
            <w:r>
              <w:rPr>
                <w:rFonts w:ascii="Arial" w:cs="Arial" w:eastAsia="Arial" w:hAnsi="Arial"/>
                <w:sz w:val="25"/>
                <w:szCs w:val="25"/>
                <w:color w:val="auto"/>
                <w:vertAlign w:val="superscript"/>
              </w:rPr>
              <w:t>(3)</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Chad Plotkin</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70" w:lineRule="exact"/>
              <w:rPr>
                <w:sz w:val="20"/>
                <w:szCs w:val="20"/>
                <w:color w:val="auto"/>
              </w:rPr>
            </w:pPr>
            <w:r>
              <w:rPr>
                <w:rFonts w:ascii="Arial" w:cs="Arial" w:eastAsia="Arial" w:hAnsi="Arial"/>
                <w:sz w:val="18"/>
                <w:szCs w:val="18"/>
                <w:color w:val="auto"/>
              </w:rPr>
              <w:t xml:space="preserve">9,801 </w:t>
            </w:r>
            <w:r>
              <w:rPr>
                <w:rFonts w:ascii="Arial" w:cs="Arial" w:eastAsia="Arial" w:hAnsi="Arial"/>
                <w:sz w:val="25"/>
                <w:szCs w:val="25"/>
                <w:color w:val="auto"/>
                <w:vertAlign w:val="superscript"/>
              </w:rPr>
              <w:t>(4)</w:t>
            </w:r>
          </w:p>
        </w:tc>
        <w:tc>
          <w:tcPr>
            <w:tcW w:w="100" w:type="dxa"/>
            <w:vAlign w:val="bottom"/>
          </w:tcPr>
          <w:p>
            <w:pPr>
              <w:spacing w:after="0"/>
              <w:rPr>
                <w:sz w:val="23"/>
                <w:szCs w:val="23"/>
                <w:color w:val="auto"/>
              </w:rPr>
            </w:pPr>
          </w:p>
        </w:tc>
        <w:tc>
          <w:tcPr>
            <w:tcW w:w="1620" w:type="dxa"/>
            <w:vAlign w:val="bottom"/>
          </w:tcPr>
          <w:p>
            <w:pPr>
              <w:jc w:val="right"/>
              <w:spacing w:after="0" w:line="270" w:lineRule="exact"/>
              <w:rPr>
                <w:sz w:val="20"/>
                <w:szCs w:val="20"/>
                <w:color w:val="auto"/>
              </w:rPr>
            </w:pPr>
            <w:r>
              <w:rPr>
                <w:rFonts w:ascii="Arial" w:cs="Arial" w:eastAsia="Arial" w:hAnsi="Arial"/>
                <w:sz w:val="18"/>
                <w:szCs w:val="18"/>
                <w:color w:val="auto"/>
              </w:rPr>
              <w:t xml:space="preserve">170,136 </w:t>
            </w:r>
            <w:r>
              <w:rPr>
                <w:rFonts w:ascii="Arial" w:cs="Arial" w:eastAsia="Arial" w:hAnsi="Arial"/>
                <w:sz w:val="25"/>
                <w:szCs w:val="25"/>
                <w:color w:val="auto"/>
                <w:vertAlign w:val="superscript"/>
              </w:rPr>
              <w:t>(3)</w:t>
            </w:r>
          </w:p>
        </w:tc>
      </w:tr>
      <w:tr>
        <w:trPr>
          <w:trHeight w:val="270"/>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Kevin P. Malcarney</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auto"/>
              </w:rPr>
              <w:t>19,943</w:t>
            </w:r>
            <w:r>
              <w:rPr>
                <w:rFonts w:ascii="Arial" w:cs="Arial" w:eastAsia="Arial" w:hAnsi="Arial"/>
                <w:sz w:val="25"/>
                <w:szCs w:val="25"/>
                <w:color w:val="auto"/>
                <w:vertAlign w:val="superscript"/>
              </w:rPr>
              <w:t>(5)</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auto"/>
              </w:rPr>
              <w:t>351,612</w:t>
            </w:r>
            <w:r>
              <w:rPr>
                <w:rFonts w:ascii="Arial" w:cs="Arial" w:eastAsia="Arial" w:hAnsi="Arial"/>
                <w:sz w:val="25"/>
                <w:szCs w:val="25"/>
                <w:color w:val="auto"/>
                <w:vertAlign w:val="superscript"/>
              </w:rPr>
              <w:t>(6)</w:t>
            </w:r>
          </w:p>
        </w:tc>
      </w:tr>
      <w:tr>
        <w:trPr>
          <w:trHeight w:val="341"/>
        </w:trPr>
        <w:tc>
          <w:tcPr>
            <w:tcW w:w="542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Mary</w:t>
            </w:r>
            <w:r>
              <w:rPr>
                <w:rFonts w:ascii="MS PGothic" w:cs="MS PGothic" w:eastAsia="MS PGothic" w:hAnsi="MS PGothic"/>
                <w:sz w:val="18"/>
                <w:szCs w:val="18"/>
                <w:color w:val="auto"/>
              </w:rPr>
              <w:t>‑</w:t>
            </w:r>
            <w:r>
              <w:rPr>
                <w:rFonts w:ascii="Arial" w:cs="Arial" w:eastAsia="Arial" w:hAnsi="Arial"/>
                <w:sz w:val="18"/>
                <w:szCs w:val="18"/>
                <w:color w:val="auto"/>
              </w:rPr>
              <w:t>Lee Stillwell</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16,523</w:t>
            </w:r>
            <w:r>
              <w:rPr>
                <w:rFonts w:ascii="Arial" w:cs="Arial" w:eastAsia="Arial" w:hAnsi="Arial"/>
                <w:sz w:val="25"/>
                <w:szCs w:val="25"/>
                <w:color w:val="auto"/>
                <w:vertAlign w:val="superscript"/>
              </w:rPr>
              <w:t>(7)</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291,303</w:t>
            </w:r>
            <w:r>
              <w:rPr>
                <w:rFonts w:ascii="Arial" w:cs="Arial" w:eastAsia="Arial" w:hAnsi="Arial"/>
                <w:sz w:val="25"/>
                <w:szCs w:val="25"/>
                <w:color w:val="auto"/>
                <w:vertAlign w:val="superscript"/>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4147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68" w:lineRule="exact"/>
        <w:rPr>
          <w:sz w:val="20"/>
          <w:szCs w:val="20"/>
          <w:color w:val="auto"/>
        </w:rPr>
      </w:pPr>
    </w:p>
    <w:p>
      <w:pPr>
        <w:ind w:left="140" w:hanging="132"/>
        <w:spacing w:after="0"/>
        <w:tabs>
          <w:tab w:leader="none" w:pos="140" w:val="left"/>
        </w:tabs>
        <w:numPr>
          <w:ilvl w:val="0"/>
          <w:numId w:val="46"/>
        </w:numPr>
        <w:rPr>
          <w:rFonts w:ascii="Arial" w:cs="Arial" w:eastAsia="Arial" w:hAnsi="Arial"/>
          <w:sz w:val="9"/>
          <w:szCs w:val="9"/>
          <w:color w:val="auto"/>
        </w:rPr>
      </w:pPr>
      <w:r>
        <w:rPr>
          <w:rFonts w:ascii="Arial" w:cs="Arial" w:eastAsia="Arial" w:hAnsi="Arial"/>
          <w:sz w:val="14"/>
          <w:szCs w:val="14"/>
          <w:color w:val="auto"/>
        </w:rPr>
        <w:t>Includes shares and DERs that vested pursuant to underlying awards and converted to Class C common stock in 2019.</w:t>
      </w:r>
    </w:p>
    <w:p>
      <w:pPr>
        <w:spacing w:after="0" w:line="13" w:lineRule="exact"/>
        <w:rPr>
          <w:rFonts w:ascii="Arial" w:cs="Arial" w:eastAsia="Arial" w:hAnsi="Arial"/>
          <w:sz w:val="9"/>
          <w:szCs w:val="9"/>
          <w:color w:val="auto"/>
        </w:rPr>
      </w:pPr>
    </w:p>
    <w:p>
      <w:pPr>
        <w:jc w:val="both"/>
        <w:ind w:firstLine="8"/>
        <w:spacing w:after="0" w:line="241" w:lineRule="auto"/>
        <w:tabs>
          <w:tab w:leader="none" w:pos="141" w:val="left"/>
        </w:tabs>
        <w:numPr>
          <w:ilvl w:val="0"/>
          <w:numId w:val="46"/>
        </w:numPr>
        <w:rPr>
          <w:rFonts w:ascii="Arial" w:cs="Arial" w:eastAsia="Arial" w:hAnsi="Arial"/>
          <w:sz w:val="9"/>
          <w:szCs w:val="9"/>
          <w:color w:val="auto"/>
        </w:rPr>
      </w:pPr>
      <w:r>
        <w:rPr>
          <w:rFonts w:ascii="Arial" w:cs="Arial" w:eastAsia="Arial" w:hAnsi="Arial"/>
          <w:sz w:val="14"/>
          <w:szCs w:val="14"/>
          <w:color w:val="auto"/>
        </w:rPr>
        <w:t>Represents 7,080 RSUs and 509 DERs that vested on January 2, 2019 pursuant to the stock compensation award granted on January 2, 2018. Represents 8,749 RSUs and 1,207 DERs that vested on January 3, 2019 pursuant to the stock compensation award granted on January 3, 2017. Represents 66,559 RSUs and 11,524 DERs that vested on January 4, 2019 pursuant to the stock compensation award granted on August 8, 2016.</w:t>
      </w:r>
    </w:p>
    <w:p>
      <w:pPr>
        <w:spacing w:after="0" w:line="1" w:lineRule="exact"/>
        <w:rPr>
          <w:rFonts w:ascii="Arial" w:cs="Arial" w:eastAsia="Arial" w:hAnsi="Arial"/>
          <w:sz w:val="9"/>
          <w:szCs w:val="9"/>
          <w:color w:val="auto"/>
        </w:rPr>
      </w:pPr>
    </w:p>
    <w:p>
      <w:pPr>
        <w:jc w:val="both"/>
        <w:ind w:firstLine="8"/>
        <w:spacing w:after="0" w:line="245" w:lineRule="auto"/>
        <w:tabs>
          <w:tab w:leader="none" w:pos="127" w:val="left"/>
        </w:tabs>
        <w:numPr>
          <w:ilvl w:val="0"/>
          <w:numId w:val="46"/>
        </w:numPr>
        <w:rPr>
          <w:rFonts w:ascii="Arial" w:cs="Arial" w:eastAsia="Arial" w:hAnsi="Arial"/>
          <w:sz w:val="9"/>
          <w:szCs w:val="9"/>
          <w:color w:val="auto"/>
        </w:rPr>
      </w:pPr>
      <w:r>
        <w:rPr>
          <w:rFonts w:ascii="Arial" w:cs="Arial" w:eastAsia="Arial" w:hAnsi="Arial"/>
          <w:sz w:val="14"/>
          <w:szCs w:val="14"/>
          <w:color w:val="auto"/>
        </w:rPr>
        <w:t>The values are based on January 2, 2019 Class C common stock closing share price of $17.20 for awards and DERs that vested on January 2, 2019. The values are based on January 3, 2019 Class C common stock closing share price of $17.00 for awards and DERs that vested on January 3, 2019. The values are based on January 4, 2019 Class C common stock closing share price of $17.63 for awards and DERs that vested on January 4, 2019.</w:t>
      </w:r>
    </w:p>
    <w:p>
      <w:pPr>
        <w:spacing w:after="0" w:line="21" w:lineRule="exact"/>
        <w:rPr>
          <w:rFonts w:ascii="Arial" w:cs="Arial" w:eastAsia="Arial" w:hAnsi="Arial"/>
          <w:sz w:val="9"/>
          <w:szCs w:val="9"/>
          <w:color w:val="auto"/>
        </w:rPr>
      </w:pPr>
    </w:p>
    <w:p>
      <w:pPr>
        <w:jc w:val="both"/>
        <w:ind w:right="20" w:firstLine="8"/>
        <w:spacing w:after="0" w:line="308" w:lineRule="auto"/>
        <w:tabs>
          <w:tab w:leader="none" w:pos="141" w:val="left"/>
        </w:tabs>
        <w:numPr>
          <w:ilvl w:val="0"/>
          <w:numId w:val="46"/>
        </w:numPr>
        <w:rPr>
          <w:rFonts w:ascii="Arial" w:cs="Arial" w:eastAsia="Arial" w:hAnsi="Arial"/>
          <w:sz w:val="16"/>
          <w:szCs w:val="16"/>
          <w:color w:val="auto"/>
          <w:vertAlign w:val="superscript"/>
        </w:rPr>
      </w:pPr>
      <w:r>
        <w:rPr>
          <w:rFonts w:ascii="Arial" w:cs="Arial" w:eastAsia="Arial" w:hAnsi="Arial"/>
          <w:sz w:val="13"/>
          <w:szCs w:val="13"/>
          <w:color w:val="auto"/>
        </w:rPr>
        <w:t>Represents 1,982 RSUs and 142 DERs that vested on January 2, 2019 pursuant to the stock compensation award granted on January 2, 2018. Represents 2,450 RSUs and 338 DERs that vested on January 3, 2019 pursuant to the stock compensation award granted on January 3, 2017. Represents 4,226 RSUs and 663 DERs that vested on January 4, 2019 pursuant to the stock compensation award granted on November 7, 2016.</w:t>
      </w:r>
    </w:p>
    <w:p>
      <w:pPr>
        <w:spacing w:after="0" w:line="1"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46"/>
        </w:numPr>
        <w:rPr>
          <w:rFonts w:ascii="Arial" w:cs="Arial" w:eastAsia="Arial" w:hAnsi="Arial"/>
          <w:sz w:val="9"/>
          <w:szCs w:val="9"/>
          <w:color w:val="auto"/>
        </w:rPr>
      </w:pPr>
      <w:r>
        <w:rPr>
          <w:rFonts w:ascii="Arial" w:cs="Arial" w:eastAsia="Arial" w:hAnsi="Arial"/>
          <w:sz w:val="14"/>
          <w:szCs w:val="14"/>
          <w:color w:val="auto"/>
        </w:rPr>
        <w:t>Represents 18,942 RSUs and 1,001 DERs that vested on January 4, 2019 pursuant to the stock compensation award granted on May 11, 2018.</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15"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7"/>
                <w:szCs w:val="17"/>
                <w:color w:val="auto"/>
                <w:w w:val="94"/>
                <w:vertAlign w:val="superscript"/>
              </w:rPr>
              <w:t>(6)</w:t>
            </w:r>
            <w:r>
              <w:rPr>
                <w:rFonts w:ascii="Arial" w:cs="Arial" w:eastAsia="Arial" w:hAnsi="Arial"/>
                <w:sz w:val="14"/>
                <w:szCs w:val="14"/>
                <w:color w:val="auto"/>
                <w:w w:val="94"/>
              </w:rPr>
              <w:t xml:space="preserve"> The values are based on January 4, 2019 Class C common stock closing share price of $17.63 for awards and DERs that vested on January</w:t>
            </w:r>
          </w:p>
        </w:tc>
        <w:tc>
          <w:tcPr>
            <w:tcW w:w="720" w:type="dxa"/>
            <w:vAlign w:val="bottom"/>
          </w:tcPr>
          <w:p>
            <w:pPr>
              <w:jc w:val="right"/>
              <w:spacing w:after="0"/>
              <w:rPr>
                <w:sz w:val="20"/>
                <w:szCs w:val="20"/>
                <w:color w:val="auto"/>
              </w:rPr>
            </w:pPr>
            <w:r>
              <w:rPr>
                <w:rFonts w:ascii="Arial" w:cs="Arial" w:eastAsia="Arial" w:hAnsi="Arial"/>
                <w:sz w:val="14"/>
                <w:szCs w:val="14"/>
                <w:color w:val="auto"/>
              </w:rPr>
              <w:t>4, 2019.</w:t>
            </w:r>
          </w:p>
        </w:tc>
      </w:tr>
    </w:tbl>
    <w:p>
      <w:pPr>
        <w:ind w:left="140" w:hanging="132"/>
        <w:spacing w:after="0"/>
        <w:tabs>
          <w:tab w:leader="none" w:pos="140" w:val="left"/>
        </w:tabs>
        <w:numPr>
          <w:ilvl w:val="0"/>
          <w:numId w:val="47"/>
        </w:numPr>
        <w:rPr>
          <w:rFonts w:ascii="Arial" w:cs="Arial" w:eastAsia="Arial" w:hAnsi="Arial"/>
          <w:sz w:val="9"/>
          <w:szCs w:val="9"/>
          <w:color w:val="auto"/>
        </w:rPr>
      </w:pPr>
      <w:r>
        <w:rPr>
          <w:rFonts w:ascii="Arial" w:cs="Arial" w:eastAsia="Arial" w:hAnsi="Arial"/>
          <w:sz w:val="14"/>
          <w:szCs w:val="14"/>
          <w:color w:val="auto"/>
        </w:rPr>
        <w:t>Represents 15,975 RSUs and 548 DERs that vested on January 4, 2019 pursuant to the stock compensation award granted on August 31, 2018.</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entered into employment agreements with any officers other than Mr. Sotos.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August 8, 2016, the Company entered into an employment agreement with Mr. Sotos pursuant to which Mr. Sotos serves as the Company’s President and CEO for the term that began on May 6, 2016 (the “Effective Date”) and ending on the date that his employment is terminated by either party. The employment agreement entitled Mr. Sotos to an annual base salary of $500,000 for the period beginning on the Effective Date and ended on December 31, 2016. For each annual period thereafter, our Board determines whether to increase Mr. Sotos’ annual base salary (as noted in the above Summary Compensation Table, Mr. Sotos’ base salary was increased to over $600,000 for fiscal year 2019). The employment agreement provides that, beginning with the 2016 fiscal year, Mr. Sotos is eligible to receive an annual bonus at a target amount equal to 100% of base salary (i.e., AIP bonus), based on achievement of criteria determined by the Board with input from Mr. Sotos. The maximum award opportunity each year is 200% of the target amount. The employment agreement further provides that Mr. Sotos is eligible to participate in the LTIP, on such terms as are set forth in the plan. Mr. Sotos’ target LTIP award for the 2019 fiscal year was approximately 250% of base salary.</w:t>
      </w:r>
    </w:p>
    <w:p>
      <w:pPr>
        <w:spacing w:after="0" w:line="1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compensation and benefits described above, as well as paid vacation and director and officer liability insurance, the employment agreement provides that Mr. Sotos will receive the following:</w:t>
      </w:r>
    </w:p>
    <w:p>
      <w:pPr>
        <w:spacing w:after="0" w:line="116"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Reimbursement for annual tax return preparation expenses and tax advice and financial planning, up to a maximum of $12,000 per year;</w:t>
      </w:r>
    </w:p>
    <w:p>
      <w:pPr>
        <w:spacing w:after="0" w:line="182"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Eligibility to participate in the Company’s retirement plans, health and welfare plans, and disability insurance plans under the same terms, and to the same extent, as other senior management of the Company;</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Reimbursement for the costs of litigation or other disputes incurred in asserting any claims under the employment agreement, unless the court finds in favor of the Company; and</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Reimbursement for legal fees and expenses incurred in connection with negotiating the employment agreement and other agreements referenced therein, up to a maximum of $6,000, which reimbursement was completed in 2016.</w:t>
      </w:r>
    </w:p>
    <w:p>
      <w:pPr>
        <w:spacing w:after="0" w:line="116"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The employment agreement also entitles him to certain severance payments and benefits in the event his employment terminates under certain circumstances. These severance payments and benefits are described and quantified under the section “Severance and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 below. In addition, under the employment agreement, the Company has agreed to indemnify Mr. Sotos against any claims arising as a result of his position with the Company to the maximum extent permitted by law.</w:t>
      </w:r>
    </w:p>
    <w:p>
      <w:pPr>
        <w:spacing w:after="0" w:line="150"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The employment agreement includes non</w:t>
      </w:r>
      <w:r>
        <w:rPr>
          <w:rFonts w:ascii="MS PGothic" w:cs="MS PGothic" w:eastAsia="MS PGothic" w:hAnsi="MS PGothic"/>
          <w:sz w:val="17"/>
          <w:szCs w:val="17"/>
          <w:color w:val="auto"/>
        </w:rPr>
        <w:t>‑</w:t>
      </w:r>
      <w:r>
        <w:rPr>
          <w:rFonts w:ascii="Arial" w:cs="Arial" w:eastAsia="Arial" w:hAnsi="Arial"/>
          <w:sz w:val="17"/>
          <w:szCs w:val="17"/>
          <w:color w:val="auto"/>
        </w:rPr>
        <w:t>competition and non</w:t>
      </w:r>
      <w:r>
        <w:rPr>
          <w:rFonts w:ascii="MS PGothic" w:cs="MS PGothic" w:eastAsia="MS PGothic" w:hAnsi="MS PGothic"/>
          <w:sz w:val="17"/>
          <w:szCs w:val="17"/>
          <w:color w:val="auto"/>
        </w:rPr>
        <w:t>‑</w:t>
      </w:r>
      <w:r>
        <w:rPr>
          <w:rFonts w:ascii="Arial" w:cs="Arial" w:eastAsia="Arial" w:hAnsi="Arial"/>
          <w:sz w:val="17"/>
          <w:szCs w:val="17"/>
          <w:color w:val="auto"/>
        </w:rPr>
        <w:t>solicitation restrictions on Mr. Sotos during the term of his employment and for one year after his termination of employment. The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employment agreement may only be waived with the written consent of the Company and Mr. Sotos.</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Severance and Change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In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Control</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Each NEO’s RPSU and RSU award agreements under the LTIP provide for special treatment in the event of such NEO’s termination of employment under certain circumstances. Upon death or disability, an NEO’s RSUs and RPSUs will vest in full and the performance metrics with respect to the RPSUs will be deemed to be achieved at target levels. Upon retirement, an NEO’s RSUs and RPSUs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Mr. Sotos’ employment agreement with respect to Mr. Sotos’ and as defined in the LTIP with respect to the other NEOs) within the six months immediately prior to, or the 12 months immediately following, a change in control of the Company (as defined in the LTIP), (i) such NEO’s RSUs will vest in full immediately upon the later of such change in control or such termination of employment and (ii) the Compensation Committee will, pursuant to the terms and conditions of the LTIP and RPSU award agreement(s), determine the final amount payable to the NEO, if any, pursuant to his or her RPSUs. In general, no RPSU or RSU accelerated vesting applies to any other involuntary termination, although new hire grants of RSUs, such as the grant made to Ms. Stillwell on August 31, 2018, provide pro-rated vesting for certain involuntary terminations of service that occur in connection with certain significant business events.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48" w:right="239" w:bottom="1440" w:gutter="0" w:footer="0" w:header="0"/>
        </w:sectPr>
      </w:pPr>
    </w:p>
    <w:bookmarkStart w:id="74" w:name="page75"/>
    <w:bookmarkEnd w:id="74"/>
    <w:p>
      <w:pPr>
        <w:jc w:val="both"/>
        <w:ind w:firstLine="648"/>
        <w:spacing w:after="0" w:line="221" w:lineRule="exact"/>
        <w:rPr>
          <w:sz w:val="20"/>
          <w:szCs w:val="20"/>
          <w:color w:val="auto"/>
        </w:rPr>
      </w:pPr>
      <w:r>
        <w:rPr>
          <w:rFonts w:ascii="Arial" w:cs="Arial" w:eastAsia="Arial" w:hAnsi="Arial"/>
          <w:sz w:val="18"/>
          <w:szCs w:val="18"/>
          <w:color w:val="auto"/>
        </w:rPr>
        <w:t>In addition to the above described treatment of his or her equity awards, Mr. Sotos, pursuant to his employment agreement, and the other NEOs, pursuant to the CIC Plan and in some cases, the AIP, are entitled to certain additional severance payments and benefits in the event of termination of employment under certain circumstances, including following a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Sotos’ Benefits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Mr. Sotos’ employment is involuntarily terminated by the Company without cause or if he terminates his employment for good reason, subject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Sotos executing a release of claims, the Company agrees to provide Mr. Sotos with the following severance benefits:</w:t>
      </w:r>
    </w:p>
    <w:p>
      <w:pPr>
        <w:spacing w:after="0" w:line="157"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lump sum payment equal to no less than 1.5 times Mr. Sotos’ annual base salary in effect at the time of the Effective Date;</w:t>
      </w:r>
    </w:p>
    <w:p>
      <w:pPr>
        <w:spacing w:after="0" w:line="171" w:lineRule="exact"/>
        <w:rPr>
          <w:rFonts w:ascii="Arial" w:cs="Arial" w:eastAsia="Arial" w:hAnsi="Arial"/>
          <w:sz w:val="18"/>
          <w:szCs w:val="18"/>
          <w:color w:val="auto"/>
        </w:rPr>
      </w:pPr>
    </w:p>
    <w:p>
      <w:pPr>
        <w:ind w:left="980" w:hanging="324"/>
        <w:spacing w:after="0" w:line="223" w:lineRule="exact"/>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lump sum payment equal to the target bonus opportunity under the then</w:t>
      </w:r>
      <w:r>
        <w:rPr>
          <w:rFonts w:ascii="MS PGothic" w:cs="MS PGothic" w:eastAsia="MS PGothic" w:hAnsi="MS PGothic"/>
          <w:sz w:val="18"/>
          <w:szCs w:val="18"/>
          <w:color w:val="auto"/>
        </w:rPr>
        <w:t>‑</w:t>
      </w:r>
      <w:r>
        <w:rPr>
          <w:rFonts w:ascii="Arial" w:cs="Arial" w:eastAsia="Arial" w:hAnsi="Arial"/>
          <w:sz w:val="18"/>
          <w:szCs w:val="18"/>
          <w:color w:val="auto"/>
        </w:rPr>
        <w:t>current bonus plan, which amount will be pro</w:t>
      </w:r>
      <w:r>
        <w:rPr>
          <w:rFonts w:ascii="MS PGothic" w:cs="MS PGothic" w:eastAsia="MS PGothic" w:hAnsi="MS PGothic"/>
          <w:sz w:val="18"/>
          <w:szCs w:val="18"/>
          <w:color w:val="auto"/>
        </w:rPr>
        <w:t>‑</w:t>
      </w:r>
      <w:r>
        <w:rPr>
          <w:rFonts w:ascii="Arial" w:cs="Arial" w:eastAsia="Arial" w:hAnsi="Arial"/>
          <w:sz w:val="18"/>
          <w:szCs w:val="18"/>
          <w:color w:val="auto"/>
        </w:rPr>
        <w:t>rated based on the number of days during the year that he was employed by the Company;</w:t>
      </w:r>
    </w:p>
    <w:p>
      <w:pPr>
        <w:spacing w:after="0" w:line="149"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unpaid bonus amount for the prior fiscal year to the extent not paid prior to the termination date; and</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Reimbursement of COBRA premiums for 18 months after the date of termination, except that such coverage will be discontinued if Mr. Sotos becomes eligible for medical benefits from a subsequent employer or otherwise.</w:t>
      </w:r>
    </w:p>
    <w:p>
      <w:pPr>
        <w:spacing w:after="0" w:line="116"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If Mr. Sotos’ employment is involuntarily terminated by the Company without cause or if he terminates his employment for good reason within the six months immediately prior to, or the 12 months immediately following, a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 of the Company, in lieu of the severance benefits set forth above, the Company will provide Mr. Sotos with the following severance benefits:</w:t>
      </w:r>
    </w:p>
    <w:p>
      <w:pPr>
        <w:spacing w:after="0" w:line="148" w:lineRule="exact"/>
        <w:rPr>
          <w:sz w:val="20"/>
          <w:szCs w:val="20"/>
          <w:color w:val="auto"/>
        </w:rPr>
      </w:pPr>
    </w:p>
    <w:p>
      <w:pPr>
        <w:ind w:left="980" w:right="2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lump sum payment of no less than three times the sum of (a) Mr. Sotos’ base salary in effect at the Effective Date and (b) Mr. Sotos’ target bonus opportunity for the year of termination;</w:t>
      </w:r>
    </w:p>
    <w:p>
      <w:pPr>
        <w:spacing w:after="0" w:line="116" w:lineRule="exact"/>
        <w:rPr>
          <w:rFonts w:ascii="Arial" w:cs="Arial" w:eastAsia="Arial" w:hAnsi="Arial"/>
          <w:sz w:val="18"/>
          <w:szCs w:val="18"/>
          <w:color w:val="auto"/>
        </w:rPr>
      </w:pPr>
    </w:p>
    <w:p>
      <w:pPr>
        <w:ind w:left="980" w:hanging="324"/>
        <w:spacing w:after="0" w:line="223" w:lineRule="exact"/>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lump sum payment equal to the target bonus opportunity under the then</w:t>
      </w:r>
      <w:r>
        <w:rPr>
          <w:rFonts w:ascii="MS PGothic" w:cs="MS PGothic" w:eastAsia="MS PGothic" w:hAnsi="MS PGothic"/>
          <w:sz w:val="18"/>
          <w:szCs w:val="18"/>
          <w:color w:val="auto"/>
        </w:rPr>
        <w:t>‑</w:t>
      </w:r>
      <w:r>
        <w:rPr>
          <w:rFonts w:ascii="Arial" w:cs="Arial" w:eastAsia="Arial" w:hAnsi="Arial"/>
          <w:sz w:val="18"/>
          <w:szCs w:val="18"/>
          <w:color w:val="auto"/>
        </w:rPr>
        <w:t>current bonus plan, which amount will be pro</w:t>
      </w:r>
      <w:r>
        <w:rPr>
          <w:rFonts w:ascii="MS PGothic" w:cs="MS PGothic" w:eastAsia="MS PGothic" w:hAnsi="MS PGothic"/>
          <w:sz w:val="18"/>
          <w:szCs w:val="18"/>
          <w:color w:val="auto"/>
        </w:rPr>
        <w:t>‑</w:t>
      </w:r>
      <w:r>
        <w:rPr>
          <w:rFonts w:ascii="Arial" w:cs="Arial" w:eastAsia="Arial" w:hAnsi="Arial"/>
          <w:sz w:val="18"/>
          <w:szCs w:val="18"/>
          <w:color w:val="auto"/>
        </w:rPr>
        <w:t>rated based on the number of days during the year that he was employed by the Company;</w:t>
      </w:r>
    </w:p>
    <w:p>
      <w:pPr>
        <w:spacing w:after="0" w:line="14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unpaid bonus amount for the prior fiscal year to the extent not paid prior to the termination date; and</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Reimbursement of COBRA premiums for 18 months after the date of termination, except that such coverage will be discontinued if Mr. Sotos becomes eligible for medical benefits from a subsequent employer or otherwise.</w:t>
      </w:r>
    </w:p>
    <w:p>
      <w:pPr>
        <w:spacing w:after="0" w:line="116"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6"/>
          <w:szCs w:val="16"/>
          <w:color w:val="auto"/>
        </w:rPr>
        <w:t>If Mr. Sotos’ employment is terminated as a result of his death or disability, the Company agrees to pay him an amount equal to the target bonus opportunity for the year of termination, which amount will be pro</w:t>
      </w:r>
      <w:r>
        <w:rPr>
          <w:rFonts w:ascii="MS PGothic" w:cs="MS PGothic" w:eastAsia="MS PGothic" w:hAnsi="MS PGothic"/>
          <w:sz w:val="16"/>
          <w:szCs w:val="16"/>
          <w:color w:val="auto"/>
        </w:rPr>
        <w:t>‑</w:t>
      </w:r>
      <w:r>
        <w:rPr>
          <w:rFonts w:ascii="Arial" w:cs="Arial" w:eastAsia="Arial" w:hAnsi="Arial"/>
          <w:sz w:val="16"/>
          <w:szCs w:val="16"/>
          <w:color w:val="auto"/>
        </w:rPr>
        <w:t>rated based on the number of days during the year that Mr. Sotos’ was employed by the Company. In addition, the Company will pay Mr. Sotos any unpaid bonus amount for the prior fiscal year to the extent not paid prior to the termination date.</w:t>
      </w:r>
    </w:p>
    <w:p>
      <w:pPr>
        <w:spacing w:after="0" w:line="148" w:lineRule="exact"/>
        <w:rPr>
          <w:sz w:val="20"/>
          <w:szCs w:val="20"/>
          <w:color w:val="auto"/>
        </w:rPr>
      </w:pPr>
    </w:p>
    <w:p>
      <w:pPr>
        <w:jc w:val="both"/>
        <w:ind w:right="20" w:firstLine="648"/>
        <w:spacing w:after="0" w:line="221" w:lineRule="exact"/>
        <w:rPr>
          <w:sz w:val="20"/>
          <w:szCs w:val="20"/>
          <w:color w:val="auto"/>
        </w:rPr>
      </w:pPr>
      <w:r>
        <w:rPr>
          <w:rFonts w:ascii="Arial" w:cs="Arial" w:eastAsia="Arial" w:hAnsi="Arial"/>
          <w:sz w:val="18"/>
          <w:szCs w:val="18"/>
          <w:color w:val="auto"/>
        </w:rPr>
        <w:t>If an excise tax under Section 4999 of the Code would be triggered by any payments under Mr. Sotos’ employment agreement or otherwise upon a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 the Company will reduce such payments so that no amounts are subject to Section 4999 of the Code, if such reduction would cause the amount to be retained by Mr. Sotos to be greater than if Mr. Sotos were required to pay such excise tax.</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NEO Benefits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Eligible NEOs may receive a discretionary payment of the prorated target bonus under the AIP in the event of such NEO’s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 In addition, under the CIC Plan, in the event of involuntary termination without cause, eligible NEOs are entitled to a general severance benefit equal to 1.5 times base salary payable in a lump sum amount and reimbursement for COBRA benefits continuation cost for a period of 18 months.</w:t>
      </w:r>
    </w:p>
    <w:p>
      <w:pPr>
        <w:spacing w:after="0" w:line="104"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The CIC Plan also provides a change</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control benefit in the event that, within six months prior to, as well as 12 months following, a change</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control, an eligible NEO’s employment is either involuntarily terminated by the Company without cause or voluntarily terminated by such NEO for good reason. Mr. Plotkin’s change</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control benefit consists of an amount equal to 2.99 times the sum of his base salary plus the annual target incentive for the year of termination, payable in a lump sum amount. The change</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control benefit for other eligible NEOs (other than Mr. Plotkin) consists of an amount equal to two times the sum of their base salary plus the annual target incentive for the year of termination, payable in a lump sum amount. All such NEOs are also eligible for an amount equal to their target bonus for the year of termination, prorated for the number of days during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41" w:right="239"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auto"/>
        </w:rPr>
        <w:t>performance period that such NEO was employed by the Company and reimbursement for COBRA benefits continuation cost for a period of 18 months.</w:t>
      </w:r>
    </w:p>
    <w:p>
      <w:pPr>
        <w:spacing w:after="0" w:line="183"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As a condition of receiving severance or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 benefits, an eligible NEO must execute a release of claims and acknowledge the restrictive covenants in the CIC Plan. Such restrictive covenants include non</w:t>
      </w:r>
      <w:r>
        <w:rPr>
          <w:rFonts w:ascii="MS PGothic" w:cs="MS PGothic" w:eastAsia="MS PGothic" w:hAnsi="MS PGothic"/>
          <w:sz w:val="18"/>
          <w:szCs w:val="18"/>
          <w:color w:val="auto"/>
        </w:rPr>
        <w:t>‑</w:t>
      </w:r>
      <w:r>
        <w:rPr>
          <w:rFonts w:ascii="Arial" w:cs="Arial" w:eastAsia="Arial" w:hAnsi="Arial"/>
          <w:sz w:val="18"/>
          <w:szCs w:val="18"/>
          <w:color w:val="auto"/>
        </w:rPr>
        <w:t>competition, non</w:t>
      </w:r>
      <w:r>
        <w:rPr>
          <w:rFonts w:ascii="MS PGothic" w:cs="MS PGothic" w:eastAsia="MS PGothic" w:hAnsi="MS PGothic"/>
          <w:sz w:val="18"/>
          <w:szCs w:val="18"/>
          <w:color w:val="auto"/>
        </w:rPr>
        <w:t>‑</w:t>
      </w:r>
      <w:r>
        <w:rPr>
          <w:rFonts w:ascii="Arial" w:cs="Arial" w:eastAsia="Arial" w:hAnsi="Arial"/>
          <w:sz w:val="18"/>
          <w:szCs w:val="18"/>
          <w:color w:val="auto"/>
        </w:rPr>
        <w:t>solicitation and non</w:t>
      </w:r>
      <w:r>
        <w:rPr>
          <w:rFonts w:ascii="MS PGothic" w:cs="MS PGothic" w:eastAsia="MS PGothic" w:hAnsi="MS PGothic"/>
          <w:sz w:val="18"/>
          <w:szCs w:val="18"/>
          <w:color w:val="auto"/>
        </w:rPr>
        <w:t>‑</w:t>
      </w:r>
      <w:r>
        <w:rPr>
          <w:rFonts w:ascii="Arial" w:cs="Arial" w:eastAsia="Arial" w:hAnsi="Arial"/>
          <w:sz w:val="18"/>
          <w:szCs w:val="18"/>
          <w:color w:val="auto"/>
        </w:rPr>
        <w:t>disparagement covenants applicable for one year after termination, confidentiality and intellectual property obligations.</w:t>
      </w:r>
    </w:p>
    <w:p>
      <w:pPr>
        <w:spacing w:after="0" w:line="148"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If an excise tax under Section 4999 of the Code would be triggered for an eligible NEO by any payments under the CIC Plan or otherwise upon a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 the Company will reduce such payments so that no amounts are subject to Section 4999 of the Code, if such reduction would cause the amount to be retained such NEO to be greater than if such NEO were required to pay such excise tax.</w:t>
      </w:r>
    </w:p>
    <w:p>
      <w:pPr>
        <w:spacing w:after="0" w:line="148"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Definition of Change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In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Control, Etc.</w:t>
      </w:r>
    </w:p>
    <w:p>
      <w:pPr>
        <w:spacing w:after="0" w:line="171"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In general, under Mr. Sotos’ employment agreement and the CIC Plan, a “change</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control” occurs in the event: (a) any person or entity (with certain exceptions), becomes the direct or indirect beneficial owner of 50% or more of the Company’s voting stock or obtains the power to, directly or indirectly, vote or cause to be voted 50% or more of the Company’s capital stock entitled to vote in the election of directors, including by contract or through proxy, (b) directors serving on the Board as of a specified date cease to constitute at least a majority of the Board unless such directors are approved by a vote of at least two</w:t>
      </w:r>
      <w:r>
        <w:rPr>
          <w:rFonts w:ascii="MS PGothic" w:cs="MS PGothic" w:eastAsia="MS PGothic" w:hAnsi="MS PGothic"/>
          <w:sz w:val="17"/>
          <w:szCs w:val="17"/>
          <w:color w:val="auto"/>
        </w:rPr>
        <w:t>‑</w:t>
      </w:r>
      <w:r>
        <w:rPr>
          <w:rFonts w:ascii="Arial" w:cs="Arial" w:eastAsia="Arial" w:hAnsi="Arial"/>
          <w:sz w:val="17"/>
          <w:szCs w:val="17"/>
          <w:color w:val="auto"/>
        </w:rPr>
        <w:t>thirds (</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and the previous stockholders of the Company fail to own at least 50% of the combined voting power of the resulting entity in substantially the same proportions of their ownership in the Company immediately prior to such transaction, or (d) the stockholders approve a plan or proposal to liquidate or dissolve the Company.</w:t>
      </w:r>
    </w:p>
    <w:p>
      <w:pPr>
        <w:spacing w:after="0" w:line="1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 involuntary termination without “cause” means the NEO’s termination by the Company for any reason other than the NEO’s (a) conviction of, or agreement to a plea of nolo contendere to, a felony or other crime involving moral turpitude (including an indictment therefor under the CIC Plan), (b) willful failure to perform his or her duties, (c) willful gross neglect or willful misconduct (including a material act of theft, fraud, malfeasance or dishonesty in connection with his or her performance of duties under the CIC Plan), or (d) breach of any written agreement between the Company or NEO, a violation of the Company’s Code of Conduct or other written policy (or in Mr. Sotos’ case, a material breach of his employment agreement).</w:t>
      </w:r>
    </w:p>
    <w:p>
      <w:pPr>
        <w:spacing w:after="0" w:line="1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voluntary termination for “good reason” means the resignation of the NEO in the event of (a) a material reduction in his or her compensation or benefits, (b) a material diminution in his or her title, authority, duties or responsibilities, or (c) the failure of a successor to the Company to agree, in writing, to assume the CIC Plan within 15 days after a merger, consolidation, sale or similar transaction. In Mr. Sotos’ case only, “good reason” also includes (i) any material failure by the Company to comply with his employment agreement, (ii) his removal from the Board, (iii) the failure to elect him to the Board during any regular election, (iv) any reduction in his target annual bonus opportunity and long-term incentive award, or (v) a change in reporting structure of the Company requiring Mr. Sotos to report to anyone other than the Board.</w:t>
      </w:r>
    </w:p>
    <w:p>
      <w:pPr>
        <w:spacing w:after="0" w:line="13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Potential Payments Upon Termination or Change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In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Control</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amount of compensation payable to each NEO in each circumstance is shown in the table below, assuming that termination of employment occurred as of December 31, 2019, and including payments that would have been earned as of such date. The amounts shown below do not include benefits payable under the Company’s 401(k) plan.</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460" w:type="dxa"/>
            <w:vAlign w:val="bottom"/>
          </w:tcPr>
          <w:p>
            <w:pPr>
              <w:jc w:val="center"/>
              <w:ind w:left="1328"/>
              <w:spacing w:after="0"/>
              <w:rPr>
                <w:sz w:val="20"/>
                <w:szCs w:val="20"/>
                <w:color w:val="auto"/>
              </w:rPr>
            </w:pPr>
            <w:r>
              <w:rPr>
                <w:rFonts w:ascii="Arial" w:cs="Arial" w:eastAsia="Arial" w:hAnsi="Arial"/>
                <w:sz w:val="14"/>
                <w:szCs w:val="14"/>
                <w:b w:val="1"/>
                <w:bCs w:val="1"/>
                <w:color w:val="auto"/>
                <w:w w:val="98"/>
              </w:rPr>
              <w:t>Involuntary</w:t>
            </w:r>
          </w:p>
        </w:tc>
      </w:tr>
      <w:tr>
        <w:trPr>
          <w:trHeight w:val="162"/>
        </w:trPr>
        <w:tc>
          <w:tcPr>
            <w:tcW w:w="2940" w:type="dxa"/>
            <w:vAlign w:val="bottom"/>
          </w:tcPr>
          <w:p>
            <w:pPr>
              <w:spacing w:after="0"/>
              <w:rPr>
                <w:sz w:val="14"/>
                <w:szCs w:val="14"/>
                <w:color w:val="auto"/>
              </w:rPr>
            </w:pPr>
          </w:p>
        </w:tc>
        <w:tc>
          <w:tcPr>
            <w:tcW w:w="2460" w:type="dxa"/>
            <w:vAlign w:val="bottom"/>
          </w:tcPr>
          <w:p>
            <w:pPr>
              <w:jc w:val="center"/>
              <w:ind w:left="1348"/>
              <w:spacing w:after="0"/>
              <w:rPr>
                <w:sz w:val="20"/>
                <w:szCs w:val="20"/>
                <w:color w:val="auto"/>
              </w:rPr>
            </w:pPr>
            <w:r>
              <w:rPr>
                <w:rFonts w:ascii="Arial" w:cs="Arial" w:eastAsia="Arial" w:hAnsi="Arial"/>
                <w:sz w:val="14"/>
                <w:szCs w:val="14"/>
                <w:b w:val="1"/>
                <w:bCs w:val="1"/>
                <w:color w:val="auto"/>
                <w:w w:val="94"/>
              </w:rPr>
              <w:t>Termination</w:t>
            </w:r>
          </w:p>
        </w:tc>
      </w:tr>
      <w:tr>
        <w:trPr>
          <w:trHeight w:val="200"/>
        </w:trPr>
        <w:tc>
          <w:tcPr>
            <w:tcW w:w="294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2460" w:type="dxa"/>
            <w:vAlign w:val="bottom"/>
          </w:tcPr>
          <w:p>
            <w:pPr>
              <w:jc w:val="center"/>
              <w:ind w:left="1328"/>
              <w:spacing w:after="0"/>
              <w:rPr>
                <w:sz w:val="20"/>
                <w:szCs w:val="20"/>
                <w:color w:val="auto"/>
              </w:rPr>
            </w:pPr>
            <w:r>
              <w:rPr>
                <w:rFonts w:ascii="Arial" w:cs="Arial" w:eastAsia="Arial" w:hAnsi="Arial"/>
                <w:sz w:val="14"/>
                <w:szCs w:val="14"/>
                <w:b w:val="1"/>
                <w:bCs w:val="1"/>
                <w:color w:val="auto"/>
                <w:w w:val="93"/>
              </w:rPr>
              <w:t>Not for Cause ($)</w:t>
            </w:r>
          </w:p>
        </w:tc>
      </w:tr>
    </w:tbl>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7"/>
              </w:rPr>
              <w:t>Involuntary Not for</w:t>
            </w:r>
          </w:p>
        </w:tc>
        <w:tc>
          <w:tcPr>
            <w:tcW w:w="1180" w:type="dxa"/>
            <w:vAlign w:val="bottom"/>
          </w:tcPr>
          <w:p>
            <w:pPr>
              <w:spacing w:after="0"/>
              <w:rPr>
                <w:sz w:val="14"/>
                <w:szCs w:val="14"/>
                <w:color w:val="auto"/>
              </w:rPr>
            </w:pPr>
          </w:p>
        </w:tc>
      </w:tr>
      <w:tr>
        <w:trPr>
          <w:trHeight w:val="162"/>
        </w:trPr>
        <w:tc>
          <w:tcPr>
            <w:tcW w:w="1100" w:type="dxa"/>
            <w:vAlign w:val="bottom"/>
          </w:tcPr>
          <w:p>
            <w:pPr>
              <w:jc w:val="center"/>
              <w:ind w:right="248"/>
              <w:spacing w:after="0"/>
              <w:rPr>
                <w:sz w:val="20"/>
                <w:szCs w:val="20"/>
                <w:color w:val="auto"/>
              </w:rPr>
            </w:pPr>
            <w:r>
              <w:rPr>
                <w:rFonts w:ascii="Arial" w:cs="Arial" w:eastAsia="Arial" w:hAnsi="Arial"/>
                <w:sz w:val="14"/>
                <w:szCs w:val="14"/>
                <w:b w:val="1"/>
                <w:bCs w:val="1"/>
                <w:color w:val="auto"/>
                <w:w w:val="95"/>
              </w:rPr>
              <w:t>Voluntary</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Cause or Voluntary</w:t>
            </w:r>
          </w:p>
        </w:tc>
        <w:tc>
          <w:tcPr>
            <w:tcW w:w="1180" w:type="dxa"/>
            <w:vAlign w:val="bottom"/>
          </w:tcPr>
          <w:p>
            <w:pPr>
              <w:spacing w:after="0"/>
              <w:rPr>
                <w:sz w:val="14"/>
                <w:szCs w:val="14"/>
                <w:color w:val="auto"/>
              </w:rPr>
            </w:pPr>
          </w:p>
        </w:tc>
      </w:tr>
      <w:tr>
        <w:trPr>
          <w:trHeight w:val="162"/>
        </w:trPr>
        <w:tc>
          <w:tcPr>
            <w:tcW w:w="1100" w:type="dxa"/>
            <w:vAlign w:val="bottom"/>
          </w:tcPr>
          <w:p>
            <w:pPr>
              <w:jc w:val="center"/>
              <w:ind w:right="268"/>
              <w:spacing w:after="0"/>
              <w:rPr>
                <w:sz w:val="20"/>
                <w:szCs w:val="20"/>
                <w:color w:val="auto"/>
              </w:rPr>
            </w:pPr>
            <w:r>
              <w:rPr>
                <w:rFonts w:ascii="Arial" w:cs="Arial" w:eastAsia="Arial" w:hAnsi="Arial"/>
                <w:sz w:val="14"/>
                <w:szCs w:val="14"/>
                <w:b w:val="1"/>
                <w:bCs w:val="1"/>
                <w:color w:val="auto"/>
                <w:w w:val="94"/>
              </w:rPr>
              <w:t>Termination</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for Good Reason</w:t>
            </w:r>
          </w:p>
        </w:tc>
        <w:tc>
          <w:tcPr>
            <w:tcW w:w="1180" w:type="dxa"/>
            <w:vAlign w:val="bottom"/>
          </w:tcPr>
          <w:p>
            <w:pPr>
              <w:spacing w:after="0"/>
              <w:rPr>
                <w:sz w:val="14"/>
                <w:szCs w:val="14"/>
                <w:color w:val="auto"/>
              </w:rPr>
            </w:pPr>
          </w:p>
        </w:tc>
      </w:tr>
      <w:tr>
        <w:trPr>
          <w:trHeight w:val="162"/>
        </w:trPr>
        <w:tc>
          <w:tcPr>
            <w:tcW w:w="1100" w:type="dxa"/>
            <w:vAlign w:val="bottom"/>
          </w:tcPr>
          <w:p>
            <w:pPr>
              <w:jc w:val="center"/>
              <w:ind w:right="268"/>
              <w:spacing w:after="0"/>
              <w:rPr>
                <w:sz w:val="20"/>
                <w:szCs w:val="20"/>
                <w:color w:val="auto"/>
              </w:rPr>
            </w:pPr>
            <w:r>
              <w:rPr>
                <w:rFonts w:ascii="Arial" w:cs="Arial" w:eastAsia="Arial" w:hAnsi="Arial"/>
                <w:sz w:val="14"/>
                <w:szCs w:val="14"/>
                <w:b w:val="1"/>
                <w:bCs w:val="1"/>
                <w:color w:val="auto"/>
                <w:w w:val="94"/>
              </w:rPr>
              <w:t>for Good</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Following</w:t>
            </w:r>
          </w:p>
        </w:tc>
        <w:tc>
          <w:tcPr>
            <w:tcW w:w="1180" w:type="dxa"/>
            <w:vAlign w:val="bottom"/>
          </w:tcPr>
          <w:p>
            <w:pPr>
              <w:jc w:val="center"/>
              <w:ind w:left="328"/>
              <w:spacing w:after="0"/>
              <w:rPr>
                <w:sz w:val="20"/>
                <w:szCs w:val="20"/>
                <w:color w:val="auto"/>
              </w:rPr>
            </w:pPr>
            <w:r>
              <w:rPr>
                <w:rFonts w:ascii="Arial" w:cs="Arial" w:eastAsia="Arial" w:hAnsi="Arial"/>
                <w:sz w:val="14"/>
                <w:szCs w:val="14"/>
                <w:b w:val="1"/>
                <w:bCs w:val="1"/>
                <w:color w:val="auto"/>
                <w:w w:val="95"/>
              </w:rPr>
              <w:t>Death or</w:t>
            </w:r>
          </w:p>
        </w:tc>
      </w:tr>
      <w:tr>
        <w:trPr>
          <w:trHeight w:val="186"/>
        </w:trPr>
        <w:tc>
          <w:tcPr>
            <w:tcW w:w="1100" w:type="dxa"/>
            <w:vAlign w:val="bottom"/>
          </w:tcPr>
          <w:p>
            <w:pPr>
              <w:jc w:val="center"/>
              <w:ind w:right="268"/>
              <w:spacing w:after="0"/>
              <w:rPr>
                <w:sz w:val="20"/>
                <w:szCs w:val="20"/>
                <w:color w:val="auto"/>
              </w:rPr>
            </w:pPr>
            <w:r>
              <w:rPr>
                <w:rFonts w:ascii="Arial" w:cs="Arial" w:eastAsia="Arial" w:hAnsi="Arial"/>
                <w:sz w:val="14"/>
                <w:szCs w:val="14"/>
                <w:b w:val="1"/>
                <w:bCs w:val="1"/>
                <w:color w:val="auto"/>
                <w:w w:val="89"/>
              </w:rPr>
              <w:t>Reason ($)</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a Change in Control ($)</w:t>
            </w:r>
          </w:p>
        </w:tc>
        <w:tc>
          <w:tcPr>
            <w:tcW w:w="1180" w:type="dxa"/>
            <w:vAlign w:val="bottom"/>
          </w:tcPr>
          <w:p>
            <w:pPr>
              <w:jc w:val="center"/>
              <w:ind w:left="308"/>
              <w:spacing w:after="0"/>
              <w:rPr>
                <w:sz w:val="20"/>
                <w:szCs w:val="20"/>
                <w:color w:val="auto"/>
              </w:rPr>
            </w:pPr>
            <w:r>
              <w:rPr>
                <w:rFonts w:ascii="Arial" w:cs="Arial" w:eastAsia="Arial" w:hAnsi="Arial"/>
                <w:sz w:val="14"/>
                <w:szCs w:val="14"/>
                <w:b w:val="1"/>
                <w:bCs w:val="1"/>
                <w:color w:val="auto"/>
                <w:w w:val="96"/>
              </w:rPr>
              <w:t>Disability ($)</w:t>
            </w:r>
          </w:p>
        </w:tc>
      </w:tr>
    </w:tbl>
    <w:p>
      <w:pPr>
        <w:spacing w:after="0" w:line="14" w:lineRule="exact"/>
        <w:rPr>
          <w:sz w:val="20"/>
          <w:szCs w:val="20"/>
          <w:color w:val="auto"/>
        </w:rPr>
      </w:pPr>
    </w:p>
    <w:p>
      <w:pPr>
        <w:sectPr>
          <w:pgSz w:w="11900" w:h="16838" w:orient="portrait"/>
          <w:cols w:equalWidth="0" w:num="2">
            <w:col w:w="5720" w:space="660"/>
            <w:col w:w="5040"/>
          </w:cols>
          <w:pgMar w:left="240" w:top="341" w:right="239" w:bottom="1440" w:gutter="0" w:footer="0" w:header="0"/>
          <w:type w:val="continuous"/>
        </w:sectPr>
      </w:pPr>
    </w:p>
    <w:tbl>
      <w:tblPr>
        <w:tblLayout w:type="fixed"/>
        <w:tblInd w:w="300" w:type="dxa"/>
        <w:tblCellMar>
          <w:top w:w="0" w:type="dxa"/>
          <w:left w:w="0" w:type="dxa"/>
          <w:bottom w:w="0" w:type="dxa"/>
          <w:right w:w="0" w:type="dxa"/>
        </w:tblCellMar>
      </w:tblPr>
      <w:tr>
        <w:trPr>
          <w:trHeight w:val="256"/>
        </w:trPr>
        <w:tc>
          <w:tcPr>
            <w:tcW w:w="38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8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1,391,643</w:t>
            </w: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1,391,643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8,086,500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4,722,857</w:t>
            </w: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Chad Plotkin</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828,380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3,282,110</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1,433,810</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Kevin P. Malcarney</w:t>
            </w:r>
          </w:p>
        </w:tc>
        <w:tc>
          <w:tcPr>
            <w:tcW w:w="2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601,992</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1,652,215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780,223</w:t>
            </w:r>
          </w:p>
        </w:tc>
      </w:tr>
      <w:tr>
        <w:trPr>
          <w:trHeight w:val="243"/>
        </w:trPr>
        <w:tc>
          <w:tcPr>
            <w:tcW w:w="39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Mary</w:t>
            </w:r>
            <w:r>
              <w:rPr>
                <w:rFonts w:ascii="MS PGothic" w:cs="MS PGothic" w:eastAsia="MS PGothic" w:hAnsi="MS PGothic"/>
                <w:sz w:val="18"/>
                <w:szCs w:val="18"/>
                <w:color w:val="auto"/>
              </w:rPr>
              <w:t>‑</w:t>
            </w:r>
            <w:r>
              <w:rPr>
                <w:rFonts w:ascii="Arial" w:cs="Arial" w:eastAsia="Arial" w:hAnsi="Arial"/>
                <w:sz w:val="18"/>
                <w:szCs w:val="18"/>
                <w:color w:val="auto"/>
              </w:rPr>
              <w:t>Lee Stillwell</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786,806</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1,505,044</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648,222</w:t>
            </w:r>
          </w:p>
        </w:tc>
      </w:tr>
      <w:tr>
        <w:trPr>
          <w:trHeight w:val="621"/>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76</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CEO Pay Ratio</w:t>
      </w:r>
    </w:p>
    <w:p>
      <w:pPr>
        <w:spacing w:after="0" w:line="171"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As a result of the recently adopted rules under the Dodd</w:t>
      </w:r>
      <w:r>
        <w:rPr>
          <w:rFonts w:ascii="MS PGothic" w:cs="MS PGothic" w:eastAsia="MS PGothic" w:hAnsi="MS PGothic"/>
          <w:sz w:val="18"/>
          <w:szCs w:val="18"/>
          <w:color w:val="auto"/>
        </w:rPr>
        <w:t>‑</w:t>
      </w:r>
      <w:r>
        <w:rPr>
          <w:rFonts w:ascii="Arial" w:cs="Arial" w:eastAsia="Arial" w:hAnsi="Arial"/>
          <w:sz w:val="18"/>
          <w:szCs w:val="18"/>
          <w:color w:val="auto"/>
        </w:rPr>
        <w:t>Frank Act, the SEC requires disclosure of the CEO to median employee pay ratio. The following is a reasonable estimate, prepared under applicable SEC rules, of the ratio of the annual total compensation of our CEO, Mr. Sotos, to the annual total compensation of our median employee.</w:t>
      </w:r>
    </w:p>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determined that we could use in our 2019 CEO pay ratio analysis the same median employee that we identified in 2018 given that there has been no change in either our employee population or our employee compensation arrangements that we believe would significantly impact our 2019 pay ratio disclosure. Similarly, there has been no change in our median employee's circumstances that we reasonably believe would result in a significant change to our 2019 pay ratio disclosure. Our median employee’s annual total compensation for 2019 was determined using the same rules that apply to reporting the compensation of our NEOs (including our CEO) in the “Total” column of the “Summary Compensation Table - 2017 - 2019” above. The following total compensation amounts were determined based on that methodology:</w:t>
      </w:r>
    </w:p>
    <w:p>
      <w:pPr>
        <w:spacing w:after="0" w:line="139"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annual total compensation of the median employee for 2019 was $85,913.</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annual total compensation of Mr. Sotos for 2019 was $3,054,942.</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a result, we estimate that Mr. Sotos’ 2019 annual total compensation was approximately 36 times that of our median employee.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Clearway Energy LLC Ownership</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2019, GIP, through CEG, owned 42,738,750 of each of the Company's Class B units and Class D units and Clearway, Inc. owned 34,586,250 of the Company's Class A units and 73,187,646 of the Company's Class C units. Clearway, Inc., through its holdings of Class A units and Class C units, has a 57.01% economic interest in the Company. Clearway, Inc. consolidates the results of the Company through its controlling interest as sole managing member. GIP, through CEG's holdings of Class B units and Class D units, has a 42.99% economic interest in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Clearway Energy, Inc. Ownership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of Executive Officers</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table sets forth information concerning beneficial ownership of Clearway, Inc.’s Class A and Class C common stock and combined voting power of Class A, Class B, Class C and Class D common stock for: (a) each NEO and (b) all executive officers as a group. The percentage of beneficial ownership is based on 34,599,645 shares of Class A common stock outstanding as of February 24, 2020 and 78,850,894 shares of Class C common stock outstanding as of February 24, 2020, and percentage of combined voting power is based on 78,554,291 votes represented by Clearway, Inc.’s outstanding Class A, Class B, Class C and Class D common stock in the aggregate as of February 24, 2020. The percentage of beneficial ownership and the percentage of combined voting power also include any shares that such person has the right to acquire within 60 days of February 24, 2020. Unless otherwise indicated, each person has sole voting and dispositive power with respect to the shares set forth in the following table.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the beneficial owners is Clearway Energy, Inc., 300 Carnegie Center, Suite 300, Princeton, New Jersey 08540.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57" w:right="239" w:bottom="1440" w:gutter="0" w:footer="0" w:header="0"/>
        </w:sectPr>
      </w:pPr>
    </w:p>
    <w:bookmarkStart w:id="77" w:name="page78"/>
    <w:bookmarkEnd w:id="77"/>
    <w:tbl>
      <w:tblPr>
        <w:tblLayout w:type="fixed"/>
        <w:tblInd w:w="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700" w:type="dxa"/>
            <w:vAlign w:val="bottom"/>
            <w:gridSpan w:val="2"/>
          </w:tcPr>
          <w:p>
            <w:pPr>
              <w:jc w:val="right"/>
              <w:ind w:right="595"/>
              <w:spacing w:after="0"/>
              <w:rPr>
                <w:sz w:val="20"/>
                <w:szCs w:val="20"/>
                <w:color w:val="auto"/>
              </w:rPr>
            </w:pPr>
            <w:r>
              <w:rPr>
                <w:rFonts w:ascii="Arial" w:cs="Arial" w:eastAsia="Arial" w:hAnsi="Arial"/>
                <w:sz w:val="14"/>
                <w:szCs w:val="14"/>
                <w:b w:val="1"/>
                <w:bCs w:val="1"/>
                <w:color w:val="auto"/>
              </w:rPr>
              <w:t>Class A Common Stock</w:t>
            </w:r>
          </w:p>
        </w:tc>
        <w:tc>
          <w:tcPr>
            <w:tcW w:w="2340" w:type="dxa"/>
            <w:vAlign w:val="bottom"/>
            <w:gridSpan w:val="2"/>
          </w:tcPr>
          <w:p>
            <w:pPr>
              <w:ind w:left="460"/>
              <w:spacing w:after="0"/>
              <w:rPr>
                <w:sz w:val="20"/>
                <w:szCs w:val="20"/>
                <w:color w:val="auto"/>
              </w:rPr>
            </w:pPr>
            <w:r>
              <w:rPr>
                <w:rFonts w:ascii="Arial" w:cs="Arial" w:eastAsia="Arial" w:hAnsi="Arial"/>
                <w:sz w:val="14"/>
                <w:szCs w:val="14"/>
                <w:b w:val="1"/>
                <w:bCs w:val="1"/>
                <w:color w:val="auto"/>
              </w:rPr>
              <w:t>Class C Common Stock</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20" w:type="dxa"/>
            <w:vAlign w:val="bottom"/>
          </w:tcPr>
          <w:p>
            <w:pPr>
              <w:jc w:val="right"/>
              <w:ind w:right="235"/>
              <w:spacing w:after="0" w:line="160" w:lineRule="exact"/>
              <w:rPr>
                <w:sz w:val="20"/>
                <w:szCs w:val="20"/>
                <w:color w:val="auto"/>
              </w:rPr>
            </w:pPr>
            <w:r>
              <w:rPr>
                <w:rFonts w:ascii="Arial" w:cs="Arial" w:eastAsia="Arial" w:hAnsi="Arial"/>
                <w:sz w:val="14"/>
                <w:szCs w:val="14"/>
                <w:b w:val="1"/>
                <w:bCs w:val="1"/>
                <w:color w:val="auto"/>
              </w:rPr>
              <w:t>% of Class A</w:t>
            </w:r>
          </w:p>
        </w:tc>
        <w:tc>
          <w:tcPr>
            <w:tcW w:w="1220" w:type="dxa"/>
            <w:vAlign w:val="bottom"/>
          </w:tcPr>
          <w:p>
            <w:pPr>
              <w:spacing w:after="0"/>
              <w:rPr>
                <w:sz w:val="13"/>
                <w:szCs w:val="13"/>
                <w:color w:val="auto"/>
              </w:rPr>
            </w:pPr>
          </w:p>
        </w:tc>
        <w:tc>
          <w:tcPr>
            <w:tcW w:w="1120" w:type="dxa"/>
            <w:vAlign w:val="bottom"/>
          </w:tcPr>
          <w:p>
            <w:pPr>
              <w:jc w:val="center"/>
              <w:ind w:left="8"/>
              <w:spacing w:after="0" w:line="160" w:lineRule="exact"/>
              <w:rPr>
                <w:sz w:val="20"/>
                <w:szCs w:val="20"/>
                <w:color w:val="auto"/>
              </w:rPr>
            </w:pPr>
            <w:r>
              <w:rPr>
                <w:rFonts w:ascii="Arial" w:cs="Arial" w:eastAsia="Arial" w:hAnsi="Arial"/>
                <w:sz w:val="14"/>
                <w:szCs w:val="14"/>
                <w:b w:val="1"/>
                <w:bCs w:val="1"/>
                <w:color w:val="auto"/>
                <w:w w:val="94"/>
              </w:rPr>
              <w:t>% of Class C</w:t>
            </w:r>
          </w:p>
        </w:tc>
        <w:tc>
          <w:tcPr>
            <w:tcW w:w="16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w:t>
            </w:r>
          </w:p>
        </w:tc>
        <w:tc>
          <w:tcPr>
            <w:tcW w:w="1380" w:type="dxa"/>
            <w:vAlign w:val="bottom"/>
          </w:tcPr>
          <w:p>
            <w:pPr>
              <w:jc w:val="right"/>
              <w:ind w:right="315"/>
              <w:spacing w:after="0"/>
              <w:rPr>
                <w:sz w:val="20"/>
                <w:szCs w:val="20"/>
                <w:color w:val="auto"/>
              </w:rPr>
            </w:pPr>
            <w:r>
              <w:rPr>
                <w:rFonts w:ascii="Arial" w:cs="Arial" w:eastAsia="Arial" w:hAnsi="Arial"/>
                <w:sz w:val="14"/>
                <w:szCs w:val="14"/>
                <w:b w:val="1"/>
                <w:bCs w:val="1"/>
                <w:color w:val="auto"/>
              </w:rPr>
              <w:t>Number</w:t>
            </w:r>
            <w:r>
              <w:rPr>
                <w:rFonts w:ascii="Arial" w:cs="Arial" w:eastAsia="Arial" w:hAnsi="Arial"/>
                <w:sz w:val="8"/>
                <w:szCs w:val="8"/>
                <w:b w:val="1"/>
                <w:bCs w:val="1"/>
                <w:color w:val="auto"/>
              </w:rPr>
              <w:t>(1)</w:t>
            </w:r>
          </w:p>
        </w:tc>
        <w:tc>
          <w:tcPr>
            <w:tcW w:w="1320" w:type="dxa"/>
            <w:vAlign w:val="bottom"/>
          </w:tcPr>
          <w:p>
            <w:pPr>
              <w:jc w:val="right"/>
              <w:ind w:right="155"/>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tcPr>
          <w:p>
            <w:pPr>
              <w:jc w:val="right"/>
              <w:ind w:right="315"/>
              <w:spacing w:after="0"/>
              <w:rPr>
                <w:sz w:val="20"/>
                <w:szCs w:val="20"/>
                <w:color w:val="auto"/>
              </w:rPr>
            </w:pPr>
            <w:r>
              <w:rPr>
                <w:rFonts w:ascii="Arial" w:cs="Arial" w:eastAsia="Arial" w:hAnsi="Arial"/>
                <w:sz w:val="14"/>
                <w:szCs w:val="14"/>
                <w:b w:val="1"/>
                <w:bCs w:val="1"/>
                <w:color w:val="auto"/>
              </w:rPr>
              <w:t>Number</w:t>
            </w:r>
            <w:r>
              <w:rPr>
                <w:rFonts w:ascii="Arial" w:cs="Arial" w:eastAsia="Arial" w:hAnsi="Arial"/>
                <w:sz w:val="8"/>
                <w:szCs w:val="8"/>
                <w:b w:val="1"/>
                <w:bCs w:val="1"/>
                <w:color w:val="auto"/>
              </w:rPr>
              <w:t>(1)</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4"/>
                <w:szCs w:val="14"/>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Voting Power</w:t>
            </w:r>
            <w:r>
              <w:rPr>
                <w:rFonts w:ascii="Arial" w:cs="Arial" w:eastAsia="Arial" w:hAnsi="Arial"/>
                <w:sz w:val="8"/>
                <w:szCs w:val="8"/>
                <w:b w:val="1"/>
                <w:bCs w:val="1"/>
                <w:color w:val="auto"/>
                <w:w w:val="94"/>
              </w:rPr>
              <w:t>(2)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1380" w:type="dxa"/>
            <w:vAlign w:val="bottom"/>
            <w:shd w:val="clear" w:color="auto" w:fill="CCEEFF"/>
          </w:tcPr>
          <w:p>
            <w:pPr>
              <w:jc w:val="right"/>
              <w:ind w:right="55"/>
              <w:spacing w:after="0" w:line="264" w:lineRule="exact"/>
              <w:rPr>
                <w:sz w:val="20"/>
                <w:szCs w:val="20"/>
                <w:color w:val="auto"/>
              </w:rPr>
            </w:pPr>
            <w:r>
              <w:rPr>
                <w:rFonts w:ascii="Arial" w:cs="Arial" w:eastAsia="Arial" w:hAnsi="Arial"/>
                <w:sz w:val="18"/>
                <w:szCs w:val="18"/>
                <w:color w:val="auto"/>
              </w:rPr>
              <w:t>23,100</w:t>
            </w:r>
            <w:r>
              <w:rPr>
                <w:rFonts w:ascii="Arial" w:cs="Arial" w:eastAsia="Arial" w:hAnsi="Arial"/>
                <w:sz w:val="25"/>
                <w:szCs w:val="25"/>
                <w:color w:val="auto"/>
                <w:vertAlign w:val="superscript"/>
              </w:rPr>
              <w:t>(3)</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
              <w:spacing w:after="0" w:line="264" w:lineRule="exact"/>
              <w:rPr>
                <w:sz w:val="20"/>
                <w:szCs w:val="20"/>
                <w:color w:val="auto"/>
              </w:rPr>
            </w:pPr>
            <w:r>
              <w:rPr>
                <w:rFonts w:ascii="Arial" w:cs="Arial" w:eastAsia="Arial" w:hAnsi="Arial"/>
                <w:sz w:val="18"/>
                <w:szCs w:val="18"/>
                <w:color w:val="auto"/>
              </w:rPr>
              <w:t>124,515</w:t>
            </w:r>
            <w:r>
              <w:rPr>
                <w:rFonts w:ascii="Arial" w:cs="Arial" w:eastAsia="Arial" w:hAnsi="Arial"/>
                <w:sz w:val="25"/>
                <w:szCs w:val="25"/>
                <w:color w:val="auto"/>
                <w:vertAlign w:val="superscript"/>
              </w:rPr>
              <w:t>(3)</w:t>
            </w:r>
          </w:p>
        </w:tc>
        <w:tc>
          <w:tcPr>
            <w:tcW w:w="1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Chad Plotkin</w:t>
            </w:r>
          </w:p>
        </w:tc>
        <w:tc>
          <w:tcPr>
            <w:tcW w:w="1380" w:type="dxa"/>
            <w:vAlign w:val="bottom"/>
          </w:tcPr>
          <w:p>
            <w:pPr>
              <w:jc w:val="right"/>
              <w:ind w:right="55"/>
              <w:spacing w:after="0" w:line="270" w:lineRule="exact"/>
              <w:rPr>
                <w:sz w:val="20"/>
                <w:szCs w:val="20"/>
                <w:color w:val="auto"/>
              </w:rPr>
            </w:pPr>
            <w:r>
              <w:rPr>
                <w:rFonts w:ascii="Arial" w:cs="Arial" w:eastAsia="Arial" w:hAnsi="Arial"/>
                <w:sz w:val="18"/>
                <w:szCs w:val="18"/>
                <w:color w:val="auto"/>
              </w:rPr>
              <w:t>6,697</w:t>
            </w:r>
            <w:r>
              <w:rPr>
                <w:rFonts w:ascii="Arial" w:cs="Arial" w:eastAsia="Arial" w:hAnsi="Arial"/>
                <w:sz w:val="25"/>
                <w:szCs w:val="25"/>
                <w:color w:val="auto"/>
                <w:vertAlign w:val="superscript"/>
              </w:rPr>
              <w:t>(4)</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line="270" w:lineRule="exact"/>
              <w:rPr>
                <w:sz w:val="20"/>
                <w:szCs w:val="20"/>
                <w:color w:val="auto"/>
              </w:rPr>
            </w:pPr>
            <w:r>
              <w:rPr>
                <w:rFonts w:ascii="Arial" w:cs="Arial" w:eastAsia="Arial" w:hAnsi="Arial"/>
                <w:sz w:val="18"/>
                <w:szCs w:val="18"/>
                <w:color w:val="auto"/>
              </w:rPr>
              <w:t>30,385</w:t>
            </w:r>
            <w:r>
              <w:rPr>
                <w:rFonts w:ascii="Arial" w:cs="Arial" w:eastAsia="Arial" w:hAnsi="Arial"/>
                <w:sz w:val="25"/>
                <w:szCs w:val="25"/>
                <w:color w:val="auto"/>
                <w:vertAlign w:val="superscript"/>
              </w:rPr>
              <w:t>(4)</w:t>
            </w:r>
          </w:p>
        </w:tc>
        <w:tc>
          <w:tcPr>
            <w:tcW w:w="1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P. Malcarney</w:t>
            </w:r>
          </w:p>
        </w:tc>
        <w:tc>
          <w:tcPr>
            <w:tcW w:w="1380" w:type="dxa"/>
            <w:vAlign w:val="bottom"/>
            <w:shd w:val="clear" w:color="auto" w:fill="CCEEFF"/>
          </w:tcPr>
          <w:p>
            <w:pPr>
              <w:jc w:val="right"/>
              <w:ind w:right="55"/>
              <w:spacing w:after="0" w:line="270" w:lineRule="exact"/>
              <w:rPr>
                <w:sz w:val="20"/>
                <w:szCs w:val="20"/>
                <w:color w:val="auto"/>
              </w:rPr>
            </w:pPr>
            <w:r>
              <w:rPr>
                <w:rFonts w:ascii="Arial" w:cs="Arial" w:eastAsia="Arial" w:hAnsi="Arial"/>
                <w:sz w:val="18"/>
                <w:szCs w:val="18"/>
                <w:color w:val="auto"/>
              </w:rPr>
              <w:t>600</w:t>
            </w:r>
            <w:r>
              <w:rPr>
                <w:rFonts w:ascii="Arial" w:cs="Arial" w:eastAsia="Arial" w:hAnsi="Arial"/>
                <w:sz w:val="25"/>
                <w:szCs w:val="25"/>
                <w:color w:val="auto"/>
                <w:vertAlign w:val="superscript"/>
              </w:rPr>
              <w:t>(5)</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
              <w:spacing w:after="0" w:line="270" w:lineRule="exact"/>
              <w:rPr>
                <w:sz w:val="20"/>
                <w:szCs w:val="20"/>
                <w:color w:val="auto"/>
              </w:rPr>
            </w:pPr>
            <w:r>
              <w:rPr>
                <w:rFonts w:ascii="Arial" w:cs="Arial" w:eastAsia="Arial" w:hAnsi="Arial"/>
                <w:sz w:val="18"/>
                <w:szCs w:val="18"/>
                <w:color w:val="auto"/>
              </w:rPr>
              <w:t>29,316</w:t>
            </w:r>
            <w:r>
              <w:rPr>
                <w:rFonts w:ascii="Arial" w:cs="Arial" w:eastAsia="Arial" w:hAnsi="Arial"/>
                <w:sz w:val="25"/>
                <w:szCs w:val="25"/>
                <w:color w:val="auto"/>
                <w:vertAlign w:val="superscript"/>
              </w:rPr>
              <w:t>(5)</w:t>
            </w:r>
          </w:p>
        </w:tc>
        <w:tc>
          <w:tcPr>
            <w:tcW w:w="1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60" w:type="dxa"/>
            <w:vAlign w:val="bottom"/>
            <w:gridSpan w:val="2"/>
          </w:tcPr>
          <w:p>
            <w:pPr>
              <w:spacing w:after="0" w:line="207" w:lineRule="exact"/>
              <w:rPr>
                <w:sz w:val="20"/>
                <w:szCs w:val="20"/>
                <w:color w:val="auto"/>
              </w:rPr>
            </w:pPr>
            <w:r>
              <w:rPr>
                <w:rFonts w:ascii="Arial" w:cs="Arial" w:eastAsia="Arial" w:hAnsi="Arial"/>
                <w:sz w:val="18"/>
                <w:szCs w:val="18"/>
                <w:color w:val="auto"/>
              </w:rPr>
              <w:t>Mary</w:t>
            </w:r>
            <w:r>
              <w:rPr>
                <w:rFonts w:ascii="MS PGothic" w:cs="MS PGothic" w:eastAsia="MS PGothic" w:hAnsi="MS PGothic"/>
                <w:sz w:val="18"/>
                <w:szCs w:val="18"/>
                <w:color w:val="auto"/>
              </w:rPr>
              <w:t>‑</w:t>
            </w:r>
            <w:r>
              <w:rPr>
                <w:rFonts w:ascii="Arial" w:cs="Arial" w:eastAsia="Arial" w:hAnsi="Arial"/>
                <w:sz w:val="18"/>
                <w:szCs w:val="18"/>
                <w:color w:val="auto"/>
              </w:rPr>
              <w:t>Lee Stillwell</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line="270" w:lineRule="exact"/>
              <w:rPr>
                <w:sz w:val="20"/>
                <w:szCs w:val="20"/>
                <w:color w:val="auto"/>
              </w:rPr>
            </w:pPr>
            <w:r>
              <w:rPr>
                <w:rFonts w:ascii="Arial" w:cs="Arial" w:eastAsia="Arial" w:hAnsi="Arial"/>
                <w:sz w:val="18"/>
                <w:szCs w:val="18"/>
                <w:color w:val="auto"/>
              </w:rPr>
              <w:t>17,553</w:t>
            </w:r>
            <w:r>
              <w:rPr>
                <w:rFonts w:ascii="Arial" w:cs="Arial" w:eastAsia="Arial" w:hAnsi="Arial"/>
                <w:sz w:val="25"/>
                <w:szCs w:val="25"/>
                <w:color w:val="auto"/>
                <w:vertAlign w:val="superscript"/>
              </w:rPr>
              <w:t>(6)</w:t>
            </w:r>
          </w:p>
        </w:tc>
        <w:tc>
          <w:tcPr>
            <w:tcW w:w="1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All executive officers as a</w:t>
            </w:r>
          </w:p>
        </w:tc>
        <w:tc>
          <w:tcPr>
            <w:tcW w:w="1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group (four people)</w:t>
            </w:r>
          </w:p>
        </w:tc>
        <w:tc>
          <w:tcPr>
            <w:tcW w:w="1380" w:type="dxa"/>
            <w:vAlign w:val="bottom"/>
            <w:shd w:val="clear" w:color="auto" w:fill="CCEEFF"/>
          </w:tcPr>
          <w:p>
            <w:pPr>
              <w:jc w:val="right"/>
              <w:ind w:right="55"/>
              <w:spacing w:after="0" w:line="257" w:lineRule="exact"/>
              <w:rPr>
                <w:sz w:val="20"/>
                <w:szCs w:val="20"/>
                <w:color w:val="auto"/>
              </w:rPr>
            </w:pPr>
            <w:r>
              <w:rPr>
                <w:rFonts w:ascii="Arial" w:cs="Arial" w:eastAsia="Arial" w:hAnsi="Arial"/>
                <w:sz w:val="18"/>
                <w:szCs w:val="18"/>
                <w:color w:val="auto"/>
              </w:rPr>
              <w:t>30,397</w:t>
            </w:r>
            <w:r>
              <w:rPr>
                <w:rFonts w:ascii="Arial" w:cs="Arial" w:eastAsia="Arial" w:hAnsi="Arial"/>
                <w:sz w:val="25"/>
                <w:szCs w:val="25"/>
                <w:color w:val="auto"/>
                <w:vertAlign w:val="superscript"/>
              </w:rPr>
              <w:t>(7)</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
              <w:spacing w:after="0" w:line="257" w:lineRule="exact"/>
              <w:rPr>
                <w:sz w:val="20"/>
                <w:szCs w:val="20"/>
                <w:color w:val="auto"/>
              </w:rPr>
            </w:pPr>
            <w:r>
              <w:rPr>
                <w:rFonts w:ascii="Arial" w:cs="Arial" w:eastAsia="Arial" w:hAnsi="Arial"/>
                <w:sz w:val="18"/>
                <w:szCs w:val="18"/>
                <w:color w:val="auto"/>
              </w:rPr>
              <w:t xml:space="preserve">201,769 </w:t>
            </w:r>
            <w:r>
              <w:rPr>
                <w:rFonts w:ascii="Arial" w:cs="Arial" w:eastAsia="Arial" w:hAnsi="Arial"/>
                <w:sz w:val="25"/>
                <w:szCs w:val="25"/>
                <w:color w:val="auto"/>
                <w:vertAlign w:val="superscript"/>
              </w:rPr>
              <w:t>(7)</w:t>
            </w:r>
          </w:p>
        </w:tc>
        <w:tc>
          <w:tcPr>
            <w:tcW w:w="1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14147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 Less than one percent of outstanding Class A common stock, Class C common stock or combined voting power, as applicable.</w:t>
      </w:r>
    </w:p>
    <w:p>
      <w:pPr>
        <w:spacing w:after="0" w:line="64" w:lineRule="exact"/>
        <w:rPr>
          <w:sz w:val="20"/>
          <w:szCs w:val="20"/>
          <w:color w:val="auto"/>
        </w:rPr>
      </w:pPr>
    </w:p>
    <w:p>
      <w:pPr>
        <w:jc w:val="both"/>
        <w:ind w:firstLine="8"/>
        <w:spacing w:after="0" w:line="327" w:lineRule="auto"/>
        <w:tabs>
          <w:tab w:leader="none" w:pos="127" w:val="left"/>
        </w:tabs>
        <w:numPr>
          <w:ilvl w:val="0"/>
          <w:numId w:val="52"/>
        </w:numPr>
        <w:rPr>
          <w:rFonts w:ascii="Arial" w:cs="Arial" w:eastAsia="Arial" w:hAnsi="Arial"/>
          <w:sz w:val="13"/>
          <w:szCs w:val="13"/>
          <w:color w:val="auto"/>
          <w:vertAlign w:val="superscript"/>
        </w:rPr>
      </w:pPr>
      <w:r>
        <w:rPr>
          <w:rFonts w:ascii="Arial" w:cs="Arial" w:eastAsia="Arial" w:hAnsi="Arial"/>
          <w:sz w:val="12"/>
          <w:szCs w:val="12"/>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1" w:lineRule="exact"/>
        <w:rPr>
          <w:rFonts w:ascii="Arial" w:cs="Arial" w:eastAsia="Arial" w:hAnsi="Arial"/>
          <w:sz w:val="13"/>
          <w:szCs w:val="13"/>
          <w:color w:val="auto"/>
          <w:vertAlign w:val="superscript"/>
        </w:rPr>
      </w:pPr>
    </w:p>
    <w:p>
      <w:pPr>
        <w:jc w:val="both"/>
        <w:ind w:firstLine="8"/>
        <w:spacing w:after="0" w:line="246" w:lineRule="auto"/>
        <w:tabs>
          <w:tab w:leader="none" w:pos="167" w:val="left"/>
        </w:tabs>
        <w:numPr>
          <w:ilvl w:val="0"/>
          <w:numId w:val="52"/>
        </w:numPr>
        <w:rPr>
          <w:rFonts w:ascii="Arial" w:cs="Arial" w:eastAsia="Arial" w:hAnsi="Arial"/>
          <w:sz w:val="19"/>
          <w:szCs w:val="19"/>
          <w:color w:val="auto"/>
          <w:vertAlign w:val="superscript"/>
        </w:rPr>
      </w:pPr>
      <w:r>
        <w:rPr>
          <w:rFonts w:ascii="Arial" w:cs="Arial" w:eastAsia="Arial" w:hAnsi="Arial"/>
          <w:sz w:val="15"/>
          <w:szCs w:val="15"/>
          <w:color w:val="auto"/>
        </w:rPr>
        <w:t>Represents the voting power of all of the classes of Clearway, Inc.’s common stock together as a single class. Each holder of Class A or Class B common stock is entitled to one vote for each share held. Each holder of Class C or Class D common stock is entitled to 1/100th of one vote for each share held. Holders of shares of Clearway, Inc.’s Class A, Class B, Class C and Class D common stock vote together as a single class on all matters presented to its stockholders for their vote or approval, except as otherwise provided by applicable law.</w:t>
      </w:r>
    </w:p>
    <w:p>
      <w:pPr>
        <w:spacing w:after="0" w:line="1" w:lineRule="exact"/>
        <w:rPr>
          <w:rFonts w:ascii="Arial" w:cs="Arial" w:eastAsia="Arial" w:hAnsi="Arial"/>
          <w:sz w:val="19"/>
          <w:szCs w:val="19"/>
          <w:color w:val="auto"/>
          <w:vertAlign w:val="superscript"/>
        </w:rPr>
      </w:pPr>
    </w:p>
    <w:p>
      <w:pPr>
        <w:jc w:val="both"/>
        <w:ind w:firstLine="8"/>
        <w:spacing w:after="0" w:line="239" w:lineRule="auto"/>
        <w:tabs>
          <w:tab w:leader="none" w:pos="180" w:val="left"/>
        </w:tabs>
        <w:numPr>
          <w:ilvl w:val="0"/>
          <w:numId w:val="52"/>
        </w:numPr>
        <w:rPr>
          <w:rFonts w:ascii="Arial" w:cs="Arial" w:eastAsia="Arial" w:hAnsi="Arial"/>
          <w:sz w:val="21"/>
          <w:szCs w:val="21"/>
          <w:color w:val="auto"/>
          <w:vertAlign w:val="superscript"/>
        </w:rPr>
      </w:pPr>
      <w:r>
        <w:rPr>
          <w:rFonts w:ascii="Arial" w:cs="Arial" w:eastAsia="Arial" w:hAnsi="Arial"/>
          <w:sz w:val="15"/>
          <w:szCs w:val="15"/>
          <w:color w:val="auto"/>
        </w:rPr>
        <w:t>Includes 9,489 DERs to be paid in Class C common stock. Excludes 26,650 RSUs and 94,270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jc w:val="both"/>
        <w:ind w:firstLine="8"/>
        <w:spacing w:after="0" w:line="281" w:lineRule="auto"/>
        <w:tabs>
          <w:tab w:leader="none" w:pos="153" w:val="left"/>
        </w:tabs>
        <w:numPr>
          <w:ilvl w:val="0"/>
          <w:numId w:val="52"/>
        </w:numPr>
        <w:rPr>
          <w:rFonts w:ascii="Arial" w:cs="Arial" w:eastAsia="Arial" w:hAnsi="Arial"/>
          <w:sz w:val="17"/>
          <w:szCs w:val="17"/>
          <w:color w:val="auto"/>
          <w:vertAlign w:val="superscript"/>
        </w:rPr>
      </w:pPr>
      <w:r>
        <w:rPr>
          <w:rFonts w:ascii="Arial" w:cs="Arial" w:eastAsia="Arial" w:hAnsi="Arial"/>
          <w:sz w:val="13"/>
          <w:szCs w:val="13"/>
          <w:color w:val="auto"/>
        </w:rPr>
        <w:t>Includes 2,771 DERs to be paid in Class C common stock. Excludes 8,069 RSUs and 28,089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2" w:lineRule="exact"/>
        <w:rPr>
          <w:rFonts w:ascii="Arial" w:cs="Arial" w:eastAsia="Arial" w:hAnsi="Arial"/>
          <w:sz w:val="17"/>
          <w:szCs w:val="17"/>
          <w:color w:val="auto"/>
          <w:vertAlign w:val="superscript"/>
        </w:rPr>
      </w:pPr>
    </w:p>
    <w:p>
      <w:pPr>
        <w:ind w:right="20" w:firstLine="8"/>
        <w:spacing w:after="0" w:line="272" w:lineRule="auto"/>
        <w:tabs>
          <w:tab w:leader="none" w:pos="160" w:val="left"/>
        </w:tabs>
        <w:numPr>
          <w:ilvl w:val="0"/>
          <w:numId w:val="52"/>
        </w:numPr>
        <w:rPr>
          <w:rFonts w:ascii="Arial" w:cs="Arial" w:eastAsia="Arial" w:hAnsi="Arial"/>
          <w:sz w:val="16"/>
          <w:szCs w:val="16"/>
          <w:color w:val="auto"/>
          <w:vertAlign w:val="superscript"/>
        </w:rPr>
      </w:pPr>
      <w:r>
        <w:rPr>
          <w:rFonts w:ascii="Arial" w:cs="Arial" w:eastAsia="Arial" w:hAnsi="Arial"/>
          <w:sz w:val="14"/>
          <w:szCs w:val="14"/>
          <w:color w:val="auto"/>
        </w:rPr>
        <w:t>Includes 1,066 DERs to be paid in Class C common stock. Excludes 7,163 RSUs and 10,738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ind w:right="40" w:firstLine="8"/>
        <w:spacing w:after="0" w:line="241" w:lineRule="auto"/>
        <w:tabs>
          <w:tab w:leader="none" w:pos="167" w:val="left"/>
        </w:tabs>
        <w:numPr>
          <w:ilvl w:val="0"/>
          <w:numId w:val="52"/>
        </w:numPr>
        <w:rPr>
          <w:rFonts w:ascii="Arial" w:cs="Arial" w:eastAsia="Arial" w:hAnsi="Arial"/>
          <w:sz w:val="19"/>
          <w:szCs w:val="19"/>
          <w:color w:val="auto"/>
          <w:vertAlign w:val="superscript"/>
        </w:rPr>
      </w:pPr>
      <w:r>
        <w:rPr>
          <w:rFonts w:ascii="Arial" w:cs="Arial" w:eastAsia="Arial" w:hAnsi="Arial"/>
          <w:sz w:val="15"/>
          <w:szCs w:val="15"/>
          <w:color w:val="auto"/>
        </w:rPr>
        <w:t>Includes 662 DERs to be paid in Class C common stock. Excludes 11,384 RSUs. Each RSU represents the right to receive one share of Class C common stock upon vesting. Each DER represents the right to receive the dividends and distributions that would have otherwise been paid with respect to a share subject to a RSU award (if such share were outstanding rather than being subject to the applicable award).</w:t>
      </w:r>
    </w:p>
    <w:p>
      <w:pPr>
        <w:spacing w:after="0" w:line="1" w:lineRule="exact"/>
        <w:rPr>
          <w:rFonts w:ascii="Arial" w:cs="Arial" w:eastAsia="Arial" w:hAnsi="Arial"/>
          <w:sz w:val="19"/>
          <w:szCs w:val="19"/>
          <w:color w:val="auto"/>
          <w:vertAlign w:val="superscript"/>
        </w:rPr>
      </w:pPr>
    </w:p>
    <w:p>
      <w:pPr>
        <w:ind w:left="180" w:hanging="172"/>
        <w:spacing w:after="0" w:line="191" w:lineRule="auto"/>
        <w:tabs>
          <w:tab w:leader="none" w:pos="180" w:val="left"/>
        </w:tabs>
        <w:numPr>
          <w:ilvl w:val="0"/>
          <w:numId w:val="52"/>
        </w:numPr>
        <w:rPr>
          <w:rFonts w:ascii="Arial" w:cs="Arial" w:eastAsia="Arial" w:hAnsi="Arial"/>
          <w:sz w:val="21"/>
          <w:szCs w:val="21"/>
          <w:color w:val="auto"/>
          <w:vertAlign w:val="superscript"/>
        </w:rPr>
      </w:pPr>
      <w:r>
        <w:rPr>
          <w:rFonts w:ascii="Arial" w:cs="Arial" w:eastAsia="Arial" w:hAnsi="Arial"/>
          <w:sz w:val="15"/>
          <w:szCs w:val="15"/>
          <w:color w:val="auto"/>
        </w:rPr>
        <w:t>Consists of the total holdings of all executive officers as a group.</w:t>
      </w:r>
    </w:p>
    <w:p>
      <w:pPr>
        <w:spacing w:after="0" w:line="163" w:lineRule="exact"/>
        <w:rPr>
          <w:sz w:val="20"/>
          <w:szCs w:val="20"/>
          <w:color w:val="auto"/>
        </w:rPr>
      </w:pPr>
    </w:p>
    <w:p>
      <w:pPr>
        <w:ind w:right="4700"/>
        <w:spacing w:after="0" w:line="440" w:lineRule="auto"/>
        <w:rPr>
          <w:sz w:val="20"/>
          <w:szCs w:val="20"/>
          <w:color w:val="auto"/>
        </w:rPr>
      </w:pPr>
      <w:r>
        <w:rPr>
          <w:rFonts w:ascii="Arial" w:cs="Arial" w:eastAsia="Arial" w:hAnsi="Arial"/>
          <w:sz w:val="18"/>
          <w:szCs w:val="18"/>
          <w:b w:val="1"/>
          <w:bCs w:val="1"/>
          <w:color w:val="auto"/>
        </w:rPr>
        <w:t>Item 13 — Certain Relationships and Related Transactions, and Director Independence Relationship with GIP and Clearway Energy, Inc.</w:t>
      </w:r>
    </w:p>
    <w:p>
      <w:pPr>
        <w:spacing w:after="0" w:line="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GIP, through its ownership of CEG, indirectly owns all of Clearway, Inc.’s outstanding Class B common stock and its Class D common stock, which represents, in the aggregate, 54.95% of the voting interest in its stock and receives distributions from the Company through its ownership of our Class B and Class D units. Holders of Clearway, Inc.’s Class A common stock and Class C common stock hold, in the aggregate, the remaining 45.05% of the voting interest in its stock. Each holder of Class A or Class B common stock is entitled to one vote for each share held. Each holder of Class C or Class D common stock is entitled to 1/100th of one vote for each share held. The holders of Clearway, Inc.’s outstanding shares of Class A and Class C common stock are entitled to dividends as declared. Clearway, Inc., through its holdings of Class A units and Class C units, has a 57.01% economic interest in the Company. Clearway, Inc. consolidates the results of the Company through its controlling interest as sole managing member. GIP, through CEG's holdings of Class B units and Class D units, has a 42.99% economic interest in the Company.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62"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Accordingly, through its voting control of Clearway, Inc., GIP effectively has the ability to control our management.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Strategic Sponsorship with GIP</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GIP Transaction, Clearway, Inc. entered into a Consent and Indemnity Agreement with NRG and GIP setting forth key terms and conditions of Clearway, Inc.'s consent to the GIP Transaction.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connection with the GIP Transaction, the Company entered into the following agreements on August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CEG Master Services Agreements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along with Clearway, Inc. and Clearway Energy Operating LLC, entered into Master Services Agreements with CEG (the “CEG Master Services Agreements”), pursuant to which CEG and certain of its affiliates or third-party service providers began providing certain services, including operational and administrative services, which include human resources, information systems, external affairs, accounting, procurement, and risk management services, to the Company and certain of its subsidiaries, and the Company and certain of its subsidiaries began providing certain services, including accounting, internal audit, tax and treasury services, to CEG, in exchange for the payment of fees in respect of such services. For the year ended December 31, 2019, the Company paid approximately $1,059,000 under the CEG Master Services Agreements. In addition, certain Thermal segment projects reimbursed CEG approximately $1,433,000 during the year ended December 31, 2019 for costs incurred by CEG on behalf of such entities.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and Governance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entered into a Voting and Governance Agreement with CEG, relating to certain governance matters of the Company, including the composition of the Board of Clearway, Inc. and employment status of the CEO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Liability Company Agreement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Clearway, Inc. entered into the Fourth Amended and Restated Limited Liability Company Agreement of Clearway Energy LLC with CEG, which sets forth the rights and obligations of Clearway, Inc., as managing member, and CEG, as member, of the Company as further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Offer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CEG ROFO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31, 2018, Clearway, Inc. entered into a ROFO Agreement with CEG (the “CEG ROFO Agreement”) and, solely for certain purposes thereof, GIP, pursuant to which CEG granted Clearway, Inc. and its subsidiaries a right of first offer on any proposed sale or transfer of certain assets owned by CEG. On August 1, 2019, the CEG ROFO Agreement was amended to grant Clearway, Inc. and its affiliates a right of first offer on any proposed sale, transfer or other disposition of certain assets of CEG (the “CEG ROFO Assets”) until August 31, 2023, as listed in the table below. CEG is not obligated to sell the remaining CEG ROFO Assets to us and, if offered by CEG, we cannot be sure whether these assets will be offered on acceptable terms or that we will choose to consummate such acquisitions.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41" w:right="239" w:bottom="1440" w:gutter="0" w:footer="0" w:header="0"/>
        </w:sectPr>
      </w:pPr>
    </w:p>
    <w:bookmarkStart w:id="79" w:name="page80"/>
    <w:bookmarkEnd w:id="79"/>
    <w:p>
      <w:pPr>
        <w:ind w:firstLine="648"/>
        <w:spacing w:after="0" w:line="277" w:lineRule="auto"/>
        <w:rPr>
          <w:sz w:val="20"/>
          <w:szCs w:val="20"/>
          <w:color w:val="auto"/>
        </w:rPr>
      </w:pPr>
      <w:r>
        <w:rPr>
          <w:rFonts w:ascii="Arial" w:cs="Arial" w:eastAsia="Arial" w:hAnsi="Arial"/>
          <w:sz w:val="18"/>
          <w:szCs w:val="18"/>
          <w:color w:val="auto"/>
        </w:rPr>
        <w:t>The assets listed below represent our currently committed investments in projects with CEG, as well as the assets subject to our ROFO Agreement with CEG:</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Committed Investments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400" w:type="dxa"/>
            <w:vAlign w:val="bottom"/>
          </w:tcPr>
          <w:p>
            <w:pPr>
              <w:ind w:left="60"/>
              <w:spacing w:after="0"/>
              <w:rPr>
                <w:sz w:val="20"/>
                <w:szCs w:val="20"/>
                <w:color w:val="auto"/>
              </w:rPr>
            </w:pPr>
            <w:r>
              <w:rPr>
                <w:rFonts w:ascii="Arial" w:cs="Arial" w:eastAsia="Arial" w:hAnsi="Arial"/>
                <w:sz w:val="18"/>
                <w:szCs w:val="18"/>
                <w:b w:val="1"/>
                <w:bCs w:val="1"/>
                <w:color w:val="auto"/>
              </w:rPr>
              <w:t>Asset</w:t>
            </w:r>
          </w:p>
        </w:tc>
        <w:tc>
          <w:tcPr>
            <w:tcW w:w="1260" w:type="dxa"/>
            <w:vAlign w:val="bottom"/>
          </w:tcPr>
          <w:p>
            <w:pPr>
              <w:ind w:left="220"/>
              <w:spacing w:after="0"/>
              <w:rPr>
                <w:sz w:val="20"/>
                <w:szCs w:val="20"/>
                <w:color w:val="auto"/>
              </w:rPr>
            </w:pPr>
            <w:r>
              <w:rPr>
                <w:rFonts w:ascii="Arial" w:cs="Arial" w:eastAsia="Arial" w:hAnsi="Arial"/>
                <w:sz w:val="14"/>
                <w:szCs w:val="14"/>
                <w:b w:val="1"/>
                <w:bCs w:val="1"/>
                <w:color w:val="auto"/>
              </w:rPr>
              <w:t>Technology</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9"/>
              </w:rPr>
              <w:t>Net Capacity (MW)</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State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COD</w:t>
            </w:r>
          </w:p>
        </w:tc>
      </w:tr>
      <w:tr>
        <w:trPr>
          <w:trHeight w:val="39"/>
        </w:trPr>
        <w:tc>
          <w:tcPr>
            <w:tcW w:w="6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00" w:type="dxa"/>
            <w:vAlign w:val="bottom"/>
            <w:tcBorders>
              <w:bottom w:val="single" w:sz="8" w:color="CCECFF"/>
            </w:tcBorders>
          </w:tcPr>
          <w:p>
            <w:pPr>
              <w:spacing w:after="0"/>
              <w:rPr>
                <w:sz w:val="3"/>
                <w:szCs w:val="3"/>
                <w:color w:val="auto"/>
              </w:rPr>
            </w:pPr>
          </w:p>
        </w:tc>
      </w:tr>
      <w:tr>
        <w:trPr>
          <w:trHeight w:val="291"/>
        </w:trPr>
        <w:tc>
          <w:tcPr>
            <w:tcW w:w="6400" w:type="dxa"/>
            <w:vAlign w:val="bottom"/>
            <w:shd w:val="clear" w:color="auto" w:fill="CCECFF"/>
          </w:tcPr>
          <w:p>
            <w:pPr>
              <w:ind w:left="60"/>
              <w:spacing w:after="0"/>
              <w:rPr>
                <w:sz w:val="20"/>
                <w:szCs w:val="20"/>
                <w:color w:val="auto"/>
              </w:rPr>
            </w:pPr>
            <w:r>
              <w:rPr>
                <w:rFonts w:ascii="Arial" w:cs="Arial" w:eastAsia="Arial" w:hAnsi="Arial"/>
                <w:sz w:val="18"/>
                <w:szCs w:val="18"/>
                <w:color w:val="auto"/>
              </w:rPr>
              <w:t>$33 MM remaining in distributed and community solar partnerships</w:t>
            </w:r>
            <w:r>
              <w:rPr>
                <w:rFonts w:ascii="Arial" w:cs="Arial" w:eastAsia="Arial" w:hAnsi="Arial"/>
                <w:sz w:val="25"/>
                <w:szCs w:val="25"/>
                <w:color w:val="auto"/>
                <w:vertAlign w:val="superscript"/>
              </w:rPr>
              <w:t>(a)</w:t>
            </w:r>
          </w:p>
        </w:tc>
        <w:tc>
          <w:tcPr>
            <w:tcW w:w="1260" w:type="dxa"/>
            <w:vAlign w:val="bottom"/>
            <w:shd w:val="clear" w:color="auto" w:fill="CCECFF"/>
          </w:tcPr>
          <w:p>
            <w:pPr>
              <w:jc w:val="center"/>
              <w:ind w:left="93"/>
              <w:spacing w:after="0"/>
              <w:rPr>
                <w:sz w:val="20"/>
                <w:szCs w:val="20"/>
                <w:color w:val="auto"/>
              </w:rPr>
            </w:pPr>
            <w:r>
              <w:rPr>
                <w:rFonts w:ascii="Arial" w:cs="Arial" w:eastAsia="Arial" w:hAnsi="Arial"/>
                <w:sz w:val="18"/>
                <w:szCs w:val="18"/>
                <w:color w:val="auto"/>
                <w:w w:val="99"/>
              </w:rPr>
              <w:t>PV</w:t>
            </w:r>
          </w:p>
        </w:tc>
        <w:tc>
          <w:tcPr>
            <w:tcW w:w="18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N/A</w:t>
            </w:r>
          </w:p>
        </w:tc>
        <w:tc>
          <w:tcPr>
            <w:tcW w:w="10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8"/>
              </w:rPr>
              <w:t>Various</w:t>
            </w:r>
          </w:p>
        </w:tc>
        <w:tc>
          <w:tcPr>
            <w:tcW w:w="9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1"/>
              </w:rPr>
              <w:t>Various</w:t>
            </w:r>
          </w:p>
        </w:tc>
      </w:tr>
      <w:tr>
        <w:trPr>
          <w:trHeight w:val="540"/>
        </w:trPr>
        <w:tc>
          <w:tcPr>
            <w:tcW w:w="6400" w:type="dxa"/>
            <w:vAlign w:val="bottom"/>
          </w:tcPr>
          <w:p>
            <w:pPr>
              <w:ind w:left="60"/>
              <w:spacing w:after="0"/>
              <w:rPr>
                <w:sz w:val="20"/>
                <w:szCs w:val="20"/>
                <w:color w:val="auto"/>
              </w:rPr>
            </w:pPr>
            <w:r>
              <w:rPr>
                <w:rFonts w:ascii="Arial" w:cs="Arial" w:eastAsia="Arial" w:hAnsi="Arial"/>
                <w:sz w:val="18"/>
                <w:szCs w:val="18"/>
                <w:b w:val="1"/>
                <w:bCs w:val="1"/>
                <w:color w:val="auto"/>
              </w:rPr>
              <w:t>CEG ROFO</w:t>
            </w:r>
          </w:p>
        </w:tc>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2"/>
        </w:trPr>
        <w:tc>
          <w:tcPr>
            <w:tcW w:w="6400" w:type="dxa"/>
            <w:vAlign w:val="bottom"/>
          </w:tcPr>
          <w:p>
            <w:pPr>
              <w:ind w:left="60"/>
              <w:spacing w:after="0"/>
              <w:rPr>
                <w:sz w:val="20"/>
                <w:szCs w:val="20"/>
                <w:color w:val="auto"/>
              </w:rPr>
            </w:pPr>
            <w:r>
              <w:rPr>
                <w:rFonts w:ascii="Arial" w:cs="Arial" w:eastAsia="Arial" w:hAnsi="Arial"/>
                <w:sz w:val="18"/>
                <w:szCs w:val="18"/>
                <w:b w:val="1"/>
                <w:bCs w:val="1"/>
                <w:color w:val="auto"/>
              </w:rPr>
              <w:t>Asset</w:t>
            </w:r>
          </w:p>
        </w:tc>
        <w:tc>
          <w:tcPr>
            <w:tcW w:w="1260" w:type="dxa"/>
            <w:vAlign w:val="bottom"/>
          </w:tcPr>
          <w:p>
            <w:pPr>
              <w:ind w:left="220"/>
              <w:spacing w:after="0"/>
              <w:rPr>
                <w:sz w:val="20"/>
                <w:szCs w:val="20"/>
                <w:color w:val="auto"/>
              </w:rPr>
            </w:pPr>
            <w:r>
              <w:rPr>
                <w:rFonts w:ascii="Arial" w:cs="Arial" w:eastAsia="Arial" w:hAnsi="Arial"/>
                <w:sz w:val="14"/>
                <w:szCs w:val="14"/>
                <w:b w:val="1"/>
                <w:bCs w:val="1"/>
                <w:color w:val="auto"/>
              </w:rPr>
              <w:t>Technology</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9"/>
              </w:rPr>
              <w:t>Net Capacity (MW)</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State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COD</w:t>
            </w:r>
          </w:p>
        </w:tc>
      </w:tr>
      <w:tr>
        <w:trPr>
          <w:trHeight w:val="39"/>
        </w:trPr>
        <w:tc>
          <w:tcPr>
            <w:tcW w:w="64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r>
      <w:tr>
        <w:trPr>
          <w:trHeight w:val="271"/>
        </w:trPr>
        <w:tc>
          <w:tcPr>
            <w:tcW w:w="6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Mililani I</w:t>
            </w:r>
          </w:p>
        </w:tc>
        <w:tc>
          <w:tcPr>
            <w:tcW w:w="126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99"/>
              </w:rPr>
              <w:t>PV</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HI</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243"/>
        </w:trPr>
        <w:tc>
          <w:tcPr>
            <w:tcW w:w="6400" w:type="dxa"/>
            <w:vAlign w:val="bottom"/>
          </w:tcPr>
          <w:p>
            <w:pPr>
              <w:ind w:left="60"/>
              <w:spacing w:after="0"/>
              <w:rPr>
                <w:sz w:val="20"/>
                <w:szCs w:val="20"/>
                <w:color w:val="auto"/>
              </w:rPr>
            </w:pPr>
            <w:r>
              <w:rPr>
                <w:rFonts w:ascii="Arial" w:cs="Arial" w:eastAsia="Arial" w:hAnsi="Arial"/>
                <w:sz w:val="18"/>
                <w:szCs w:val="18"/>
                <w:color w:val="auto"/>
              </w:rPr>
              <w:t>Waiawa</w:t>
            </w:r>
          </w:p>
        </w:tc>
        <w:tc>
          <w:tcPr>
            <w:tcW w:w="1260" w:type="dxa"/>
            <w:vAlign w:val="bottom"/>
          </w:tcPr>
          <w:p>
            <w:pPr>
              <w:jc w:val="center"/>
              <w:ind w:left="93"/>
              <w:spacing w:after="0"/>
              <w:rPr>
                <w:sz w:val="20"/>
                <w:szCs w:val="20"/>
                <w:color w:val="auto"/>
              </w:rPr>
            </w:pPr>
            <w:r>
              <w:rPr>
                <w:rFonts w:ascii="Arial" w:cs="Arial" w:eastAsia="Arial" w:hAnsi="Arial"/>
                <w:sz w:val="18"/>
                <w:szCs w:val="18"/>
                <w:color w:val="auto"/>
                <w:w w:val="99"/>
              </w:rPr>
              <w:t>PV</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HI</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54"/>
        </w:trPr>
        <w:tc>
          <w:tcPr>
            <w:tcW w:w="6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7"/>
        </w:trPr>
        <w:tc>
          <w:tcPr>
            <w:tcW w:w="6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Langford</w:t>
            </w:r>
          </w:p>
        </w:tc>
        <w:tc>
          <w:tcPr>
            <w:tcW w:w="126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97"/>
              </w:rPr>
              <w:t>Wind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150</w:t>
            </w:r>
          </w:p>
        </w:tc>
        <w:tc>
          <w:tcPr>
            <w:tcW w:w="10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8"/>
                <w:szCs w:val="18"/>
                <w:color w:val="auto"/>
              </w:rPr>
              <w:t>TX</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r>
      <w:tr>
        <w:trPr>
          <w:trHeight w:val="243"/>
        </w:trPr>
        <w:tc>
          <w:tcPr>
            <w:tcW w:w="6400" w:type="dxa"/>
            <w:vAlign w:val="bottom"/>
          </w:tcPr>
          <w:p>
            <w:pPr>
              <w:ind w:left="60"/>
              <w:spacing w:after="0"/>
              <w:rPr>
                <w:sz w:val="20"/>
                <w:szCs w:val="20"/>
                <w:color w:val="auto"/>
              </w:rPr>
            </w:pPr>
            <w:r>
              <w:rPr>
                <w:rFonts w:ascii="Arial" w:cs="Arial" w:eastAsia="Arial" w:hAnsi="Arial"/>
                <w:sz w:val="18"/>
                <w:szCs w:val="18"/>
                <w:color w:val="auto"/>
              </w:rPr>
              <w:t>Up to $170 MM equity investment in business renewables</w:t>
            </w:r>
          </w:p>
        </w:tc>
        <w:tc>
          <w:tcPr>
            <w:tcW w:w="1260" w:type="dxa"/>
            <w:vAlign w:val="bottom"/>
          </w:tcPr>
          <w:p>
            <w:pPr>
              <w:jc w:val="center"/>
              <w:ind w:left="93"/>
              <w:spacing w:after="0"/>
              <w:rPr>
                <w:sz w:val="20"/>
                <w:szCs w:val="20"/>
                <w:color w:val="auto"/>
              </w:rPr>
            </w:pPr>
            <w:r>
              <w:rPr>
                <w:rFonts w:ascii="Arial" w:cs="Arial" w:eastAsia="Arial" w:hAnsi="Arial"/>
                <w:sz w:val="18"/>
                <w:szCs w:val="18"/>
                <w:color w:val="auto"/>
                <w:w w:val="99"/>
              </w:rPr>
              <w:t>PV</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TBD</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TBD</w:t>
            </w:r>
          </w:p>
        </w:tc>
      </w:tr>
      <w:tr>
        <w:trPr>
          <w:trHeight w:val="54"/>
        </w:trPr>
        <w:tc>
          <w:tcPr>
            <w:tcW w:w="6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24"/>
        </w:trPr>
        <w:tc>
          <w:tcPr>
            <w:tcW w:w="6400" w:type="dxa"/>
            <w:vAlign w:val="bottom"/>
            <w:shd w:val="clear" w:color="auto" w:fill="CCECFF"/>
          </w:tcPr>
          <w:p>
            <w:pPr>
              <w:ind w:left="60"/>
              <w:spacing w:after="0"/>
              <w:rPr>
                <w:sz w:val="20"/>
                <w:szCs w:val="20"/>
                <w:color w:val="auto"/>
              </w:rPr>
            </w:pPr>
            <w:r>
              <w:rPr>
                <w:rFonts w:ascii="Arial" w:cs="Arial" w:eastAsia="Arial" w:hAnsi="Arial"/>
                <w:sz w:val="18"/>
                <w:szCs w:val="18"/>
                <w:color w:val="auto"/>
              </w:rPr>
              <w:t>Rattlesnake</w:t>
            </w:r>
            <w:r>
              <w:rPr>
                <w:rFonts w:ascii="Arial" w:cs="Arial" w:eastAsia="Arial" w:hAnsi="Arial"/>
                <w:sz w:val="25"/>
                <w:szCs w:val="25"/>
                <w:color w:val="auto"/>
                <w:vertAlign w:val="superscript"/>
              </w:rPr>
              <w:t>(b)</w:t>
            </w:r>
          </w:p>
        </w:tc>
        <w:tc>
          <w:tcPr>
            <w:tcW w:w="1260" w:type="dxa"/>
            <w:vAlign w:val="bottom"/>
            <w:shd w:val="clear" w:color="auto" w:fill="CCECFF"/>
          </w:tcPr>
          <w:p>
            <w:pPr>
              <w:jc w:val="center"/>
              <w:ind w:left="93"/>
              <w:spacing w:after="0"/>
              <w:rPr>
                <w:sz w:val="20"/>
                <w:szCs w:val="20"/>
                <w:color w:val="auto"/>
              </w:rPr>
            </w:pPr>
            <w:r>
              <w:rPr>
                <w:rFonts w:ascii="Arial" w:cs="Arial" w:eastAsia="Arial" w:hAnsi="Arial"/>
                <w:sz w:val="18"/>
                <w:szCs w:val="18"/>
                <w:color w:val="auto"/>
                <w:w w:val="97"/>
              </w:rPr>
              <w:t>Wind</w:t>
            </w:r>
          </w:p>
        </w:tc>
        <w:tc>
          <w:tcPr>
            <w:tcW w:w="18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6"/>
              </w:rPr>
              <w:t>144</w:t>
            </w:r>
          </w:p>
        </w:tc>
        <w:tc>
          <w:tcPr>
            <w:tcW w:w="1020" w:type="dxa"/>
            <w:vAlign w:val="bottom"/>
            <w:shd w:val="clear" w:color="auto" w:fill="CCECFF"/>
          </w:tcPr>
          <w:p>
            <w:pPr>
              <w:jc w:val="center"/>
              <w:ind w:right="13"/>
              <w:spacing w:after="0"/>
              <w:rPr>
                <w:sz w:val="20"/>
                <w:szCs w:val="20"/>
                <w:color w:val="auto"/>
              </w:rPr>
            </w:pPr>
            <w:r>
              <w:rPr>
                <w:rFonts w:ascii="Arial" w:cs="Arial" w:eastAsia="Arial" w:hAnsi="Arial"/>
                <w:sz w:val="18"/>
                <w:szCs w:val="18"/>
                <w:color w:val="auto"/>
                <w:w w:val="96"/>
              </w:rPr>
              <w:t>WA</w:t>
            </w:r>
          </w:p>
        </w:tc>
        <w:tc>
          <w:tcPr>
            <w:tcW w:w="9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2020</w:t>
            </w:r>
          </w:p>
        </w:tc>
      </w:tr>
      <w:tr>
        <w:trPr>
          <w:trHeight w:val="243"/>
        </w:trPr>
        <w:tc>
          <w:tcPr>
            <w:tcW w:w="6400" w:type="dxa"/>
            <w:vAlign w:val="bottom"/>
          </w:tcPr>
          <w:p>
            <w:pPr>
              <w:ind w:left="60"/>
              <w:spacing w:after="0"/>
              <w:rPr>
                <w:sz w:val="20"/>
                <w:szCs w:val="20"/>
                <w:color w:val="auto"/>
              </w:rPr>
            </w:pPr>
            <w:r>
              <w:rPr>
                <w:rFonts w:ascii="Arial" w:cs="Arial" w:eastAsia="Arial" w:hAnsi="Arial"/>
                <w:sz w:val="18"/>
                <w:szCs w:val="18"/>
                <w:color w:val="auto"/>
              </w:rPr>
              <w:t>Black Rock</w:t>
            </w:r>
          </w:p>
        </w:tc>
        <w:tc>
          <w:tcPr>
            <w:tcW w:w="1260" w:type="dxa"/>
            <w:vAlign w:val="bottom"/>
          </w:tcPr>
          <w:p>
            <w:pPr>
              <w:jc w:val="center"/>
              <w:ind w:left="93"/>
              <w:spacing w:after="0"/>
              <w:rPr>
                <w:sz w:val="20"/>
                <w:szCs w:val="20"/>
                <w:color w:val="auto"/>
              </w:rPr>
            </w:pPr>
            <w:r>
              <w:rPr>
                <w:rFonts w:ascii="Arial" w:cs="Arial" w:eastAsia="Arial" w:hAnsi="Arial"/>
                <w:sz w:val="18"/>
                <w:szCs w:val="18"/>
                <w:color w:val="auto"/>
                <w:w w:val="97"/>
              </w:rPr>
              <w:t>Wind</w:t>
            </w: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110</w:t>
            </w:r>
          </w:p>
        </w:tc>
        <w:tc>
          <w:tcPr>
            <w:tcW w:w="1020" w:type="dxa"/>
            <w:vAlign w:val="bottom"/>
          </w:tcPr>
          <w:p>
            <w:pPr>
              <w:jc w:val="center"/>
              <w:spacing w:after="0"/>
              <w:rPr>
                <w:sz w:val="20"/>
                <w:szCs w:val="20"/>
                <w:color w:val="auto"/>
              </w:rPr>
            </w:pPr>
            <w:r>
              <w:rPr>
                <w:rFonts w:ascii="Arial" w:cs="Arial" w:eastAsia="Arial" w:hAnsi="Arial"/>
                <w:sz w:val="18"/>
                <w:szCs w:val="18"/>
                <w:color w:val="auto"/>
              </w:rPr>
              <w:t>WV</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54"/>
        </w:trPr>
        <w:tc>
          <w:tcPr>
            <w:tcW w:w="6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7"/>
        </w:trPr>
        <w:tc>
          <w:tcPr>
            <w:tcW w:w="6400" w:type="dxa"/>
            <w:vAlign w:val="bottom"/>
            <w:tcBorders>
              <w:bottom w:val="single" w:sz="8" w:color="CCECFF"/>
            </w:tcBorders>
            <w:shd w:val="clear" w:color="auto" w:fill="CCECFF"/>
          </w:tcPr>
          <w:p>
            <w:pPr>
              <w:ind w:left="60"/>
              <w:spacing w:after="0"/>
              <w:rPr>
                <w:sz w:val="20"/>
                <w:szCs w:val="20"/>
                <w:color w:val="auto"/>
              </w:rPr>
            </w:pPr>
            <w:r>
              <w:rPr>
                <w:rFonts w:ascii="Arial" w:cs="Arial" w:eastAsia="Arial" w:hAnsi="Arial"/>
                <w:sz w:val="18"/>
                <w:szCs w:val="18"/>
                <w:color w:val="auto"/>
              </w:rPr>
              <w:t>Wildflower</w:t>
            </w:r>
          </w:p>
        </w:tc>
        <w:tc>
          <w:tcPr>
            <w:tcW w:w="1260" w:type="dxa"/>
            <w:vAlign w:val="bottom"/>
            <w:tcBorders>
              <w:bottom w:val="single" w:sz="8" w:color="CCECFF"/>
            </w:tcBorders>
            <w:shd w:val="clear" w:color="auto" w:fill="CCECFF"/>
          </w:tcPr>
          <w:p>
            <w:pPr>
              <w:jc w:val="center"/>
              <w:ind w:left="73"/>
              <w:spacing w:after="0"/>
              <w:rPr>
                <w:sz w:val="20"/>
                <w:szCs w:val="20"/>
                <w:color w:val="auto"/>
              </w:rPr>
            </w:pPr>
            <w:r>
              <w:rPr>
                <w:rFonts w:ascii="Arial" w:cs="Arial" w:eastAsia="Arial" w:hAnsi="Arial"/>
                <w:sz w:val="18"/>
                <w:szCs w:val="18"/>
                <w:color w:val="auto"/>
                <w:w w:val="90"/>
              </w:rPr>
              <w:t>Solar</w:t>
            </w:r>
          </w:p>
        </w:tc>
        <w:tc>
          <w:tcPr>
            <w:tcW w:w="18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86"/>
              </w:rPr>
              <w:t>100</w:t>
            </w:r>
          </w:p>
        </w:tc>
        <w:tc>
          <w:tcPr>
            <w:tcW w:w="102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96"/>
              </w:rPr>
              <w:t>MS</w:t>
            </w:r>
          </w:p>
        </w:tc>
        <w:tc>
          <w:tcPr>
            <w:tcW w:w="90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89"/>
              </w:rPr>
              <w:t>2021</w:t>
            </w:r>
          </w:p>
        </w:tc>
      </w:tr>
      <w:tr>
        <w:trPr>
          <w:trHeight w:val="270"/>
        </w:trPr>
        <w:tc>
          <w:tcPr>
            <w:tcW w:w="6400" w:type="dxa"/>
            <w:vAlign w:val="bottom"/>
          </w:tcPr>
          <w:p>
            <w:pPr>
              <w:ind w:left="60"/>
              <w:spacing w:after="0"/>
              <w:rPr>
                <w:sz w:val="20"/>
                <w:szCs w:val="20"/>
                <w:color w:val="auto"/>
              </w:rPr>
            </w:pPr>
            <w:r>
              <w:rPr>
                <w:rFonts w:ascii="Arial" w:cs="Arial" w:eastAsia="Arial" w:hAnsi="Arial"/>
                <w:sz w:val="18"/>
                <w:szCs w:val="18"/>
                <w:color w:val="auto"/>
              </w:rPr>
              <w:t>Pinnacle Repowering</w:t>
            </w:r>
          </w:p>
        </w:tc>
        <w:tc>
          <w:tcPr>
            <w:tcW w:w="1260" w:type="dxa"/>
            <w:vAlign w:val="bottom"/>
          </w:tcPr>
          <w:p>
            <w:pPr>
              <w:jc w:val="center"/>
              <w:ind w:left="93"/>
              <w:spacing w:after="0"/>
              <w:rPr>
                <w:sz w:val="20"/>
                <w:szCs w:val="20"/>
                <w:color w:val="auto"/>
              </w:rPr>
            </w:pPr>
            <w:r>
              <w:rPr>
                <w:rFonts w:ascii="Arial" w:cs="Arial" w:eastAsia="Arial" w:hAnsi="Arial"/>
                <w:sz w:val="18"/>
                <w:szCs w:val="18"/>
                <w:color w:val="auto"/>
                <w:w w:val="97"/>
              </w:rPr>
              <w:t>Wind</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20" w:type="dxa"/>
            <w:vAlign w:val="bottom"/>
          </w:tcPr>
          <w:p>
            <w:pPr>
              <w:jc w:val="center"/>
              <w:spacing w:after="0"/>
              <w:rPr>
                <w:sz w:val="20"/>
                <w:szCs w:val="20"/>
                <w:color w:val="auto"/>
              </w:rPr>
            </w:pPr>
            <w:r>
              <w:rPr>
                <w:rFonts w:ascii="Arial" w:cs="Arial" w:eastAsia="Arial" w:hAnsi="Arial"/>
                <w:sz w:val="18"/>
                <w:szCs w:val="18"/>
                <w:color w:val="auto"/>
              </w:rPr>
              <w:t>WV</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4" w:lineRule="exact"/>
        <w:rPr>
          <w:sz w:val="20"/>
          <w:szCs w:val="20"/>
          <w:color w:val="auto"/>
        </w:rPr>
      </w:pPr>
    </w:p>
    <w:p>
      <w:pPr>
        <w:ind w:left="200" w:hanging="192"/>
        <w:spacing w:after="0"/>
        <w:tabs>
          <w:tab w:leader="none" w:pos="200" w:val="left"/>
        </w:tabs>
        <w:numPr>
          <w:ilvl w:val="0"/>
          <w:numId w:val="53"/>
        </w:numPr>
        <w:rPr>
          <w:rFonts w:ascii="Arial" w:cs="Arial" w:eastAsia="Arial" w:hAnsi="Arial"/>
          <w:sz w:val="23"/>
          <w:szCs w:val="23"/>
          <w:color w:val="auto"/>
          <w:vertAlign w:val="superscript"/>
        </w:rPr>
      </w:pPr>
      <w:r>
        <w:rPr>
          <w:rFonts w:ascii="Arial" w:cs="Arial" w:eastAsia="Arial" w:hAnsi="Arial"/>
          <w:sz w:val="15"/>
          <w:szCs w:val="15"/>
          <w:color w:val="auto"/>
        </w:rPr>
        <w:t>On December 26, 2018, we and CEG amended the DGPV Holdco 3 partnership agreement to increase the capital commitment of $50 million to $70 million.</w:t>
      </w:r>
    </w:p>
    <w:p>
      <w:pPr>
        <w:spacing w:after="0" w:line="10" w:lineRule="exact"/>
        <w:rPr>
          <w:rFonts w:ascii="Arial" w:cs="Arial" w:eastAsia="Arial" w:hAnsi="Arial"/>
          <w:sz w:val="23"/>
          <w:szCs w:val="23"/>
          <w:color w:val="auto"/>
          <w:vertAlign w:val="superscript"/>
        </w:rPr>
      </w:pPr>
    </w:p>
    <w:p>
      <w:pPr>
        <w:ind w:left="180" w:hanging="172"/>
        <w:spacing w:after="0" w:line="191" w:lineRule="auto"/>
        <w:tabs>
          <w:tab w:leader="none" w:pos="180" w:val="left"/>
        </w:tabs>
        <w:numPr>
          <w:ilvl w:val="0"/>
          <w:numId w:val="53"/>
        </w:numPr>
        <w:rPr>
          <w:rFonts w:ascii="Arial" w:cs="Arial" w:eastAsia="Arial" w:hAnsi="Arial"/>
          <w:sz w:val="21"/>
          <w:szCs w:val="21"/>
          <w:color w:val="auto"/>
          <w:vertAlign w:val="superscript"/>
        </w:rPr>
      </w:pPr>
      <w:r>
        <w:rPr>
          <w:rFonts w:ascii="Arial" w:cs="Arial" w:eastAsia="Arial" w:hAnsi="Arial"/>
          <w:sz w:val="15"/>
          <w:szCs w:val="15"/>
          <w:color w:val="auto"/>
        </w:rPr>
        <w:t>On January 8, 2020, CEG offered us the opportunity to acquire 100% of the equity interests in Rattlesnake.</w:t>
      </w:r>
    </w:p>
    <w:p>
      <w:pPr>
        <w:spacing w:after="0" w:line="194"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Prior to engaging in any negotiation regarding any disposition, sale or other transfer of any of the remaining CEG ROFO Assets, CEG will deliver a written notice to us setting forth the material terms and conditions of the proposed transaction. During the 30</w:t>
      </w:r>
      <w:r>
        <w:rPr>
          <w:rFonts w:ascii="MS PGothic" w:cs="MS PGothic" w:eastAsia="MS PGothic" w:hAnsi="MS PGothic"/>
          <w:sz w:val="17"/>
          <w:szCs w:val="17"/>
          <w:color w:val="auto"/>
        </w:rPr>
        <w:t>‑</w:t>
      </w:r>
      <w:r>
        <w:rPr>
          <w:rFonts w:ascii="Arial" w:cs="Arial" w:eastAsia="Arial" w:hAnsi="Arial"/>
          <w:sz w:val="17"/>
          <w:szCs w:val="17"/>
          <w:color w:val="auto"/>
        </w:rPr>
        <w:t>day period after the delivery of such notice, we will negotiate with CEG in good faith to reach an agreement on the transaction. If we do not reach an agreement within such 30</w:t>
      </w:r>
      <w:r>
        <w:rPr>
          <w:rFonts w:ascii="MS PGothic" w:cs="MS PGothic" w:eastAsia="MS PGothic" w:hAnsi="MS PGothic"/>
          <w:sz w:val="17"/>
          <w:szCs w:val="17"/>
          <w:color w:val="auto"/>
        </w:rPr>
        <w:t>‑</w:t>
      </w:r>
      <w:r>
        <w:rPr>
          <w:rFonts w:ascii="Arial" w:cs="Arial" w:eastAsia="Arial" w:hAnsi="Arial"/>
          <w:sz w:val="17"/>
          <w:szCs w:val="17"/>
          <w:color w:val="auto"/>
        </w:rPr>
        <w:t>day period, CEG will be able within the next 180 calendar days to sell, transfer, dispose or recontract such CEG ROFO Asset to a third party (or to agree in writing to undertake such transaction with a third party) on terms generally no less favorable to CEG than those offered pursuant to the written notice.</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CEG ROFO Agreement, CEG is not obligated to sell the remaining CEG ROFO Assets. In addition, any offer to sell under the CEG ROFO Agreement will be subject to an inherent conflict of interest because the same professionals within CEG’s organization that are involved in acquisitions that are suitable for us have responsibilities within CEG’s broader asset management business. Notwithstanding the significance of the services to be rendered by CEG or their designated affiliates on our behalf or of the assets which we may elect to acquire from CEG in accordance with the terms of the CEG ROFO Agreement or otherwise, CEG does not owe fiduciary duties to us or our unitholders. Any material transaction with CEG (including the proposed acquisition of any CEG ROFO Asset) will be subject to Clearway, Inc.’s related person transaction policy, which will require prior approval of such transaction by Clearway, Inc.’s Corporate Governance, Conflicts and Nominating Committee.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Carlsbad Drop Down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6, 2019, the Company acquired 100% of GIP's membership interests in CBAD Holdings, LLC, which indirectly owns Carlsbad Energy Center LLC, a 527 megawatt natural gas fired power project located in Carlsbad, California, or the Carlsbad Drop Down Asset. The purchase price for the Carlsbad Drop Down was $184 million in cash, plus assumption of $803 million in project level financing including non-recourse senior secured notes. The acquisition was funded with proceeds from the Clearway Energy, Inc. equity issuance on December 2, 2019 for net proceeds of $100 million, as well as borrowings from the Company's revolving credit facility. The Carlsbad acquisition is the result of the Company having elected its option to purchase Carlsbad pursuant to the ROFO agreement, as amended, by and among Clearway, Inc., CEG and GIP.</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4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Partnerships with CEG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DGPV Holdco 1 LLC</w:t>
      </w:r>
    </w:p>
    <w:p>
      <w:pPr>
        <w:spacing w:after="0" w:line="22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DGPV Holding LLC, our wholly</w:t>
      </w:r>
      <w:r>
        <w:rPr>
          <w:rFonts w:ascii="MS PGothic" w:cs="MS PGothic" w:eastAsia="MS PGothic" w:hAnsi="MS PGothic"/>
          <w:sz w:val="18"/>
          <w:szCs w:val="18"/>
          <w:color w:val="auto"/>
        </w:rPr>
        <w:t>‑</w:t>
      </w:r>
      <w:r>
        <w:rPr>
          <w:rFonts w:ascii="Arial" w:cs="Arial" w:eastAsia="Arial" w:hAnsi="Arial"/>
          <w:sz w:val="18"/>
          <w:szCs w:val="18"/>
          <w:color w:val="auto"/>
        </w:rPr>
        <w:t>owned subsidiary, and CEG are parties to the DGPV Holdco 1 LLC partnership (“DGPV Holdco 1”), the purpose of which is to own or purchase solar power generation projects and other ancillary related assets from CEG or its subsidiaries, via intermediate funds. The Company owns approximately 52 MW of distributed solar capacity, based on cash to be distributed, with a weighted average contract life of 16 years. Under this partnership, the Company committed to fund up to $100 million of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DGPV Holdco 2 LLC</w:t>
      </w:r>
    </w:p>
    <w:p>
      <w:pPr>
        <w:spacing w:after="0" w:line="22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DGPV Holding LLC, our wholly</w:t>
      </w:r>
      <w:r>
        <w:rPr>
          <w:rFonts w:ascii="MS PGothic" w:cs="MS PGothic" w:eastAsia="MS PGothic" w:hAnsi="MS PGothic"/>
          <w:sz w:val="18"/>
          <w:szCs w:val="18"/>
          <w:color w:val="auto"/>
        </w:rPr>
        <w:t>‑</w:t>
      </w:r>
      <w:r>
        <w:rPr>
          <w:rFonts w:ascii="Arial" w:cs="Arial" w:eastAsia="Arial" w:hAnsi="Arial"/>
          <w:sz w:val="18"/>
          <w:szCs w:val="18"/>
          <w:color w:val="auto"/>
        </w:rPr>
        <w:t>owned subsidiary, and CEG are parties to the DGPV Holdco 2 LLC partnership (“DGPV Holdco 2”), the purpose of which is to own or purchase solar power generation projects as well as other ancillary related assets from CEG or its subsidiaries, via intermediate funds. The Company owns approximately 113 MW of distributed solar capacity, based on cash to be distributed, with a weighted average contract life of 19 years. Under this partnership, the Company committed to fund up to $60 million of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DGPV Holdco 3 LLC</w:t>
      </w:r>
    </w:p>
    <w:p>
      <w:pPr>
        <w:spacing w:after="0" w:line="22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6"/>
          <w:szCs w:val="16"/>
          <w:color w:val="auto"/>
        </w:rPr>
        <w:t>DGPV Holding LLC, our wholly</w:t>
      </w:r>
      <w:r>
        <w:rPr>
          <w:rFonts w:ascii="MS PGothic" w:cs="MS PGothic" w:eastAsia="MS PGothic" w:hAnsi="MS PGothic"/>
          <w:sz w:val="16"/>
          <w:szCs w:val="16"/>
          <w:color w:val="auto"/>
        </w:rPr>
        <w:t>‑</w:t>
      </w:r>
      <w:r>
        <w:rPr>
          <w:rFonts w:ascii="Arial" w:cs="Arial" w:eastAsia="Arial" w:hAnsi="Arial"/>
          <w:sz w:val="16"/>
          <w:szCs w:val="16"/>
          <w:color w:val="auto"/>
        </w:rPr>
        <w:t>owned subsidiary, and CEG are parties to the DGPV Holdco 3 LLC partnership (“DGPV Holdco 3”), in which the Company plans to invest up to $70 million in an operating portfolio of distributed solar assets, primarily comprised of community solar projects, developed by CEG. The Company owns approximately 112 MW of distributed solar capacity, based on cash to be distributed, with a weighted average contract life of approximately 21 years as of December 31, 2019. The Company had a $14 million payable due to DGPV Holdco 3 LLC as of December 31, 2019.</w:t>
      </w:r>
    </w:p>
    <w:p>
      <w:pPr>
        <w:spacing w:after="0" w:line="2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maximum exposure to loss is limited to its equity investment in DGPV Holdco 1, DGPV Holdco 2 and DGPV Holdco 3, which was $318 million on a combined basis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RPV Holdco 1 LLC</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RPV Holding LLC, our wholly</w:t>
      </w:r>
      <w:r>
        <w:rPr>
          <w:rFonts w:ascii="MS PGothic" w:cs="MS PGothic" w:eastAsia="MS PGothic" w:hAnsi="MS PGothic"/>
          <w:sz w:val="18"/>
          <w:szCs w:val="18"/>
          <w:color w:val="auto"/>
        </w:rPr>
        <w:t>‑</w:t>
      </w:r>
      <w:r>
        <w:rPr>
          <w:rFonts w:ascii="Arial" w:cs="Arial" w:eastAsia="Arial" w:hAnsi="Arial"/>
          <w:sz w:val="18"/>
          <w:szCs w:val="18"/>
          <w:color w:val="auto"/>
        </w:rPr>
        <w:t>owned subsidiary, and CEG are parties to the RPV Holdco 1 LLC partnership (“RPV Holdco”) that holds operating portfolios of residential solar assets developed by a subsidiary of CEG, including: (i) an existing, unlevered portfolio of approximately 2,100 leases across nine states representing approximately 14 MW, based on cash to be distributed, with a weighted average remaining lease term of approximately 13 years that was acquired outside the partnership; and (ii) a tax equity</w:t>
      </w:r>
      <w:r>
        <w:rPr>
          <w:rFonts w:ascii="MS PGothic" w:cs="MS PGothic" w:eastAsia="MS PGothic" w:hAnsi="MS PGothic"/>
          <w:sz w:val="18"/>
          <w:szCs w:val="18"/>
          <w:color w:val="auto"/>
        </w:rPr>
        <w:t>‑</w:t>
      </w:r>
      <w:r>
        <w:rPr>
          <w:rFonts w:ascii="Arial" w:cs="Arial" w:eastAsia="Arial" w:hAnsi="Arial"/>
          <w:sz w:val="18"/>
          <w:szCs w:val="18"/>
          <w:color w:val="auto"/>
        </w:rPr>
        <w:t>financed portfolios of approximately 5,300 leases representing approximately 31 MW, based on cash to be distributed, with an average lease term for the existing and new leases of approximately 15 years. The Company had fully funded the partnership as of December 31, 2017.</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maximum exposure to loss is limited to its equity investment, which was $24 million as of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Repowering Partnership</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30, 2018, Wind TE Holdco, an indirect subsidiary of the Company, formed a partnership with Clearway 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14, 2019, Repowering Partnership LLC was replaced with Repowering Partnership II LLC as the owner of the Elbow Creek and Wildorado Wind projects, as well as Repowering Partnership Holdco LLC. We invested $101.6 million in net corporate capital to fund the repowering of the wind facilities during the fourth quarter of 2019 and the first quarter of 2020. These assets have reached Repowering COD.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Kawailoa Solar Partnership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1, 2019, the Company entered into a partnership with Clearway Renew LLC, a subsidiary of CEG, to own, finance, operate and maintain the Kawailoa Solar Partnership, which consists of the Kawailoa Solar Project, a 49 MW utility-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41"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scale solar generation project located in Oahu, Hawaii. The Company contributed $9 million into the partnership during the year ended December 31,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Oahu Solar Partnership</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8, 2019, the Company entered into a partnership with Clearway Renew LLC, a subsidiary of CEG, to own, finance, operate and maintain the Oahu Solar projects, which consist of Lanikuhana and Waipio, 15 MW and 46 MW utility-scale solar generation projects, respectively, located in Oahu, Hawaii, which both reached COD in September 2019 and began to sell power to HECO pursuant to the long-term power purchase agreements. The Company contributed $20 million into the partnership during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Agreements</w:t>
      </w:r>
    </w:p>
    <w:p>
      <w:pPr>
        <w:spacing w:after="0" w:line="17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CEG provides operations and maintenance (“O&amp;M”) and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operational support to our utility scale solar and wind facilities in accordance with O&amp;M agreements with us. Each of the counterparties to the O&amp;M agreements is an affiliate of CEG. The O&amp;M agreements for which the amount paid to CEG exceeded $120,000 during fiscal year 2019 are described in the table below. Under these O&amp;M agreements, we generally pay an annual or monthly fee, which may be subject to annual adjustment, plus any reimbursable expenses.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41" w:right="239" w:bottom="1440" w:gutter="0" w:footer="0" w:header="0"/>
        </w:sectPr>
      </w:pPr>
    </w:p>
    <w:bookmarkStart w:id="82" w:name="page83"/>
    <w:bookmarkEnd w:id="82"/>
    <w:tbl>
      <w:tblPr>
        <w:tblLayout w:type="fixed"/>
        <w:tblInd w:w="2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220" w:type="dxa"/>
            <w:vAlign w:val="bottom"/>
          </w:tcPr>
          <w:p>
            <w:pPr>
              <w:jc w:val="center"/>
              <w:ind w:left="83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19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220" w:type="dxa"/>
            <w:vAlign w:val="bottom"/>
          </w:tcPr>
          <w:p>
            <w:pPr>
              <w:jc w:val="center"/>
              <w:ind w:left="85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19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22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Paid to</w:t>
            </w:r>
          </w:p>
        </w:tc>
      </w:tr>
      <w:tr>
        <w:trPr>
          <w:trHeight w:val="234"/>
        </w:trPr>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Project</w:t>
            </w:r>
          </w:p>
        </w:tc>
        <w:tc>
          <w:tcPr>
            <w:tcW w:w="6240" w:type="dxa"/>
            <w:vAlign w:val="bottom"/>
          </w:tcPr>
          <w:p>
            <w:pPr>
              <w:ind w:left="2900"/>
              <w:spacing w:after="0"/>
              <w:rPr>
                <w:sz w:val="20"/>
                <w:szCs w:val="20"/>
                <w:color w:val="auto"/>
              </w:rPr>
            </w:pPr>
            <w:r>
              <w:rPr>
                <w:rFonts w:ascii="Arial" w:cs="Arial" w:eastAsia="Arial" w:hAnsi="Arial"/>
                <w:sz w:val="18"/>
                <w:szCs w:val="18"/>
                <w:b w:val="1"/>
                <w:bCs w:val="1"/>
                <w:color w:val="auto"/>
              </w:rPr>
              <w:t>Agreement Description</w:t>
            </w:r>
          </w:p>
        </w:tc>
        <w:tc>
          <w:tcPr>
            <w:tcW w:w="3220" w:type="dxa"/>
            <w:vAlign w:val="bottom"/>
          </w:tcPr>
          <w:p>
            <w:pPr>
              <w:jc w:val="center"/>
              <w:ind w:left="890"/>
              <w:spacing w:after="0"/>
              <w:rPr>
                <w:sz w:val="20"/>
                <w:szCs w:val="20"/>
                <w:color w:val="auto"/>
              </w:rPr>
            </w:pPr>
            <w:r>
              <w:rPr>
                <w:rFonts w:ascii="Arial" w:cs="Arial" w:eastAsia="Arial" w:hAnsi="Arial"/>
                <w:sz w:val="18"/>
                <w:szCs w:val="18"/>
                <w:b w:val="1"/>
                <w:bCs w:val="1"/>
                <w:color w:val="auto"/>
              </w:rPr>
              <w:t>CEG</w:t>
            </w:r>
          </w:p>
        </w:tc>
      </w:tr>
      <w:tr>
        <w:trPr>
          <w:trHeight w:val="284"/>
        </w:trPr>
        <w:tc>
          <w:tcPr>
            <w:tcW w:w="1920" w:type="dxa"/>
            <w:vAlign w:val="bottom"/>
          </w:tcPr>
          <w:p>
            <w:pPr>
              <w:ind w:left="20"/>
              <w:spacing w:after="0" w:line="207" w:lineRule="exact"/>
              <w:rPr>
                <w:sz w:val="20"/>
                <w:szCs w:val="20"/>
                <w:color w:val="auto"/>
              </w:rPr>
            </w:pPr>
            <w:r>
              <w:rPr>
                <w:rFonts w:ascii="Arial" w:cs="Arial" w:eastAsia="Arial" w:hAnsi="Arial"/>
                <w:sz w:val="18"/>
                <w:szCs w:val="18"/>
                <w:b w:val="1"/>
                <w:bCs w:val="1"/>
                <w:color w:val="auto"/>
              </w:rPr>
              <w:t>Utility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Scale Solar</w:t>
            </w:r>
          </w:p>
        </w:tc>
        <w:tc>
          <w:tcPr>
            <w:tcW w:w="62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Avenal</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January 31, 2011</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Borrego</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August 1, 2012</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$311,000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Buckthorn Solar</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May 22, 2017</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CVSR</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September 30, 2011</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$2,387,000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Kansas South</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June 13, 2017</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Solar Blythe</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November 1, 2017</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$397,000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TA High Desert</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June 9, 2017</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Wind</w:t>
            </w:r>
          </w:p>
        </w:tc>
        <w:tc>
          <w:tcPr>
            <w:tcW w:w="62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Alta Wind X</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December 12, 2016</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Alta Wind XI</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December 12, 2016</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$1,043,000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Alta Wind I</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December 12, 2016</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Alta Wind II</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December 12, 2016</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$484,000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Alta Wind III</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December 12, 2016</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Alta Wind IV</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December 12, 2016</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$327,000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Alta Wind V</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December 12, 2016</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Buffalo Bear</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May 1, 2016</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$329,000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Crosswinds</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May 1, 2016</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Elbow Creek</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October 31, 2018</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$1,300,000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Elkhorn Ridge</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May 9, 2008</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Forward</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October 20, 2016</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$623,000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Goat Wind</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February 18, 2008</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Hardin</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May 1, 2016</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$424,000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Laredo Ridge</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December 24, 2015</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Lookout</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February 11, 2008</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$790,000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Odin</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September 16, 2016</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Pinnacle</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December 1, 2016</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$1,446,000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San Juan Mesa</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December 27, 2005</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$1,664,000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Sleeping Bear</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May 1, 2016</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$1,343,000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Spanish Fork</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September 16, 2016</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South Trent</w:t>
            </w:r>
          </w:p>
        </w:tc>
        <w:tc>
          <w:tcPr>
            <w:tcW w:w="6240" w:type="dxa"/>
            <w:vAlign w:val="bottom"/>
          </w:tcPr>
          <w:p>
            <w:pPr>
              <w:ind w:left="520"/>
              <w:spacing w:after="0"/>
              <w:rPr>
                <w:sz w:val="20"/>
                <w:szCs w:val="20"/>
                <w:color w:val="auto"/>
              </w:rPr>
            </w:pPr>
            <w:r>
              <w:rPr>
                <w:rFonts w:ascii="Arial" w:cs="Arial" w:eastAsia="Arial" w:hAnsi="Arial"/>
                <w:sz w:val="18"/>
                <w:szCs w:val="18"/>
                <w:color w:val="auto"/>
              </w:rPr>
              <w:t>Management O&amp;M Agreement, dated October 1, 2015</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$1,042,000</w:t>
            </w:r>
          </w:p>
        </w:tc>
      </w:tr>
      <w:tr>
        <w:trPr>
          <w:trHeight w:val="27"/>
        </w:trPr>
        <w:tc>
          <w:tcPr>
            <w:tcW w:w="1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Taloga</w:t>
            </w:r>
          </w:p>
        </w:tc>
        <w:tc>
          <w:tcPr>
            <w:tcW w:w="6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O&amp;M Agreement, dated July 1, 2016</w:t>
            </w:r>
          </w:p>
        </w:tc>
        <w:tc>
          <w:tcPr>
            <w:tcW w:w="3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$2,485,000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i w:val="1"/>
                <w:iCs w:val="1"/>
                <w:color w:val="auto"/>
              </w:rPr>
              <w:t>Wildorado</w:t>
            </w:r>
          </w:p>
        </w:tc>
        <w:tc>
          <w:tcPr>
            <w:tcW w:w="6240" w:type="dxa"/>
            <w:vAlign w:val="bottom"/>
          </w:tcPr>
          <w:p>
            <w:pPr>
              <w:ind w:left="520"/>
              <w:spacing w:after="0"/>
              <w:rPr>
                <w:sz w:val="20"/>
                <w:szCs w:val="20"/>
                <w:color w:val="auto"/>
              </w:rPr>
            </w:pPr>
            <w:r>
              <w:rPr>
                <w:rFonts w:ascii="Arial" w:cs="Arial" w:eastAsia="Arial" w:hAnsi="Arial"/>
                <w:sz w:val="18"/>
                <w:szCs w:val="18"/>
                <w:color w:val="auto"/>
              </w:rPr>
              <w:t>O&amp;M Agreement, dated February 11, 2008</w:t>
            </w:r>
          </w:p>
        </w:tc>
        <w:tc>
          <w:tcPr>
            <w:tcW w:w="3220" w:type="dxa"/>
            <w:vAlign w:val="bottom"/>
          </w:tcPr>
          <w:p>
            <w:pPr>
              <w:jc w:val="right"/>
              <w:ind w:right="10"/>
              <w:spacing w:after="0"/>
              <w:rPr>
                <w:sz w:val="20"/>
                <w:szCs w:val="20"/>
                <w:color w:val="auto"/>
              </w:rPr>
            </w:pPr>
            <w:r>
              <w:rPr>
                <w:rFonts w:ascii="Arial" w:cs="Arial" w:eastAsia="Arial" w:hAnsi="Arial"/>
                <w:sz w:val="18"/>
                <w:szCs w:val="18"/>
                <w:color w:val="auto"/>
              </w:rPr>
              <w:t>$1,728,000</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 and Administrative Services Agreements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CEG provides day-to-day administrative support to certain of our project-level entities in accordance with asset management and administrative services agreements (the “ASAs”). The ASAs for which the amount involved exceeded $120,000 during fiscal year 2019 are described in the table below. Under these agreements, we generally pay an annual or monthly fee, which may be subject to annual adjustment, plus any reimbursable expenses.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99"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27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Project</w:t>
            </w:r>
          </w:p>
        </w:tc>
        <w:tc>
          <w:tcPr>
            <w:tcW w:w="6620" w:type="dxa"/>
            <w:vAlign w:val="bottom"/>
            <w:gridSpan w:val="2"/>
          </w:tcPr>
          <w:p>
            <w:pPr>
              <w:ind w:left="2360"/>
              <w:spacing w:after="0"/>
              <w:rPr>
                <w:sz w:val="20"/>
                <w:szCs w:val="20"/>
                <w:color w:val="auto"/>
              </w:rPr>
            </w:pPr>
            <w:r>
              <w:rPr>
                <w:rFonts w:ascii="Arial" w:cs="Arial" w:eastAsia="Arial" w:hAnsi="Arial"/>
                <w:sz w:val="18"/>
                <w:szCs w:val="18"/>
                <w:b w:val="1"/>
                <w:bCs w:val="1"/>
                <w:color w:val="auto"/>
              </w:rPr>
              <w:t>Agreement Description</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4"/>
              </w:rPr>
              <w:t>Paid to CEG</w:t>
            </w:r>
          </w:p>
        </w:tc>
      </w:tr>
      <w:tr>
        <w:trPr>
          <w:trHeight w:val="41"/>
        </w:trPr>
        <w:tc>
          <w:tcPr>
            <w:tcW w:w="2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37"/>
        </w:trPr>
        <w:tc>
          <w:tcPr>
            <w:tcW w:w="2760" w:type="dxa"/>
            <w:vAlign w:val="bottom"/>
            <w:gridSpan w:val="2"/>
          </w:tcPr>
          <w:p>
            <w:pPr>
              <w:ind w:left="20"/>
              <w:spacing w:after="0"/>
              <w:rPr>
                <w:sz w:val="20"/>
                <w:szCs w:val="20"/>
                <w:color w:val="auto"/>
              </w:rPr>
            </w:pPr>
            <w:r>
              <w:rPr>
                <w:rFonts w:ascii="Arial" w:cs="Arial" w:eastAsia="Arial" w:hAnsi="Arial"/>
                <w:sz w:val="18"/>
                <w:szCs w:val="18"/>
                <w:b w:val="1"/>
                <w:bCs w:val="1"/>
                <w:color w:val="auto"/>
              </w:rPr>
              <w:t>Utility-Scale Solar</w:t>
            </w:r>
          </w:p>
        </w:tc>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Alpine</w:t>
            </w:r>
          </w:p>
        </w:tc>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Management Agreement, dated March 15, 2012</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$142,000</w:t>
            </w: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i w:val="1"/>
                <w:iCs w:val="1"/>
                <w:color w:val="auto"/>
              </w:rPr>
              <w:t>CVSR Holdco</w:t>
            </w:r>
          </w:p>
        </w:tc>
        <w:tc>
          <w:tcPr>
            <w:tcW w:w="6620" w:type="dxa"/>
            <w:vAlign w:val="bottom"/>
            <w:gridSpan w:val="2"/>
          </w:tcPr>
          <w:p>
            <w:pPr>
              <w:ind w:left="40"/>
              <w:spacing w:after="0"/>
              <w:rPr>
                <w:sz w:val="20"/>
                <w:szCs w:val="20"/>
                <w:color w:val="auto"/>
              </w:rPr>
            </w:pPr>
            <w:r>
              <w:rPr>
                <w:rFonts w:ascii="Arial" w:cs="Arial" w:eastAsia="Arial" w:hAnsi="Arial"/>
                <w:sz w:val="18"/>
                <w:szCs w:val="18"/>
                <w:color w:val="auto"/>
              </w:rPr>
              <w:t>Asset Management Agreement, dated April 26, 2016</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$195,000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Utah Solar Holdings LLC</w:t>
            </w:r>
          </w:p>
        </w:tc>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Master Management Agreement, dated March 27, 2017</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$261,000</w:t>
            </w: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i w:val="1"/>
                <w:iCs w:val="1"/>
                <w:color w:val="auto"/>
              </w:rPr>
              <w:t>SPP Fund III</w:t>
            </w:r>
          </w:p>
        </w:tc>
        <w:tc>
          <w:tcPr>
            <w:tcW w:w="6620" w:type="dxa"/>
            <w:vAlign w:val="bottom"/>
            <w:gridSpan w:val="2"/>
          </w:tcPr>
          <w:p>
            <w:pPr>
              <w:ind w:left="40"/>
              <w:spacing w:after="0"/>
              <w:rPr>
                <w:sz w:val="20"/>
                <w:szCs w:val="20"/>
                <w:color w:val="auto"/>
              </w:rPr>
            </w:pPr>
            <w:r>
              <w:rPr>
                <w:rFonts w:ascii="Arial" w:cs="Arial" w:eastAsia="Arial" w:hAnsi="Arial"/>
                <w:sz w:val="18"/>
                <w:szCs w:val="18"/>
                <w:color w:val="auto"/>
              </w:rPr>
              <w:t>Asset Management Agreement, dated October 31, 2017</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$125,000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SPP P-IV Master Lessee</w:t>
            </w:r>
          </w:p>
        </w:tc>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Management Agreement, dated July 12, 2012</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$161,000</w:t>
            </w: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b w:val="1"/>
                <w:bCs w:val="1"/>
                <w:color w:val="auto"/>
              </w:rPr>
              <w:t>Wind</w:t>
            </w:r>
          </w:p>
        </w:tc>
        <w:tc>
          <w:tcPr>
            <w:tcW w:w="6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Buffalo Bear</w:t>
            </w:r>
          </w:p>
        </w:tc>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Amended and Restated Services Agreement, dated September 15, 2011</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$164,000</w:t>
            </w: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i w:val="1"/>
                <w:iCs w:val="1"/>
                <w:color w:val="auto"/>
              </w:rPr>
              <w:t>Elbow Creek</w:t>
            </w:r>
          </w:p>
        </w:tc>
        <w:tc>
          <w:tcPr>
            <w:tcW w:w="6620" w:type="dxa"/>
            <w:vAlign w:val="bottom"/>
            <w:gridSpan w:val="2"/>
          </w:tcPr>
          <w:p>
            <w:pPr>
              <w:ind w:left="40"/>
              <w:spacing w:after="0"/>
              <w:rPr>
                <w:sz w:val="20"/>
                <w:szCs w:val="20"/>
                <w:color w:val="auto"/>
              </w:rPr>
            </w:pPr>
            <w:r>
              <w:rPr>
                <w:rFonts w:ascii="Arial" w:cs="Arial" w:eastAsia="Arial" w:hAnsi="Arial"/>
                <w:sz w:val="18"/>
                <w:szCs w:val="18"/>
                <w:color w:val="auto"/>
              </w:rPr>
              <w:t>Project Administration Agreement, dated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$556,000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Forward</w:t>
            </w:r>
          </w:p>
        </w:tc>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Services Agreement, dated January 1, 2012</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$257,000</w:t>
            </w: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i w:val="1"/>
                <w:iCs w:val="1"/>
                <w:color w:val="auto"/>
              </w:rPr>
              <w:t>Laredo Ridge</w:t>
            </w:r>
          </w:p>
        </w:tc>
        <w:tc>
          <w:tcPr>
            <w:tcW w:w="6620" w:type="dxa"/>
            <w:vAlign w:val="bottom"/>
            <w:gridSpan w:val="2"/>
          </w:tcPr>
          <w:p>
            <w:pPr>
              <w:ind w:left="40"/>
              <w:spacing w:after="0"/>
              <w:rPr>
                <w:sz w:val="20"/>
                <w:szCs w:val="20"/>
                <w:color w:val="auto"/>
              </w:rPr>
            </w:pPr>
            <w:r>
              <w:rPr>
                <w:rFonts w:ascii="Arial" w:cs="Arial" w:eastAsia="Arial" w:hAnsi="Arial"/>
                <w:sz w:val="18"/>
                <w:szCs w:val="18"/>
                <w:color w:val="auto"/>
              </w:rPr>
              <w:t>Support Services Agreement, dated May 27, 2010</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$166,000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Lookout</w:t>
            </w:r>
          </w:p>
        </w:tc>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Services Agreement, dated January 1, 2012</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$257,000</w:t>
            </w: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i w:val="1"/>
                <w:iCs w:val="1"/>
                <w:color w:val="auto"/>
              </w:rPr>
              <w:t>Wind TE Holdco LLC</w:t>
            </w:r>
          </w:p>
        </w:tc>
        <w:tc>
          <w:tcPr>
            <w:tcW w:w="6620" w:type="dxa"/>
            <w:vAlign w:val="bottom"/>
            <w:gridSpan w:val="2"/>
          </w:tcPr>
          <w:p>
            <w:pPr>
              <w:ind w:left="40"/>
              <w:spacing w:after="0"/>
              <w:rPr>
                <w:sz w:val="20"/>
                <w:szCs w:val="20"/>
                <w:color w:val="auto"/>
              </w:rPr>
            </w:pPr>
            <w:r>
              <w:rPr>
                <w:rFonts w:ascii="Arial" w:cs="Arial" w:eastAsia="Arial" w:hAnsi="Arial"/>
                <w:sz w:val="18"/>
                <w:szCs w:val="18"/>
                <w:color w:val="auto"/>
              </w:rPr>
              <w:t>Services Agreement, dated November 3, 2014</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$897,000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Pinnacle</w:t>
            </w:r>
          </w:p>
        </w:tc>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Amended and Restated Services Agreement, dated September 15, 2011</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$177,000</w:t>
            </w: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i w:val="1"/>
                <w:iCs w:val="1"/>
                <w:color w:val="auto"/>
              </w:rPr>
              <w:t>Sleeping Bear</w:t>
            </w:r>
          </w:p>
        </w:tc>
        <w:tc>
          <w:tcPr>
            <w:tcW w:w="6620" w:type="dxa"/>
            <w:vAlign w:val="bottom"/>
            <w:gridSpan w:val="2"/>
          </w:tcPr>
          <w:p>
            <w:pPr>
              <w:ind w:left="40"/>
              <w:spacing w:after="0"/>
              <w:rPr>
                <w:sz w:val="20"/>
                <w:szCs w:val="20"/>
                <w:color w:val="auto"/>
              </w:rPr>
            </w:pPr>
            <w:r>
              <w:rPr>
                <w:rFonts w:ascii="Arial" w:cs="Arial" w:eastAsia="Arial" w:hAnsi="Arial"/>
                <w:sz w:val="18"/>
                <w:szCs w:val="18"/>
                <w:color w:val="auto"/>
              </w:rPr>
              <w:t>Services Agreement, dated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$257,000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South Trent</w:t>
            </w:r>
          </w:p>
        </w:tc>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 Administration Agreement, dated October 1, 2015</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$247,000</w:t>
            </w: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i w:val="1"/>
                <w:iCs w:val="1"/>
                <w:color w:val="auto"/>
              </w:rPr>
              <w:t>Spanish Fork</w:t>
            </w:r>
          </w:p>
        </w:tc>
        <w:tc>
          <w:tcPr>
            <w:tcW w:w="6620" w:type="dxa"/>
            <w:vAlign w:val="bottom"/>
            <w:gridSpan w:val="2"/>
          </w:tcPr>
          <w:p>
            <w:pPr>
              <w:ind w:left="40"/>
              <w:spacing w:after="0"/>
              <w:rPr>
                <w:sz w:val="20"/>
                <w:szCs w:val="20"/>
                <w:color w:val="auto"/>
              </w:rPr>
            </w:pPr>
            <w:r>
              <w:rPr>
                <w:rFonts w:ascii="Arial" w:cs="Arial" w:eastAsia="Arial" w:hAnsi="Arial"/>
                <w:sz w:val="18"/>
                <w:szCs w:val="18"/>
                <w:color w:val="auto"/>
              </w:rPr>
              <w:t>Services Agreement, dated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$257,000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Taloga</w:t>
            </w:r>
          </w:p>
        </w:tc>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Services Agreement, dated November 20, 2012</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$164,000</w:t>
            </w: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i w:val="1"/>
                <w:iCs w:val="1"/>
                <w:color w:val="auto"/>
              </w:rPr>
              <w:t>Viento Funding II, Inc.</w:t>
            </w:r>
          </w:p>
        </w:tc>
        <w:tc>
          <w:tcPr>
            <w:tcW w:w="6620" w:type="dxa"/>
            <w:vAlign w:val="bottom"/>
            <w:gridSpan w:val="2"/>
          </w:tcPr>
          <w:p>
            <w:pPr>
              <w:ind w:left="40"/>
              <w:spacing w:after="0"/>
              <w:rPr>
                <w:sz w:val="20"/>
                <w:szCs w:val="20"/>
                <w:color w:val="auto"/>
              </w:rPr>
            </w:pPr>
            <w:r>
              <w:rPr>
                <w:rFonts w:ascii="Arial" w:cs="Arial" w:eastAsia="Arial" w:hAnsi="Arial"/>
                <w:sz w:val="18"/>
                <w:szCs w:val="18"/>
                <w:color w:val="auto"/>
              </w:rPr>
              <w:t>Management and Administration Agreement, dated July 1, 2013</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$134,000</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Reimbursements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2019, we paid approximately $7,839,000 for insurance premium reimbursements to CEG.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Amended and Restated Limited Liability Company Agreement of Clearway Energy LLC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description of the material terms of Clearway Energy LLC’s Fourth Amended and Restated Limited Liability Company Agreement (the “LLC Agreement”). For the year ended December 31, 2019, the Company made approximately $86,344,000 in distributions to Clearway, Inc. and $68,382,000 to CEG (the holder of Class B and Class D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Clearway, Inc. serves as the sole managing member of the Company. As such, Clearway, Inc. and effectively Clearway, Inc.’s Board, control the business and affairs of the Company and are responsible for the management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and Economic Rights of Members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four classes of Units: Class A units, Class B units, Class C units and Class D units. Class A units and Class C units may be issued only to Clearway, Inc.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 exchangeable for a share of our Class D common stock, in each case subject to equitable adjustments for stock splits, dividends and reclassifications in accordance with the terms of the Exchange Agreement (as described below).</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profits and net losses and distributions by the Company are allocated and made to holders of units in accordance with the respective number of membership units of the Company held. Generally, the Company will make distributions to holders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99"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of units for the purpose of funding tax obligations in respect of income of the Company that is allocated to the members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Clearway, Inc.’s Coordination with Clearway Energy LLC</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Any time Clearway, Inc. issues a share of Class A common stock or a share of Class C common stock for cash, the net proceeds therefrom will promptly be transferred to us, and we will either:</w:t>
      </w:r>
    </w:p>
    <w:p>
      <w:pPr>
        <w:spacing w:after="0" w:line="170" w:lineRule="exact"/>
        <w:rPr>
          <w:sz w:val="20"/>
          <w:szCs w:val="20"/>
          <w:color w:val="auto"/>
        </w:rPr>
      </w:pPr>
    </w:p>
    <w:p>
      <w:pPr>
        <w:jc w:val="center"/>
        <w:ind w:left="900"/>
        <w:spacing w:after="0" w:line="308" w:lineRule="auto"/>
        <w:rPr>
          <w:sz w:val="20"/>
          <w:szCs w:val="20"/>
          <w:color w:val="auto"/>
        </w:rPr>
      </w:pPr>
      <w:r>
        <w:rPr>
          <w:rFonts w:ascii="Arial" w:cs="Arial" w:eastAsia="Arial" w:hAnsi="Arial"/>
          <w:sz w:val="17"/>
          <w:szCs w:val="17"/>
          <w:color w:val="auto"/>
        </w:rPr>
        <w:t>•transfer a newly issued Class A unit of the Company to Clearway, Inc. in the case of the issuance of a share of Class A common stock, or a newly issued Class C unit of the Company to Clearway, Inc. in the case of the issuance of a share of Class C common stock; or</w:t>
      </w:r>
    </w:p>
    <w:p>
      <w:pPr>
        <w:spacing w:after="0" w:line="147" w:lineRule="exact"/>
        <w:rPr>
          <w:sz w:val="20"/>
          <w:szCs w:val="20"/>
          <w:color w:val="auto"/>
        </w:rPr>
      </w:pPr>
    </w:p>
    <w:p>
      <w:pPr>
        <w:jc w:val="both"/>
        <w:ind w:left="1700" w:hanging="1039"/>
        <w:spacing w:after="0" w:line="259" w:lineRule="auto"/>
        <w:rPr>
          <w:sz w:val="20"/>
          <w:szCs w:val="20"/>
          <w:color w:val="auto"/>
        </w:rPr>
      </w:pPr>
      <w:r>
        <w:rPr>
          <w:rFonts w:ascii="Arial" w:cs="Arial" w:eastAsia="Arial" w:hAnsi="Arial"/>
          <w:sz w:val="18"/>
          <w:szCs w:val="18"/>
          <w:color w:val="auto"/>
        </w:rPr>
        <w:t>•use the net proceeds to purchase a Class B unit of the Company from CEG in the case of the issuance of a share of Class A common stock, which Class B unit will automatically convert into a Class A unit of the Company when transferred to Clearway, Inc., or a Class D unit of the Company from CEG in the case of the issuance of a share of Class C common stock, which Class D unit will automatically convert into a Class C unit of the Company when transferred to Clearway, Inc.</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Clearway, Inc. elects to redeem any shares of their Class A common stock or Class C common stock for cash, the Company will, immediately prior to such redemption, redeem an equal number of Class A units or Class C units, as applicable, held by Clearway, Inc. upon the same terms and for the same price, as the shares of Class A common stock so redeemed.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6"/>
          <w:szCs w:val="16"/>
          <w:color w:val="auto"/>
        </w:rPr>
        <w:t>Clearway, Inc. entered into an Amended and Restated Exchange Agreement with NRG (the “Exchange Agreement”), which was assigned to CEG upon the GIP Transaction. Under the Exchange Agreement, CEG (and certain permitted assignees and permitted transferees who acquire Class B units or Class D units of the Company) may from time to time cause us to exchange their Class B units for shares of Clearway, Inc.’s Class A common stock on a one</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one basis, subject to adjustments for stock splits, stock dividends and reclassifications, or exchange their Class D units for shares of Clearway, Inc.’s Class C common stock on a one</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one basis, subject to equitable adjustments for stock splits, stock dividends and reclassifications.</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When CEG or its permitted transferee exchanges a Class B unit of the Company for a share of Clearway, Inc.’s Class A common stock, Clearway, Inc. will automatically redeem and cancel a corresponding share of their Class B common stock and the Class B unit will automatically convert into a Class A unit when issued to Clearway, Inc.; similarly, when CEG or its permitted transferee exchanges a Class D unit of the Company for a share of Clearway, Inc.’s Class C common stock, Clearway, Inc. will automatically redeem and cancel a corresponding share of their Class D common stock and the Class D unit will automatically convert into a Class C unit when issued to Clearway, Inc. As a result, when a holder exchanges its Class B units for shares of Clearway, Inc.’s Class A common stock, or its Class D units for shares of Clearway, Inc.’s Class C common stock, Clearway, Inc.’s interest in the Company will be correspondingly increased.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Clearway, Inc. entered into an Amended and Restated Registration Rights Agreement with NRG (the “Registration Rights Agreement”), which was assigned to CEG upon the GIP Transaction. Under the Registration Rights Agreement, CEG and its affiliates are entitled to demand registration rights, including the right to demand that a shelf registration statement be filed, and “piggyback” registration rights, for shares of Clearway, Inc.’s Class A common stock that are issuable upon exchange of Class B units of the Company that CEG owns and shares of Clearway, Inc.’s Class C common stock that are issuable upon exchange of the Class D units of the Company that CEG owns.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Officers</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Clearway, Inc. has entered into indemnification agreements with each of our executive officers. The indemnification agreements provide the executive officers with contractual rights to indemnification, expense advancement and reimbursement, to the fullest extent permitted under Delaware law.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 for Review, Approval and Ratification of Related Person Transactions; Conflicts of Interest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does not have a separate policy regarding related party transactions, as all of its officers are subject to the written Related Person Transaction Policy (the “Related Person Policy”) adopted by Clearway, Inc.’s Board. The Related Person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41" w:right="239" w:bottom="1440" w:gutter="0" w:footer="0" w:header="0"/>
        </w:sectPr>
      </w:pPr>
    </w:p>
    <w:bookmarkStart w:id="85" w:name="page86"/>
    <w:bookmarkEnd w:id="85"/>
    <w:p>
      <w:pPr>
        <w:spacing w:after="0" w:line="277" w:lineRule="auto"/>
        <w:rPr>
          <w:sz w:val="20"/>
          <w:szCs w:val="20"/>
          <w:color w:val="auto"/>
        </w:rPr>
      </w:pPr>
      <w:r>
        <w:rPr>
          <w:rFonts w:ascii="Arial" w:cs="Arial" w:eastAsia="Arial" w:hAnsi="Arial"/>
          <w:sz w:val="18"/>
          <w:szCs w:val="18"/>
          <w:color w:val="auto"/>
        </w:rPr>
        <w:t>Policy provides that the Corporate Governance, Conflicts and Nominating Committee of the Board will periodically review all related person transactions that are required to be disclosed under SEC rules and, when appropriate, initially authorize or ratify all such transactions.</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Related Person Policy operates in conjunction with Clearway, Inc.’s Code of Conduct and is applicable to all “Related Person Transactions”, which are all transactions, arrangements or relationships in which:</w:t>
      </w:r>
    </w:p>
    <w:p>
      <w:pPr>
        <w:spacing w:after="0" w:line="116" w:lineRule="exact"/>
        <w:rPr>
          <w:sz w:val="20"/>
          <w:szCs w:val="20"/>
          <w:color w:val="auto"/>
        </w:rPr>
      </w:pPr>
    </w:p>
    <w:p>
      <w:pPr>
        <w:ind w:left="1160" w:hanging="504"/>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amount involved will or may be expected to exceed $50,000 in any calendar year;</w:t>
      </w:r>
    </w:p>
    <w:p>
      <w:pPr>
        <w:spacing w:after="0" w:line="171" w:lineRule="exact"/>
        <w:rPr>
          <w:rFonts w:ascii="Arial" w:cs="Arial" w:eastAsia="Arial" w:hAnsi="Arial"/>
          <w:sz w:val="18"/>
          <w:szCs w:val="18"/>
          <w:color w:val="auto"/>
        </w:rPr>
      </w:pPr>
    </w:p>
    <w:p>
      <w:pPr>
        <w:ind w:left="1160" w:hanging="504"/>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Clearway, Inc. is a participant; and</w:t>
      </w:r>
    </w:p>
    <w:p>
      <w:pPr>
        <w:spacing w:after="0" w:line="171" w:lineRule="exact"/>
        <w:rPr>
          <w:rFonts w:ascii="Arial" w:cs="Arial" w:eastAsia="Arial" w:hAnsi="Arial"/>
          <w:sz w:val="18"/>
          <w:szCs w:val="18"/>
          <w:color w:val="auto"/>
        </w:rPr>
      </w:pPr>
    </w:p>
    <w:p>
      <w:pPr>
        <w:ind w:left="660" w:right="3460" w:hanging="4"/>
        <w:spacing w:after="0" w:line="438" w:lineRule="auto"/>
        <w:tabs>
          <w:tab w:leader="none" w:pos="11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Related Person (as that term is defined below) has or will have a direct or indirect interest. A “Related Person” is:</w:t>
      </w: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a director of Clearway, Inc. or a nominee for director or an executive officer;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person who is known to Clearway, Inc.to be the beneficial owner of more than 5% of any class of Clearway, Inc.’s voting stock;</w:t>
      </w:r>
    </w:p>
    <w:p>
      <w:pPr>
        <w:spacing w:after="0" w:line="182" w:lineRule="exact"/>
        <w:rPr>
          <w:rFonts w:ascii="Arial" w:cs="Arial" w:eastAsia="Arial" w:hAnsi="Arial"/>
          <w:sz w:val="17"/>
          <w:szCs w:val="17"/>
          <w:color w:val="auto"/>
        </w:rPr>
      </w:pPr>
    </w:p>
    <w:p>
      <w:pPr>
        <w:jc w:val="both"/>
        <w:ind w:left="1300" w:hanging="644"/>
        <w:spacing w:after="0" w:line="219" w:lineRule="exact"/>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immediate family member of any of the persons referenced in the preceding two bullets, which means any child, stepchild, parent, stepparent, spouse, sibling, mother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father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son</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daughter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brother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or sister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of the director, nominee for director, executive officer or more than 5% beneficial owner of any class of Clearway, Inc.’s voting stock, and any person (other than a tenant or employee) sharing the household of such director, nominee for director, executive officer or more than 5% beneficial owner of any class of Clearway, Inc.’s voting stock; and</w:t>
      </w:r>
    </w:p>
    <w:p>
      <w:pPr>
        <w:spacing w:after="0" w:line="15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aggregate amount involved is expected to be less than $500,000, the transaction may be approved or ratified by the Chair of the Corporate Governance, Conflicts and Nominating Committee.</w:t>
      </w:r>
    </w:p>
    <w:p>
      <w:pPr>
        <w:spacing w:after="0" w:line="116"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w:t>
      </w:r>
      <w:r>
        <w:rPr>
          <w:rFonts w:ascii="MS PGothic" w:cs="MS PGothic" w:eastAsia="MS PGothic" w:hAnsi="MS PGothic"/>
          <w:sz w:val="18"/>
          <w:szCs w:val="18"/>
          <w:color w:val="auto"/>
        </w:rPr>
        <w:t>‑</w:t>
      </w:r>
      <w:r>
        <w:rPr>
          <w:rFonts w:ascii="Arial" w:cs="Arial" w:eastAsia="Arial" w:hAnsi="Arial"/>
          <w:sz w:val="18"/>
          <w:szCs w:val="18"/>
          <w:color w:val="auto"/>
        </w:rPr>
        <w:t>party under the same or similar circumstances and the extent of the Related Person’s interest in the transaction. This Related Person Policy also provides that certain transactions, based on their nature and/or monetary amount, are deemed to be pre</w:t>
      </w:r>
      <w:r>
        <w:rPr>
          <w:rFonts w:ascii="MS PGothic" w:cs="MS PGothic" w:eastAsia="MS PGothic" w:hAnsi="MS PGothic"/>
          <w:sz w:val="18"/>
          <w:szCs w:val="18"/>
          <w:color w:val="auto"/>
        </w:rPr>
        <w:t>‑</w:t>
      </w:r>
      <w:r>
        <w:rPr>
          <w:rFonts w:ascii="Arial" w:cs="Arial" w:eastAsia="Arial" w:hAnsi="Arial"/>
          <w:sz w:val="18"/>
          <w:szCs w:val="18"/>
          <w:color w:val="auto"/>
        </w:rPr>
        <w:t>approved or ratified by the Corporate Governance, Conflicts and Nominating Committee and do not require separate approval or ratification.</w:t>
      </w:r>
    </w:p>
    <w:p>
      <w:pPr>
        <w:spacing w:after="0" w:line="1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the Corporate Governance, Conflicts and Nominating Committee.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4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fees for professional services rendered by KPMG LLP, the Company's principal independent registered public accounting firm, for the years ended December 31, 2019 and December 31, 2018.</w:t>
      </w:r>
    </w:p>
    <w:p>
      <w:pPr>
        <w:spacing w:after="0" w:line="32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December 31,</w:t>
      </w:r>
    </w:p>
    <w:p>
      <w:pPr>
        <w:spacing w:after="0" w:line="16" w:lineRule="exact"/>
        <w:rPr>
          <w:sz w:val="20"/>
          <w:szCs w:val="20"/>
          <w:color w:val="auto"/>
        </w:rPr>
      </w:pPr>
    </w:p>
    <w:tbl>
      <w:tblPr>
        <w:tblLayout w:type="fixed"/>
        <w:tblInd w:w="1100" w:type="dxa"/>
        <w:tblCellMar>
          <w:top w:w="0" w:type="dxa"/>
          <w:left w:w="0" w:type="dxa"/>
          <w:bottom w:w="0" w:type="dxa"/>
          <w:right w:w="0" w:type="dxa"/>
        </w:tblCellMar>
      </w:tblPr>
      <w:tr>
        <w:trPr>
          <w:trHeight w:val="264"/>
        </w:trPr>
        <w:tc>
          <w:tcPr>
            <w:tcW w:w="596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Audit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3,279,000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1,682,000</w:t>
            </w: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Audit-Related Fees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Tax Fees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857,840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14,800</w:t>
            </w: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 Fees</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96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4,136,840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1,696,800</w:t>
            </w: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2019 and 2018 audit services, KPMG LLP billed the Company approximately $3,279,000 and $1,682,000, respectively, for the audit of the Company’s consolidated financial statements and the review of the Company’s quarterly consolidated financial statements on Form 10-Q that are customary under the standards of the Public Company Accounting Oversight Board (United States), and in connection with statutory audits.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audit-related fees billed to the Company by KPMG LLP for 2019 or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approximately $857,840 in tax fees billed to the Company by KPMG LLP for 2019, relating mainly to compliance work. There were approximately $14,800 in tax fees billed to the Company by KPMG LLP for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other fees billed to the Company by KPMG LLP for 2019 or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Audit Committee of Clearway Energy, Inc. is responsible for appointing, setting compensation for, and overseeing the work of the independent registered public accounting firm of the Company. The Audit Committee of Clearway Energy, Inc. has established a policy regarding pre-approval of all audit and permissible nonaudit services provided by the independent registered public accounting firm of the Company.</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of Clearway Energy, Inc. will annually review and pre-approve services that are expected to be provided by the independent registered public accounting firm. The term of the pre-approval will be 12 months from the date of the pre-approval, unless the Audit Committee of Clearway Energy, Inc. approves a shorter time period. The Audit Committee may periodically amend and/or supplement the pre-approved services based on subsequent determinations.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Audit Committee of Clearway Energy, Inc. has pre-approved Audit Services or a specified category of nonaudit services, any engagement to provide such services must be pre-approved by the Audit Committee of Clearway Energy, Inc. if it is to be provided by the independent registered public accounting firm. The Audit Committee of Clearway Energy, Inc. must also pre-approve any proposed services exceeding the pre-approved budgeted fee levels for a specified type of service.</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of Clearway Energy, Inc. has authorized its Chair to pre-approve services in amounts up to $100,000 per engagement. Engagements exceeding $100,000 must be approved by the full Audit Committee of Clearway Energy, Inc. Engagements pre-approved by the Chair are reported to the Audit Committee of Clearway Energy, Inc. at its next scheduled meeting.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013" w:right="239" w:bottom="1440" w:gutter="0" w:footer="0" w:header="0"/>
        </w:sectPr>
      </w:pPr>
    </w:p>
    <w:bookmarkStart w:id="87" w:name="page88"/>
    <w:bookmarkEnd w:id="87"/>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(a)(1) Financial Statements</w:t>
      </w:r>
    </w:p>
    <w:p>
      <w:pPr>
        <w:spacing w:after="0" w:line="171" w:lineRule="exact"/>
        <w:rPr>
          <w:sz w:val="20"/>
          <w:szCs w:val="20"/>
          <w:color w:val="auto"/>
        </w:rPr>
      </w:pPr>
    </w:p>
    <w:p>
      <w:pPr>
        <w:ind w:left="980" w:hanging="242"/>
        <w:spacing w:after="0" w:line="277" w:lineRule="auto"/>
        <w:rPr>
          <w:sz w:val="20"/>
          <w:szCs w:val="20"/>
          <w:color w:val="auto"/>
        </w:rPr>
      </w:pPr>
      <w:r>
        <w:rPr>
          <w:rFonts w:ascii="Arial" w:cs="Arial" w:eastAsia="Arial" w:hAnsi="Arial"/>
          <w:sz w:val="18"/>
          <w:szCs w:val="18"/>
          <w:color w:val="auto"/>
        </w:rPr>
        <w:t>The following consolidated financial statements of Clearway Energy LLC and related notes thereto, together with the reports thereon of KPMG LLP, are included herein:</w:t>
      </w:r>
    </w:p>
    <w:p>
      <w:pPr>
        <w:spacing w:after="0" w:line="11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Operations — Years ended December 31, 2019, 2018 and 2017</w:t>
      </w:r>
    </w:p>
    <w:p>
      <w:pPr>
        <w:spacing w:after="0" w:line="171" w:lineRule="exact"/>
        <w:rPr>
          <w:sz w:val="20"/>
          <w:szCs w:val="20"/>
          <w:color w:val="auto"/>
        </w:rPr>
      </w:pPr>
    </w:p>
    <w:p>
      <w:pPr>
        <w:ind w:left="740" w:right="2340"/>
        <w:spacing w:after="0" w:line="438" w:lineRule="auto"/>
        <w:rPr>
          <w:sz w:val="20"/>
          <w:szCs w:val="20"/>
          <w:color w:val="auto"/>
        </w:rPr>
      </w:pPr>
      <w:r>
        <w:rPr>
          <w:rFonts w:ascii="Arial" w:cs="Arial" w:eastAsia="Arial" w:hAnsi="Arial"/>
          <w:sz w:val="18"/>
          <w:szCs w:val="18"/>
          <w:color w:val="auto"/>
        </w:rPr>
        <w:t>Consolidated Statements of Comprehensive (Loss) Income — Years ended December 31, 2019, 2018 and 2017 Consolidated Balance Sheets — As of December 31, 2019 and 2018</w:t>
      </w:r>
    </w:p>
    <w:p>
      <w:pPr>
        <w:spacing w:after="0" w:line="1" w:lineRule="exact"/>
        <w:rPr>
          <w:sz w:val="20"/>
          <w:szCs w:val="20"/>
          <w:color w:val="auto"/>
        </w:rPr>
      </w:pPr>
    </w:p>
    <w:p>
      <w:pPr>
        <w:ind w:left="740" w:right="3320"/>
        <w:spacing w:after="0" w:line="438" w:lineRule="auto"/>
        <w:rPr>
          <w:sz w:val="20"/>
          <w:szCs w:val="20"/>
          <w:color w:val="auto"/>
        </w:rPr>
      </w:pPr>
      <w:r>
        <w:rPr>
          <w:rFonts w:ascii="Arial" w:cs="Arial" w:eastAsia="Arial" w:hAnsi="Arial"/>
          <w:sz w:val="18"/>
          <w:szCs w:val="18"/>
          <w:color w:val="auto"/>
        </w:rPr>
        <w:t>Consolidated Statements of Cash Flows — Years ended December 31, 2019, 2018 and 2017 Consolidated Statements of Members' Equity — Years ended December 31, 2019, 2018 and 2017 Notes to Consolidated Financial Statements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Not applicable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(a)(3) Exhibits: See Exhibit Index submitted as a separate section of this report</w:t>
      </w:r>
    </w:p>
    <w:p>
      <w:pPr>
        <w:spacing w:after="0" w:line="171" w:lineRule="exact"/>
        <w:rPr>
          <w:sz w:val="20"/>
          <w:szCs w:val="20"/>
          <w:color w:val="auto"/>
        </w:rPr>
      </w:pPr>
    </w:p>
    <w:p>
      <w:pPr>
        <w:ind w:left="740" w:hanging="246"/>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Exhibit Index submitted as a separate section of this report</w:t>
      </w:r>
    </w:p>
    <w:p>
      <w:pPr>
        <w:spacing w:after="0" w:line="171" w:lineRule="exact"/>
        <w:rPr>
          <w:rFonts w:ascii="Arial" w:cs="Arial" w:eastAsia="Arial" w:hAnsi="Arial"/>
          <w:sz w:val="18"/>
          <w:szCs w:val="18"/>
          <w:color w:val="auto"/>
        </w:rPr>
      </w:pPr>
    </w:p>
    <w:p>
      <w:pPr>
        <w:ind w:left="740" w:hanging="246"/>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240" w:top="905" w:right="57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Members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LLC: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306"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We have audited the accompanying consolidated balance sheets of Clearway Energy LLC and subsidiaries (the Company) as of December 31, 2019 and 2018, the related consolidated statements of operations, comprehensive (loss) income, members’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2019, in conformity with U.S. generally accepted accounting principles.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Revenue from Contracts with Customers as of January 1, 2018 due to the adoption of Topic 606.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2019 due to the adoption of Topic 842.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Evaluation over the impairment of long-lived assets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discussed in Notes 2 and 9 to the consolidated financial statements, long-lived assets that are held and used are reviewed for impairment whenever events or changes in circumstances indicate their carrying value may not be recoverable. Recoverability of assets to be held and used is measured by a comparison of the carrying amount of the assets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120" w:right="239" w:bottom="1440" w:gutter="0" w:footer="0" w:header="0"/>
        </w:sectPr>
      </w:pPr>
    </w:p>
    <w:bookmarkStart w:id="89" w:name="page90"/>
    <w:bookmarkEnd w:id="89"/>
    <w:p>
      <w:pPr>
        <w:jc w:val="both"/>
        <w:ind w:left="660"/>
        <w:spacing w:after="0" w:line="272" w:lineRule="auto"/>
        <w:rPr>
          <w:sz w:val="20"/>
          <w:szCs w:val="20"/>
          <w:color w:val="auto"/>
        </w:rPr>
      </w:pPr>
      <w:r>
        <w:rPr>
          <w:rFonts w:ascii="Arial" w:cs="Arial" w:eastAsia="Arial" w:hAnsi="Arial"/>
          <w:sz w:val="17"/>
          <w:szCs w:val="17"/>
          <w:color w:val="auto"/>
        </w:rPr>
        <w:t>future net cash flows expected to be generated by the asset, through considering project specific assumptions for contracted energy prices, long-term forecasted energy prices, forecasted generation, future project operating costs, future capital expenditures and expected plant operations. An impairment loss is recognized if the total future undiscounted cash flows expected from an asset are less than its carrying value. An impairment charge is measured as the difference between the asset’s carrying value and its fair value. Generally, fair value is determined using valuation techniques such as the present value of expected future cash flows or comparable values determined by transactions in the market. The Company uses its best estimates in making these evaluations and considers various factors, including forward price curves for energy, forecasted generation, future project operating costs, future capital expenditures, expected plant operations and discount rates.</w:t>
      </w:r>
    </w:p>
    <w:p>
      <w:pPr>
        <w:spacing w:after="0" w:line="17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We identified the evaluation over the impairment of certain long-lived assets as a critical audit matter. This was due to the especially subjective auditor judgment in evaluating the forecasted energy prices used in the Company’s undiscounted cash flow estimation model. Specifically, for certain asset groups tested for impairment, the forecasted energy prices used in the undiscounted cash flow estimation models were challenging to evaluate as small changes to this assumption could have a significant effect on the Company’s projected future undiscounted cash flows of long-lived assets.</w:t>
      </w:r>
    </w:p>
    <w:p>
      <w:pPr>
        <w:spacing w:after="0" w:line="14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selection of forecasted energy prices used in impairment testing. We involved a valuation professional with specialized skills and knowledge, who assisted in evaluating the forecasted energy prices determined by the Company. Our valuation professional evaluated the energy price curves utilized by the Company by comparing them to energy price curves prepared by reputable third-party vendors that provide energy price forecasts in the applicable power markets.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(signed)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908"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1,009</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326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726</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(Loss) Income Attributable to Clearway Energy LLC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83"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263"/>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 Attributable to Clearway Energy LLC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904" w:right="23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51"/>
        </w:trPr>
        <w:tc>
          <w:tcPr>
            <w:tcW w:w="7580" w:type="dxa"/>
            <w:vAlign w:val="bottom"/>
            <w:tcBorders>
              <w:bottom w:val="single" w:sz="8" w:color="CCEEFF"/>
            </w:tcBorders>
          </w:tcPr>
          <w:p>
            <w:pPr>
              <w:ind w:left="34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4"/>
          </w:tcPr>
          <w:p>
            <w:pPr>
              <w:jc w:val="right"/>
              <w:ind w:right="1379"/>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Accounts receivable — trade</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receivable —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Prepayments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75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5,245</w:t>
            </w:r>
          </w:p>
        </w:tc>
        <w:tc>
          <w:tcPr>
            <w:tcW w:w="0" w:type="dxa"/>
            <w:vAlign w:val="bottom"/>
          </w:tcPr>
          <w:p>
            <w:pPr>
              <w:spacing w:after="0"/>
              <w:rPr>
                <w:sz w:val="1"/>
                <w:szCs w:val="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investments in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37"/>
        </w:trPr>
        <w:tc>
          <w:tcPr>
            <w:tcW w:w="7580" w:type="dxa"/>
            <w:vAlign w:val="bottom"/>
          </w:tcPr>
          <w:p>
            <w:pPr>
              <w:ind w:left="10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Right-of-use assets, net</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7"/>
        </w:trPr>
        <w:tc>
          <w:tcPr>
            <w:tcW w:w="7580" w:type="dxa"/>
            <w:vAlign w:val="bottom"/>
          </w:tcPr>
          <w:p>
            <w:pPr>
              <w:ind w:left="360"/>
              <w:spacing w:after="0"/>
              <w:rPr>
                <w:sz w:val="20"/>
                <w:szCs w:val="20"/>
                <w:color w:val="auto"/>
              </w:rPr>
            </w:pPr>
            <w:r>
              <w:rPr>
                <w:rFonts w:ascii="Arial" w:cs="Arial" w:eastAsia="Arial" w:hAnsi="Arial"/>
                <w:sz w:val="16"/>
                <w:szCs w:val="16"/>
                <w:color w:val="auto"/>
              </w:rPr>
              <w:t>Total other assets</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2,937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2,442</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8,448</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2120"/>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Current portion of long-term debt — external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1,780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Current portion of long-term debt — affiliate</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Accounts payable — trade</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 — affiliate</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Derivative instruments</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debt — external</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5,404</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Long-term debt — affiliate</w:t>
            </w:r>
          </w:p>
        </w:tc>
        <w:tc>
          <w:tcPr>
            <w:tcW w:w="2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Long-term lease liabilities</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7"/>
        </w:trPr>
        <w:tc>
          <w:tcPr>
            <w:tcW w:w="7580" w:type="dxa"/>
            <w:vAlign w:val="bottom"/>
          </w:tcPr>
          <w:p>
            <w:pPr>
              <w:ind w:left="26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5,374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5,567</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6,266</w:t>
            </w:r>
          </w:p>
        </w:tc>
        <w:tc>
          <w:tcPr>
            <w:tcW w:w="0" w:type="dxa"/>
            <w:vAlign w:val="bottom"/>
          </w:tcPr>
          <w:p>
            <w:pPr>
              <w:spacing w:after="0"/>
              <w:rPr>
                <w:sz w:val="1"/>
                <w:szCs w:val="1"/>
                <w:color w:val="auto"/>
              </w:rPr>
            </w:pPr>
          </w:p>
        </w:tc>
      </w:t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Contributed capital</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1,882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1,940</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8,448</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80"/>
          </w:cols>
          <w:pgMar w:left="320" w:top="904" w:right="299" w:bottom="1126"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left="380"/>
              <w:spacing w:after="0"/>
              <w:rPr>
                <w:sz w:val="20"/>
                <w:szCs w:val="20"/>
                <w:color w:val="auto"/>
              </w:rPr>
            </w:pPr>
            <w:r>
              <w:rPr>
                <w:rFonts w:ascii="Arial" w:cs="Arial" w:eastAsia="Arial" w:hAnsi="Arial"/>
                <w:sz w:val="14"/>
                <w:szCs w:val="14"/>
                <w:b w:val="1"/>
                <w:bCs w:val="1"/>
                <w:color w:val="auto"/>
                <w:w w:val="91"/>
              </w:rPr>
              <w:t>Year ended December 31,</w:t>
            </w:r>
          </w:p>
        </w:tc>
        <w:tc>
          <w:tcPr>
            <w:tcW w:w="640" w:type="dxa"/>
            <w:vAlign w:val="bottom"/>
            <w:tcBorders>
              <w:bottom w:val="single" w:sz="8" w:color="auto"/>
            </w:tcBorders>
          </w:tcPr>
          <w:p>
            <w:pPr>
              <w:spacing w:after="0"/>
              <w:rPr>
                <w:sz w:val="16"/>
                <w:szCs w:val="16"/>
                <w:color w:val="auto"/>
              </w:rPr>
            </w:pPr>
          </w:p>
        </w:tc>
      </w:tr>
      <w:tr>
        <w:trPr>
          <w:trHeight w:val="264"/>
        </w:trPr>
        <w:tc>
          <w:tcPr>
            <w:tcW w:w="8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r>
      <w:tr>
        <w:trPr>
          <w:trHeight w:val="250"/>
        </w:trPr>
        <w:tc>
          <w:tcPr>
            <w:tcW w:w="8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61</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334</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Amortization of intangibles and out-of-market contracts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70</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debt extinguishment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Right-of-use asset amortization</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losses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Changes in derivative instruments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asset components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37"/>
        </w:trPr>
        <w:tc>
          <w:tcPr>
            <w:tcW w:w="8460" w:type="dxa"/>
            <w:vAlign w:val="bottom"/>
          </w:tcPr>
          <w:p>
            <w:pPr>
              <w:ind w:left="180"/>
              <w:spacing w:after="0"/>
              <w:rPr>
                <w:sz w:val="20"/>
                <w:szCs w:val="20"/>
                <w:color w:val="auto"/>
              </w:rPr>
            </w:pPr>
            <w:r>
              <w:rPr>
                <w:rFonts w:ascii="Arial" w:cs="Arial" w:eastAsia="Arial" w:hAnsi="Arial"/>
                <w:sz w:val="16"/>
                <w:szCs w:val="16"/>
                <w:color w:val="auto"/>
              </w:rPr>
              <w:t>Cash provided by (used in) changes in other working capital:</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prepaid and accrued capacity payments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Changes in other working capital</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w:t>
            </w:r>
          </w:p>
        </w:tc>
      </w:tr>
      <w:tr>
        <w:trPr>
          <w:trHeight w:val="231"/>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Partnership interest acquisition</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Drop Down Assets,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Buyout of Wind TE Holdco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Cash receipts from notes receivable</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of investment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HSD Solar Holdings, LLC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33"/>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31"/>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contributions from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Net distributions and return of capital to NRG prior to the acquisition of Drop Down Assets</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issuance of class C units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Payments of distributions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revolving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Payments for the revolving credit facility</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 — external</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Payments of debt issuance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long-term debt — external</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Payments for long-term debt — affiliate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Net (Decrease) Increase in Cash, Cash Equivalents and Restricted Cash</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497</w:t>
            </w:r>
          </w:p>
        </w:tc>
      </w:tr>
      <w:tr>
        <w:trPr>
          <w:trHeight w:val="28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314</w:t>
            </w:r>
          </w:p>
        </w:tc>
      </w:tr>
      <w:tr>
        <w:trPr>
          <w:trHeight w:val="149"/>
        </w:trPr>
        <w:tc>
          <w:tcPr>
            <w:tcW w:w="8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paid, net of amount capitalized</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(Reductions) Additions to fixed assets for accrued capital expenditures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r>
      <w:tr>
        <w:trPr>
          <w:trHeight w:val="258"/>
        </w:trPr>
        <w:tc>
          <w:tcPr>
            <w:tcW w:w="8460" w:type="dxa"/>
            <w:vAlign w:val="bottom"/>
          </w:tcPr>
          <w:p>
            <w:pPr>
              <w:ind w:left="40"/>
              <w:spacing w:after="0"/>
              <w:rPr>
                <w:sz w:val="20"/>
                <w:szCs w:val="20"/>
                <w:color w:val="auto"/>
              </w:rPr>
            </w:pPr>
            <w:r>
              <w:rPr>
                <w:rFonts w:ascii="Arial" w:cs="Arial" w:eastAsia="Arial" w:hAnsi="Arial"/>
                <w:sz w:val="14"/>
                <w:szCs w:val="14"/>
                <w:color w:val="auto"/>
              </w:rPr>
              <w:t>Non-cash contributions from CEG, NRG, net of distributions</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0"/>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20"/>
          </w:cols>
          <w:pgMar w:left="240" w:top="904" w:right="239" w:bottom="345" w:gutter="0" w:footer="0" w:header="0"/>
        </w:sectPr>
      </w:pPr>
    </w:p>
    <w:bookmarkStart w:id="94" w:name="page95"/>
    <w:bookmarkEnd w:id="94"/>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9019"/>
          </w:cols>
          <w:pgMar w:left="1440" w:top="179"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9019"/>
          </w:cols>
          <w:pgMar w:left="1440" w:top="179" w:right="1440"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260" w:type="dxa"/>
            <w:vAlign w:val="bottom"/>
          </w:tcPr>
          <w:p>
            <w:pPr>
              <w:spacing w:after="0"/>
              <w:rPr>
                <w:sz w:val="11"/>
                <w:szCs w:val="11"/>
                <w:color w:val="auto"/>
              </w:rPr>
            </w:pPr>
          </w:p>
        </w:tc>
        <w:tc>
          <w:tcPr>
            <w:tcW w:w="860" w:type="dxa"/>
            <w:vAlign w:val="bottom"/>
          </w:tcPr>
          <w:p>
            <w:pPr>
              <w:jc w:val="right"/>
              <w:ind w:right="33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5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2"/>
              </w:rPr>
              <w:t>Contributed Capital</w:t>
            </w:r>
          </w:p>
        </w:tc>
        <w:tc>
          <w:tcPr>
            <w:tcW w:w="120" w:type="dxa"/>
            <w:vAlign w:val="bottom"/>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Retained Earnings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Members' Equity</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Balances at December 31, 2016</w:t>
            </w:r>
          </w:p>
        </w:tc>
        <w:tc>
          <w:tcPr>
            <w:tcW w:w="5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2,204</w:t>
            </w:r>
          </w:p>
        </w:tc>
        <w:tc>
          <w:tcPr>
            <w:tcW w:w="120" w:type="dxa"/>
            <w:vAlign w:val="bottom"/>
          </w:tcPr>
          <w:p>
            <w:pPr>
              <w:spacing w:after="0"/>
              <w:rPr>
                <w:sz w:val="19"/>
                <w:szCs w:val="19"/>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2,389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Unrealized gain on derivatives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7"/>
              </w:rPr>
              <w:t>Payments for the March 2017, August 2017 and November 2017 Drop Down Assets</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August 2017 Drop Down Assets contingent consideration</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Distributions and returns of capital to NRG, net of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Capital contributions from NRG, net of distributions, non-cash</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Capital contributions from tax equity investors</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Proceeds from the issuance of Class C units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Distributions paid to NRG on Class B and Class D units</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Distributions paid to Clearway Energy, Inc.</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47"/>
        </w:trPr>
        <w:tc>
          <w:tcPr>
            <w:tcW w:w="5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2017</w:t>
            </w: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Unrealized gain on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w w:val="97"/>
              </w:rPr>
              <w:t>Payments for the March 2017, August 2017 and November 2017 Drop Down Assets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Capital contributions from tax equity investors</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Distributions paid to NRG, net of contributions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Proceeds from the issuance of Class C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Distributions paid to NRG on Class B and Class D units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Contributions from NRG, net of distributions, non-cash</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Distributions paid to Clearway Energy, Inc.</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47"/>
        </w:trPr>
        <w:tc>
          <w:tcPr>
            <w:tcW w:w="5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2018</w:t>
            </w: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 on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Buyout of Wind TE Holdco non-controlling interest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CEG net of distributions, non-cash</w:t>
            </w:r>
          </w:p>
        </w:tc>
        <w:tc>
          <w:tcPr>
            <w:tcW w:w="120" w:type="dxa"/>
            <w:vAlign w:val="bottom"/>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Cumulative effect from change in accounting principle</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Distributions paid to CEG on Class B and Class D units</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Distributions paid to Clearway Energy, Inc., cash</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Distributions paid to Clearway Energy, Inc., non-cash</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Contributions to tax equity non-controlling interests, net of distributions, cash</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Distributions to CEG, net of contributions, cash</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4"/>
                <w:szCs w:val="14"/>
                <w:color w:val="auto"/>
              </w:rPr>
              <w:t>Proceeds from the issuance of Class C Common Stock</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Carlsbad Drop Down</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4"/>
                <w:szCs w:val="14"/>
                <w:color w:val="auto"/>
              </w:rPr>
              <w:t>Balances at December 31, 2019</w:t>
            </w:r>
          </w:p>
        </w:tc>
        <w:tc>
          <w:tcPr>
            <w:tcW w:w="120" w:type="dxa"/>
            <w:vAlign w:val="bottom"/>
          </w:tcPr>
          <w:p>
            <w:pPr>
              <w:spacing w:after="0"/>
              <w:rPr>
                <w:sz w:val="18"/>
                <w:szCs w:val="18"/>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1,882</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904"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Clearway Energy LLC, together with its consolidated subsidiaries, or the Company, is an investor in and owner of modern, sustainable and long-term contracted assets across North America. On August 31, 2018, NRG Energy, Inc., or NRG, transferred its full ownership interest in the Company to Clearway Energy Group LLC, or CEG, the holder of NRG's renewable energy development and operations platform, and subsequently sold 100% of its interest in CEG to GIP, referred to hereinafter as the GIP Transaction. As a result of the GIP Transaction, GIP indirectly acquired a 45.2% economic interest in the Company and a 55% voting interest in the Clearway, Inc. GIP is an independent fund manager that invests in infrastructure assets in energy and transport sectors. The Company is sponsored by GIP through its portfolio company, CEG.</w:t>
      </w:r>
    </w:p>
    <w:p>
      <w:pPr>
        <w:spacing w:after="0" w:line="124"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 xml:space="preserve">The Company’s environmentally-sound asset portfolio includes over </w:t>
      </w:r>
      <w:r>
        <w:rPr>
          <w:rFonts w:ascii="Arial" w:cs="Arial" w:eastAsia="Arial" w:hAnsi="Arial"/>
          <w:sz w:val="16"/>
          <w:szCs w:val="16"/>
          <w:color w:val="231F20"/>
        </w:rPr>
        <w:t>5,875</w:t>
      </w:r>
      <w:r>
        <w:rPr>
          <w:rFonts w:ascii="Arial" w:cs="Arial" w:eastAsia="Arial" w:hAnsi="Arial"/>
          <w:sz w:val="16"/>
          <w:szCs w:val="16"/>
          <w:color w:val="auto"/>
        </w:rPr>
        <w:t xml:space="preserve"> MW of wind, solar and natural gas-fired power generation facilities. </w:t>
      </w:r>
      <w:r>
        <w:rPr>
          <w:rFonts w:ascii="Arial" w:cs="Arial" w:eastAsia="Arial" w:hAnsi="Arial"/>
          <w:sz w:val="16"/>
          <w:szCs w:val="16"/>
          <w:color w:val="231F20"/>
        </w:rPr>
        <w:t>Nearly</w:t>
      </w:r>
      <w:r>
        <w:rPr>
          <w:rFonts w:ascii="Arial" w:cs="Arial" w:eastAsia="Arial" w:hAnsi="Arial"/>
          <w:sz w:val="16"/>
          <w:szCs w:val="16"/>
          <w:color w:val="auto"/>
        </w:rPr>
        <w:t xml:space="preserve"> </w:t>
      </w:r>
      <w:r>
        <w:rPr>
          <w:rFonts w:ascii="Arial" w:cs="Arial" w:eastAsia="Arial" w:hAnsi="Arial"/>
          <w:sz w:val="16"/>
          <w:szCs w:val="16"/>
          <w:color w:val="231F20"/>
        </w:rPr>
        <w:t xml:space="preserve">all </w:t>
      </w:r>
      <w:r>
        <w:rPr>
          <w:rFonts w:ascii="Arial" w:cs="Arial" w:eastAsia="Arial" w:hAnsi="Arial"/>
          <w:sz w:val="16"/>
          <w:szCs w:val="16"/>
          <w:color w:val="000000"/>
        </w:rPr>
        <w:t>of these assets sell substantially all of their output pursuant to long-term offtake agreements with creditworthy counterparties. The weighted average</w:t>
      </w:r>
      <w:r>
        <w:rPr>
          <w:rFonts w:ascii="Arial" w:cs="Arial" w:eastAsia="Arial" w:hAnsi="Arial"/>
          <w:sz w:val="16"/>
          <w:szCs w:val="16"/>
          <w:color w:val="231F20"/>
        </w:rPr>
        <w:t xml:space="preserve"> </w:t>
      </w:r>
      <w:r>
        <w:rPr>
          <w:rFonts w:ascii="Arial" w:cs="Arial" w:eastAsia="Arial" w:hAnsi="Arial"/>
          <w:sz w:val="16"/>
          <w:szCs w:val="16"/>
          <w:color w:val="000000"/>
        </w:rPr>
        <w:t xml:space="preserve">remaining contract duration of these offtake agreements was approximately </w:t>
      </w:r>
      <w:r>
        <w:rPr>
          <w:rFonts w:ascii="Arial" w:cs="Arial" w:eastAsia="Arial" w:hAnsi="Arial"/>
          <w:sz w:val="16"/>
          <w:szCs w:val="16"/>
          <w:color w:val="231F20"/>
        </w:rPr>
        <w:t>13 years as of December 31, 2019 based on CAFD. The Company also owns</w:t>
      </w:r>
      <w:r>
        <w:rPr>
          <w:rFonts w:ascii="Arial" w:cs="Arial" w:eastAsia="Arial" w:hAnsi="Arial"/>
          <w:sz w:val="16"/>
          <w:szCs w:val="16"/>
          <w:color w:val="000000"/>
        </w:rPr>
        <w:t xml:space="preserve"> </w:t>
      </w:r>
      <w:r>
        <w:rPr>
          <w:rFonts w:ascii="Arial" w:cs="Arial" w:eastAsia="Arial" w:hAnsi="Arial"/>
          <w:sz w:val="16"/>
          <w:szCs w:val="16"/>
          <w:color w:val="231F20"/>
        </w:rPr>
        <w:t>thermal infrastructure assets with an aggregate steam and chilled water capacity of 1,530 net MWt and electric generation capacity of 139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11" w:lineRule="exact"/>
        <w:rPr>
          <w:sz w:val="20"/>
          <w:szCs w:val="20"/>
          <w:color w:val="auto"/>
        </w:rPr>
      </w:pPr>
    </w:p>
    <w:p>
      <w:pPr>
        <w:jc w:val="both"/>
        <w:ind w:right="20" w:firstLine="392"/>
        <w:spacing w:after="0" w:line="286" w:lineRule="auto"/>
        <w:rPr>
          <w:sz w:val="20"/>
          <w:szCs w:val="20"/>
          <w:color w:val="auto"/>
        </w:rPr>
      </w:pPr>
      <w:r>
        <w:rPr>
          <w:rFonts w:ascii="Arial" w:cs="Arial" w:eastAsia="Arial" w:hAnsi="Arial"/>
          <w:sz w:val="17"/>
          <w:szCs w:val="17"/>
          <w:color w:val="auto"/>
        </w:rPr>
        <w:t>Clearway Energy Inc. consolidates the results of Clearway Energy LLC through its controlling interest, with CEG's interest shown as noncontrolling interest in the financial statements. The holders of Clearway, Inc.'s outstanding shares of Class A and Class C common stock are entitled to dividends as declared. CEG receives its distributions from Clearway Energy LLC through its ownership of Clearway Energy LLC Class B and Class D units.</w:t>
      </w:r>
    </w:p>
    <w:p>
      <w:pPr>
        <w:spacing w:after="0" w:line="11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 xml:space="preserve">As a result of the Clearway, Inc. Class C common stock issuances during the year ended December 31, 2019, Clearway, Inc. currently owns 57.01% of the economic interests of the Company, with CEG retaining 42.99% of the economic interests of the Company. For further discussion, see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11, </w:t>
      </w:r>
      <w:r>
        <w:rPr>
          <w:rFonts w:ascii="Arial" w:cs="Arial" w:eastAsia="Arial" w:hAnsi="Arial"/>
          <w:sz w:val="18"/>
          <w:szCs w:val="18"/>
          <w:i w:val="1"/>
          <w:iCs w:val="1"/>
          <w:color w:val="auto"/>
        </w:rPr>
        <w:t>Members' Equity.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904" w:right="239" w:bottom="1440" w:gutter="0" w:footer="0" w:header="0"/>
        </w:sectPr>
      </w:pPr>
    </w:p>
    <w:bookmarkStart w:id="97" w:name="page98"/>
    <w:bookmarkEnd w:id="97"/>
    <w:p>
      <w:pPr>
        <w:ind w:left="420"/>
        <w:spacing w:after="0"/>
        <w:rPr>
          <w:sz w:val="20"/>
          <w:szCs w:val="20"/>
          <w:color w:val="auto"/>
        </w:rPr>
      </w:pPr>
      <w:r>
        <w:rPr>
          <w:rFonts w:ascii="Arial" w:cs="Arial" w:eastAsia="Arial" w:hAnsi="Arial"/>
          <w:sz w:val="18"/>
          <w:szCs w:val="18"/>
          <w:color w:val="auto"/>
        </w:rPr>
        <w:t>The following table represents the structure of the Company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151765</wp:posOffset>
            </wp:positionV>
            <wp:extent cx="5848985" cy="4391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8985"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PG&amp; E Bankruptcy</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January 29, 2019, PG&amp;E filed for reorganization under Chapter 11 of the U.S. Bankruptcy Code in the U.S. Bankruptcy Court for the Northern District of California, or the Bankruptcy Court.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December 31, 2019, the Company had $177 million in restricted cash, $1.4 billion of property, plant and equipment, net, $370 million investments in unconsolidated affiliates and $1.2 billion of borrowings with final maturity dates ranging from 2023 - 2038 related to these facilities. The related subsidiaries of the Company are parties to financing agreements consisting of non-recourse project-level debt and, in certain cases, non-recourse holding company debt. The PG&amp;E Bankruptcy triggered defaults under the PPAs with PG&amp;E and such related project-level financing agreements. As a result, the Company recorded $1.2 billion of principal, net of the related unamortized debt issuance costs, as short-term debt as of December 31, 2019.</w:t>
      </w:r>
    </w:p>
    <w:p>
      <w:pPr>
        <w:spacing w:after="0" w:line="12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908" w:right="239" w:bottom="1440" w:gutter="0" w:footer="0" w:header="0"/>
        </w:sectPr>
      </w:pPr>
    </w:p>
    <w:bookmarkStart w:id="98" w:name="page99"/>
    <w:bookmarkEnd w:id="98"/>
    <w:p>
      <w:pPr>
        <w:ind w:left="420"/>
        <w:spacing w:after="0"/>
        <w:rPr>
          <w:sz w:val="20"/>
          <w:szCs w:val="20"/>
          <w:color w:val="auto"/>
        </w:rPr>
      </w:pPr>
      <w:r>
        <w:rPr>
          <w:rFonts w:ascii="Arial" w:cs="Arial" w:eastAsia="Arial" w:hAnsi="Arial"/>
          <w:sz w:val="18"/>
          <w:szCs w:val="18"/>
          <w:i w:val="1"/>
          <w:iCs w:val="1"/>
          <w:color w:val="auto"/>
        </w:rPr>
        <w:t>Transition Services Agreement</w:t>
      </w:r>
    </w:p>
    <w:p>
      <w:pPr>
        <w:spacing w:after="0" w:line="171" w:lineRule="exact"/>
        <w:rPr>
          <w:sz w:val="20"/>
          <w:szCs w:val="20"/>
          <w:color w:val="auto"/>
        </w:rPr>
      </w:pPr>
    </w:p>
    <w:p>
      <w:pPr>
        <w:jc w:val="both"/>
        <w:ind w:left="80" w:firstLine="486"/>
        <w:spacing w:after="0" w:line="272" w:lineRule="auto"/>
        <w:rPr>
          <w:sz w:val="20"/>
          <w:szCs w:val="20"/>
          <w:color w:val="auto"/>
        </w:rPr>
      </w:pPr>
      <w:r>
        <w:rPr>
          <w:rFonts w:ascii="Arial" w:cs="Arial" w:eastAsia="Arial" w:hAnsi="Arial"/>
          <w:sz w:val="17"/>
          <w:szCs w:val="17"/>
          <w:color w:val="auto"/>
        </w:rPr>
        <w:t>As a result of the GIP Transaction, the Company entered into a Transition Services Agreement with NRG, or the NRG TSA, pursuant to which NRG or certain of its affiliates began providing transitional services to the Company following the consummation of the GIP Transaction, in exchange for the payment of a fee in respect of such services. A material portion of these processes terminated during the second quarter of 2019 and such services were subsequently provided by both the Company and by CEG pursuant to the CEG Master Services Agreements. During the second quarter of 2019, the Company exercised its option to extend the term of the NRG TSA through April 30, 2020 for the remaining services, some of which will be billed at an hourly rate as agreed between the parties. The Company incurred approximately $1.5 million of expense related to the NRG TSA during the year ended December 31, 2019, which was recorded in transaction and integration costs in the consolidated statements of operations.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consolidated financial statements have been prepared in accordance with GAAP. The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1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The consolidated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6"/>
          <w:szCs w:val="16"/>
          <w:i w:val="1"/>
          <w:iCs w:val="1"/>
          <w:color w:val="auto"/>
        </w:rPr>
        <w:t>Consolidations,</w:t>
      </w:r>
      <w:r>
        <w:rPr>
          <w:rFonts w:ascii="Arial" w:cs="Arial" w:eastAsia="Arial" w:hAnsi="Arial"/>
          <w:sz w:val="16"/>
          <w:szCs w:val="16"/>
          <w:color w:val="auto"/>
        </w:rPr>
        <w:t xml:space="preserve"> or ASC 810, to determine when an entity that is insufficiently capitalized or not controlled through its voting interests, referred to as a variable interest entity, or VIE, should be consolidated.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at the time of purchase. Cash and cash equivalents held at project subsidiaries was $125 million and $109 million as of December 31, 2019 and 2018, respectively.</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16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6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r>
      <w:tr>
        <w:trPr>
          <w:trHeight w:val="27"/>
        </w:trPr>
        <w:tc>
          <w:tcPr>
            <w:tcW w:w="7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7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860" w:type="dxa"/>
            <w:vAlign w:val="bottom"/>
          </w:tcPr>
          <w:p>
            <w:pPr>
              <w:spacing w:after="0"/>
              <w:rPr>
                <w:sz w:val="16"/>
                <w:szCs w:val="16"/>
                <w:color w:val="auto"/>
              </w:rPr>
            </w:pPr>
          </w:p>
        </w:tc>
      </w:tr>
      <w:tr>
        <w:trPr>
          <w:trHeight w:val="256"/>
        </w:trPr>
        <w:tc>
          <w:tcPr>
            <w:tcW w:w="7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840" w:type="dxa"/>
            <w:vAlign w:val="bottom"/>
          </w:tcPr>
          <w:p>
            <w:pPr>
              <w:spacing w:after="0"/>
              <w:rPr>
                <w:sz w:val="21"/>
                <w:szCs w:val="21"/>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w w:val="99"/>
              </w:rPr>
              <w:t>262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7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cash equivalents and restricted cash shown in the statements of cash flows</w:t>
            </w:r>
          </w:p>
        </w:tc>
        <w:tc>
          <w:tcPr>
            <w:tcW w:w="8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r>
      <w:tr>
        <w:trPr>
          <w:trHeight w:val="20"/>
        </w:trPr>
        <w:tc>
          <w:tcPr>
            <w:tcW w:w="7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December 31, 2019, these restricted funds comprised of $129 million designated to fund operating expenses, approximately $24 million designated for current debt service payments, and $30 million restricted for reserves including debt service, performance obligations and other reserves, as well as capital expenditures. The remaining $79 million is held in distributions reserve accounts, of which $58 million related to subsidiaries affected by the PG&amp;E Bankruptcy as discussed further below and may not be distributed during the pendency of the bankruptcy. Such subsidiaries had a total of $177 million in restricted cash as of December 31, 2019.</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231F20"/>
        </w:rPr>
        <w:t>On January 29, 2019, PG&amp;E filed for reorganization under Chapter 11 of the U.S. Bankruptcy Code. The Company has non-recourse project-level debt related to each of its subsidiaries that sell their output to PG&amp;E under long-term PPAs. The PG&amp;E Bankruptcy filing is an event of default under the related financing agreements. As of December 31, 2019, all project level cash balances for these subsidiaries were classified as restricted cash.</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908"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Accounts Receivable — Trade and Allowance for Doubtful Accounts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Accounts receivable— trade are reported on the balance sheet at the invoiced amount adjusted for any write-offs and the allowance for doubtful accounts. The allowance for doubtful accounts is reviewed periodically based on amounts past due and significance. The allowance for doubtful accounts was immaterial as of December 31, 2019 and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Inventory consists principally of spare parts and fuel oil. Spare parts inventory is valued at weighted average cost, unless evidence indicates that the weighted average cost will not be recovered with a normal profit in the ordinary course of business. Fuel oil inventory is valued at the lower of weighted average cost or market. The Company removes fuel inventories as they are used in the production of steam, chilled water or electricity. Spare parts inventory are removed when they are used for repairs, maintenance or capital projects.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Property, plant and equipment are stated at cost or, in the case of third party business acquisitions, fair value; however impairment adjustments are recorded whenever events or changes in circumstances indicate that their carrying values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to the Consolidated Financial Statements.</w:t>
      </w:r>
    </w:p>
    <w:p>
      <w:pPr>
        <w:spacing w:after="0" w:line="13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Development costs include project development costs, which are expensed in the preliminary stages of a project and capitalized when the project is deemed to be commercially viable. Commercial viability is determined by one or a series of actions including, among others, Board of Director approval pursuant to a formal project plan that subjects the Company to significant future obligations that can only be discharged by the use of a Company asset. When a project is available for operations, capitalized interest and capitalized project development costs are reclassified to property, plant and equipment and depreciated on a straightline basis over the estimated useful life of the project's related assets. Capitalized costs are charged to expense if a project is abandoned or management otherwise determines the costs to be unrecoverable.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Long-lived assets that are held and used are reviewed for impairment whenever events or changes in circumstances indicate their carrying values may not be recoverable. Such reviews are performed in accordance with ASC 360.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statements of operations. Fair values are determined by a variety of valuation methods, including appraisals, sales prices of similar assets and present value techniques. For further discussion of the Company's long-lived asset impairments, refer to Item 15 </w:t>
      </w:r>
      <w:r>
        <w:rPr>
          <w:rFonts w:ascii="Arial" w:cs="Arial" w:eastAsia="Arial" w:hAnsi="Arial"/>
          <w:sz w:val="17"/>
          <w:szCs w:val="17"/>
          <w:b w:val="1"/>
          <w:bCs w:val="1"/>
          <w:color w:val="auto"/>
        </w:rPr>
        <w:t>—</w:t>
      </w:r>
      <w:r>
        <w:rPr>
          <w:rFonts w:ascii="Arial" w:cs="Arial" w:eastAsia="Arial" w:hAnsi="Arial"/>
          <w:sz w:val="17"/>
          <w:szCs w:val="17"/>
          <w:color w:val="auto"/>
        </w:rPr>
        <w:t xml:space="preserve"> Note 9, </w:t>
      </w:r>
      <w:r>
        <w:rPr>
          <w:rFonts w:ascii="Arial" w:cs="Arial" w:eastAsia="Arial" w:hAnsi="Arial"/>
          <w:sz w:val="17"/>
          <w:szCs w:val="17"/>
          <w:i w:val="1"/>
          <w:iCs w:val="1"/>
          <w:color w:val="auto"/>
        </w:rPr>
        <w:t>Asset Impairments,</w:t>
      </w:r>
      <w:r>
        <w:rPr>
          <w:rFonts w:ascii="Arial" w:cs="Arial" w:eastAsia="Arial" w:hAnsi="Arial"/>
          <w:sz w:val="17"/>
          <w:szCs w:val="17"/>
          <w:color w:val="auto"/>
        </w:rPr>
        <w:t xml:space="preserve"> to the Consolidated Financial Statements.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Investments accounted for by the equity method are reviewed for impairment in accordance with ASC 323, </w:t>
      </w:r>
      <w:r>
        <w:rPr>
          <w:rFonts w:ascii="Arial" w:cs="Arial" w:eastAsia="Arial" w:hAnsi="Arial"/>
          <w:sz w:val="18"/>
          <w:szCs w:val="18"/>
          <w:i w:val="1"/>
          <w:iCs w:val="1"/>
          <w:color w:val="auto"/>
        </w:rPr>
        <w:t>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w:t>
      </w:r>
      <w:r>
        <w:rPr>
          <w:rFonts w:ascii="Arial" w:cs="Arial" w:eastAsia="Arial" w:hAnsi="Arial"/>
          <w:sz w:val="18"/>
          <w:szCs w:val="18"/>
          <w:color w:val="auto"/>
        </w:rPr>
        <w:t>, which requires that a loss in value of an investment that is an other-than-temporary decline should be recognized. The Company identifies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losses in the value of equity method investments based upon a comparison of fair value to carrying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Debt issuance costs are capitalized and amortized as interest expense on a basis which approximates the effective interest method over the term of the related debt. Debt issuance costs related to the long term debt are presented as a direct deduction from the carrying amount of the related debt in both the current and prior periods. Debt issuance costs related to the senior secured revolving credit facility line of credit are recorded as a non-current asset on the balance sheet and are amortized over the term of the credit facility.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908"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Intangible assets represent contractual rights held by the Company. The Company recognizes specifically identifiable intangible assets including power purchase agreements, leasehold improvements, customer relationships, customer contracts and development rights when specific rights and contracts are acquired. These intangible assets are amortized primarily on a straight-line basis. For further discussion of the Company's intangible assets, refer to Note 8, </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is classified as a partnership for federal and state income tax purposes. Therefore, federal and state income taxes are assessed at the partner level. Accordingly, no provision has been made for federal or state income taxes in the accompanying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Thermal Revenues</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9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Purchase Agreements, or PPAs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Previously ASC 840, and currently,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Certain of these leases have no minimum lease payments and all of the rental income under these leases is recorded as contingent rent on an actual basis when the electricity is delivered. The contingent rental income recognized in the years ended December 31, 2019, 2018 and 2017 was $537 million, $583 million and $559 million, respectively. See Note 15,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additional information related to the Company's PPAs accounted for as leases.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908"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color w:val="auto"/>
        </w:rPr>
        <w:t>Renewable Energy Credits, or RECs</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stated above, 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Revenues</w:t>
      </w:r>
    </w:p>
    <w:p>
      <w:pPr>
        <w:spacing w:after="0" w:line="21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year ended December 31, 2019, along with the reportable segment for each category: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57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Conventional</w:t>
            </w:r>
          </w:p>
        </w:tc>
        <w:tc>
          <w:tcPr>
            <w:tcW w:w="160" w:type="dxa"/>
            <w:vAlign w:val="bottom"/>
          </w:tcPr>
          <w:p>
            <w:pPr>
              <w:spacing w:after="0"/>
              <w:rPr>
                <w:sz w:val="14"/>
                <w:szCs w:val="14"/>
                <w:color w:val="auto"/>
              </w:rPr>
            </w:pPr>
          </w:p>
        </w:tc>
        <w:tc>
          <w:tcPr>
            <w:tcW w:w="11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5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1"/>
              </w:rPr>
              <w:t>Generation</w:t>
            </w: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4"/>
          </w:tcPr>
          <w:p>
            <w:pPr>
              <w:jc w:val="right"/>
              <w:ind w:right="1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160" w:type="dxa"/>
            <w:vAlign w:val="bottom"/>
            <w:shd w:val="clear" w:color="auto" w:fill="CCEEFF"/>
          </w:tcPr>
          <w:p>
            <w:pPr>
              <w:spacing w:after="0"/>
              <w:rPr>
                <w:sz w:val="24"/>
                <w:szCs w:val="24"/>
                <w:color w:val="auto"/>
              </w:rPr>
            </w:pP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Other revenues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Borders>
              <w:bottom w:val="single" w:sz="8" w:color="CCEEFF"/>
            </w:tcBorders>
            <w:shd w:val="clear" w:color="auto" w:fill="CCEEFF"/>
          </w:tcPr>
          <w:p>
            <w:pPr>
              <w:spacing w:after="0"/>
              <w:rPr>
                <w:sz w:val="24"/>
                <w:szCs w:val="24"/>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Contract amortization</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Mark-to-market for economic hedges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4"/>
                <w:szCs w:val="2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operating revenue</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Less: Lease revenue</w:t>
            </w:r>
          </w:p>
        </w:tc>
        <w:tc>
          <w:tcPr>
            <w:tcW w:w="160" w:type="dxa"/>
            <w:vAlign w:val="bottom"/>
          </w:tcPr>
          <w:p>
            <w:pPr>
              <w:spacing w:after="0"/>
              <w:rPr>
                <w:sz w:val="24"/>
                <w:szCs w:val="24"/>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Borders>
              <w:bottom w:val="single" w:sz="8" w:color="CCEEFF"/>
            </w:tcBorders>
            <w:shd w:val="clear" w:color="auto" w:fill="CCEEFF"/>
          </w:tcPr>
          <w:p>
            <w:pPr>
              <w:spacing w:after="0"/>
              <w:rPr>
                <w:sz w:val="24"/>
                <w:szCs w:val="24"/>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Contract amortization</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3"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21"/>
          <w:szCs w:val="21"/>
          <w:color w:val="auto"/>
          <w:vertAlign w:val="superscript"/>
        </w:rPr>
      </w:pPr>
      <w:r>
        <w:rPr>
          <w:rFonts w:ascii="Arial" w:cs="Arial" w:eastAsia="Arial" w:hAnsi="Arial"/>
          <w:sz w:val="14"/>
          <w:szCs w:val="14"/>
          <w:color w:val="auto"/>
        </w:rPr>
        <w:t xml:space="preserve">See Note 17, </w:t>
      </w:r>
      <w:r>
        <w:rPr>
          <w:rFonts w:ascii="Arial" w:cs="Arial" w:eastAsia="Arial" w:hAnsi="Arial"/>
          <w:sz w:val="14"/>
          <w:szCs w:val="14"/>
          <w:i w:val="1"/>
          <w:iCs w:val="1"/>
          <w:color w:val="auto"/>
        </w:rPr>
        <w:t>Leases</w:t>
      </w:r>
      <w:r>
        <w:rPr>
          <w:rFonts w:ascii="Arial" w:cs="Arial" w:eastAsia="Arial" w:hAnsi="Arial"/>
          <w:sz w:val="14"/>
          <w:szCs w:val="14"/>
          <w:color w:val="auto"/>
        </w:rPr>
        <w:t xml:space="preserve"> for the amounts of energy and capacity revenue that relate to leases and are accounted for under ASC 842</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year ended December 31, 2018, along with the reportable segment for each category: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57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Conventional</w:t>
            </w:r>
          </w:p>
        </w:tc>
        <w:tc>
          <w:tcPr>
            <w:tcW w:w="160" w:type="dxa"/>
            <w:vAlign w:val="bottom"/>
          </w:tcPr>
          <w:p>
            <w:pPr>
              <w:spacing w:after="0"/>
              <w:rPr>
                <w:sz w:val="14"/>
                <w:szCs w:val="14"/>
                <w:color w:val="auto"/>
              </w:rPr>
            </w:pPr>
          </w:p>
        </w:tc>
        <w:tc>
          <w:tcPr>
            <w:tcW w:w="11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5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1"/>
              </w:rPr>
              <w:t>Generation</w:t>
            </w: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4"/>
          </w:tcPr>
          <w:p>
            <w:pPr>
              <w:jc w:val="right"/>
              <w:ind w:right="1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160" w:type="dxa"/>
            <w:vAlign w:val="bottom"/>
            <w:shd w:val="clear" w:color="auto" w:fill="CCEEFF"/>
          </w:tcPr>
          <w:p>
            <w:pPr>
              <w:spacing w:after="0"/>
              <w:rPr>
                <w:sz w:val="24"/>
                <w:szCs w:val="24"/>
                <w:color w:val="auto"/>
              </w:rPr>
            </w:pP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Other revenues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Borders>
              <w:bottom w:val="single" w:sz="8" w:color="CCEEFF"/>
            </w:tcBorders>
            <w:shd w:val="clear" w:color="auto" w:fill="CCEEFF"/>
          </w:tcPr>
          <w:p>
            <w:pPr>
              <w:spacing w:after="0"/>
              <w:rPr>
                <w:sz w:val="24"/>
                <w:szCs w:val="24"/>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Contract amortization</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Total operating revenue</w:t>
            </w:r>
          </w:p>
        </w:tc>
        <w:tc>
          <w:tcPr>
            <w:tcW w:w="1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Borders>
              <w:bottom w:val="single" w:sz="8" w:color="CCEEFF"/>
            </w:tcBorders>
            <w:shd w:val="clear" w:color="auto" w:fill="CCEEFF"/>
          </w:tcPr>
          <w:p>
            <w:pPr>
              <w:spacing w:after="0"/>
              <w:rPr>
                <w:sz w:val="24"/>
                <w:szCs w:val="24"/>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Lease revenue</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(534)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Less: Contract amortization</w:t>
            </w:r>
          </w:p>
        </w:tc>
        <w:tc>
          <w:tcPr>
            <w:tcW w:w="160" w:type="dxa"/>
            <w:vAlign w:val="bottom"/>
          </w:tcPr>
          <w:p>
            <w:pPr>
              <w:spacing w:after="0"/>
              <w:rPr>
                <w:sz w:val="24"/>
                <w:szCs w:val="24"/>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64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3"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21"/>
          <w:szCs w:val="21"/>
          <w:color w:val="auto"/>
          <w:vertAlign w:val="superscript"/>
        </w:rPr>
      </w:pPr>
      <w:r>
        <w:rPr>
          <w:rFonts w:ascii="Arial" w:cs="Arial" w:eastAsia="Arial" w:hAnsi="Arial"/>
          <w:sz w:val="14"/>
          <w:szCs w:val="14"/>
          <w:color w:val="auto"/>
        </w:rPr>
        <w:t xml:space="preserve">See Note 17, </w:t>
      </w:r>
      <w:r>
        <w:rPr>
          <w:rFonts w:ascii="Arial" w:cs="Arial" w:eastAsia="Arial" w:hAnsi="Arial"/>
          <w:sz w:val="14"/>
          <w:szCs w:val="14"/>
          <w:i w:val="1"/>
          <w:iCs w:val="1"/>
          <w:color w:val="auto"/>
        </w:rPr>
        <w:t>Leases</w:t>
      </w:r>
      <w:r>
        <w:rPr>
          <w:rFonts w:ascii="Arial" w:cs="Arial" w:eastAsia="Arial" w:hAnsi="Arial"/>
          <w:sz w:val="14"/>
          <w:szCs w:val="14"/>
          <w:color w:val="auto"/>
        </w:rPr>
        <w:t xml:space="preserve"> for the amounts of energy and capacity revenue that relate to leases and are accounted for under ASC 840</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Amortization</w:t>
      </w:r>
    </w:p>
    <w:p>
      <w:pPr>
        <w:spacing w:after="0" w:line="14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963"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December 31, 2019:</w:t>
      </w:r>
    </w:p>
    <w:p>
      <w:pPr>
        <w:spacing w:after="0" w:line="3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 millions)</w:t>
            </w:r>
          </w:p>
        </w:tc>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ind w:right="241"/>
              <w:spacing w:after="0"/>
              <w:rPr>
                <w:sz w:val="20"/>
                <w:szCs w:val="20"/>
                <w:color w:val="auto"/>
              </w:rPr>
            </w:pPr>
            <w:r>
              <w:rPr>
                <w:rFonts w:ascii="Arial" w:cs="Arial" w:eastAsia="Arial" w:hAnsi="Arial"/>
                <w:sz w:val="14"/>
                <w:szCs w:val="14"/>
                <w:b w:val="1"/>
                <w:bCs w:val="1"/>
                <w:color w:val="auto"/>
                <w:w w:val="96"/>
              </w:rPr>
              <w:t>December 31, 2019</w:t>
            </w:r>
          </w:p>
        </w:tc>
        <w:tc>
          <w:tcPr>
            <w:tcW w:w="260" w:type="dxa"/>
            <w:vAlign w:val="bottom"/>
          </w:tcPr>
          <w:p>
            <w:pPr>
              <w:spacing w:after="0"/>
              <w:rPr>
                <w:sz w:val="14"/>
                <w:szCs w:val="14"/>
                <w:color w:val="auto"/>
              </w:rPr>
            </w:pPr>
          </w:p>
        </w:tc>
        <w:tc>
          <w:tcPr>
            <w:tcW w:w="1460" w:type="dxa"/>
            <w:vAlign w:val="bottom"/>
          </w:tcPr>
          <w:p>
            <w:pPr>
              <w:jc w:val="right"/>
              <w:ind w:right="161"/>
              <w:spacing w:after="0"/>
              <w:rPr>
                <w:sz w:val="20"/>
                <w:szCs w:val="20"/>
                <w:color w:val="auto"/>
              </w:rPr>
            </w:pPr>
            <w:r>
              <w:rPr>
                <w:rFonts w:ascii="Arial" w:cs="Arial" w:eastAsia="Arial" w:hAnsi="Arial"/>
                <w:sz w:val="14"/>
                <w:szCs w:val="14"/>
                <w:b w:val="1"/>
                <w:bCs w:val="1"/>
                <w:color w:val="auto"/>
                <w:w w:val="95"/>
              </w:rPr>
              <w:t>December 31, 2018</w:t>
            </w:r>
          </w:p>
        </w:tc>
      </w:tr>
      <w:tr>
        <w:trPr>
          <w:trHeight w:val="258"/>
        </w:trPr>
        <w:tc>
          <w:tcPr>
            <w:tcW w:w="20" w:type="dxa"/>
            <w:vAlign w:val="bottom"/>
          </w:tcPr>
          <w:p>
            <w:pPr>
              <w:spacing w:after="0"/>
              <w:rPr>
                <w:sz w:val="22"/>
                <w:szCs w:val="22"/>
                <w:color w:val="auto"/>
              </w:rPr>
            </w:pPr>
          </w:p>
        </w:tc>
        <w:tc>
          <w:tcPr>
            <w:tcW w:w="6780" w:type="dxa"/>
            <w:vAlign w:val="bottom"/>
            <w:gridSpan w:val="2"/>
          </w:tcPr>
          <w:p>
            <w:pPr>
              <w:spacing w:after="0"/>
              <w:rPr>
                <w:sz w:val="20"/>
                <w:szCs w:val="20"/>
                <w:color w:val="auto"/>
              </w:rPr>
            </w:pPr>
            <w:r>
              <w:rPr>
                <w:rFonts w:ascii="Arial" w:cs="Arial" w:eastAsia="Arial" w:hAnsi="Arial"/>
                <w:sz w:val="16"/>
                <w:szCs w:val="16"/>
                <w:color w:val="auto"/>
              </w:rPr>
              <w:t>Accounts receivable, net - Contracts with customers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35</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Accounts receivable, net - Leases</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82</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w:t>
            </w:r>
          </w:p>
        </w:tc>
      </w:tr>
      <w:tr>
        <w:trPr>
          <w:trHeight w:val="257"/>
        </w:trPr>
        <w:tc>
          <w:tcPr>
            <w:tcW w:w="20" w:type="dxa"/>
            <w:vAlign w:val="bottom"/>
          </w:tcPr>
          <w:p>
            <w:pPr>
              <w:spacing w:after="0"/>
              <w:rPr>
                <w:sz w:val="22"/>
                <w:szCs w:val="22"/>
                <w:color w:val="auto"/>
              </w:rPr>
            </w:pPr>
          </w:p>
        </w:tc>
        <w:tc>
          <w:tcPr>
            <w:tcW w:w="6780" w:type="dxa"/>
            <w:vAlign w:val="bottom"/>
            <w:gridSpan w:val="2"/>
          </w:tcPr>
          <w:p>
            <w:pPr>
              <w:spacing w:after="0"/>
              <w:rPr>
                <w:sz w:val="20"/>
                <w:szCs w:val="20"/>
                <w:color w:val="auto"/>
              </w:rPr>
            </w:pPr>
            <w:r>
              <w:rPr>
                <w:rFonts w:ascii="Arial" w:cs="Arial" w:eastAsia="Arial" w:hAnsi="Arial"/>
                <w:sz w:val="16"/>
                <w:szCs w:val="16"/>
                <w:color w:val="auto"/>
              </w:rPr>
              <w:t>Total accounts receivable, net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116</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Company accounts for derivative financial instruments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93"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Recognized in earnings as an offset to the changes in the fair value of the related hedged assets, liabilities and firm commitments;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Deferred and recorded as a component of accumulated OCI until the hedged transactions occur and are recognized in earnings.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primary derivative instruments are interest rate instruments used to mitigate variability in earnings due to fluctuations in interest rates, power purchase or sale contracts used to mitigate variability in earnings due to fluctuations in market prices and fuels purchase contracts used to control customer reimbursable fuel cost.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OCI would be immediately reclassified into earnings. If the derivative instrument is terminated, the effective portion of this derivative deferred in accumulated OCI will be frozen until the underlying hedged item is delivered.</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Financial instruments which potentially subject the Company to concentrations of credit risk consist primarily of accounts receivable, notes receivable and derivative instruments, which are concentrated within entities engaged in the energy and financial industry. These industry concentrations may impact the overall exposure to credit risk, either positively or negatively, in that the customers may be similarly affected by changes in economic, industry or other conditions. In addition, many of the Company's projects have only one customer. See Item 1A, Risk Factors, </w:t>
      </w:r>
      <w:r>
        <w:rPr>
          <w:rFonts w:ascii="Arial" w:cs="Arial" w:eastAsia="Arial" w:hAnsi="Arial"/>
          <w:sz w:val="17"/>
          <w:szCs w:val="17"/>
          <w:i w:val="1"/>
          <w:iCs w:val="1"/>
          <w:color w:val="auto"/>
        </w:rPr>
        <w:t>Risks related to the PG&amp;E Bankruptcy,</w:t>
      </w:r>
      <w:r>
        <w:rPr>
          <w:rFonts w:ascii="Arial" w:cs="Arial" w:eastAsia="Arial" w:hAnsi="Arial"/>
          <w:sz w:val="17"/>
          <w:szCs w:val="17"/>
          <w:color w:val="auto"/>
        </w:rPr>
        <w:t xml:space="preserve"> for a discussion on the Company’s dependence on major customers</w:t>
      </w:r>
      <w:r>
        <w:rPr>
          <w:rFonts w:ascii="Arial" w:cs="Arial" w:eastAsia="Arial" w:hAnsi="Arial"/>
          <w:sz w:val="17"/>
          <w:szCs w:val="17"/>
          <w:color w:val="1F497D"/>
        </w:rPr>
        <w:t>.</w:t>
      </w:r>
      <w:r>
        <w:rPr>
          <w:rFonts w:ascii="Arial" w:cs="Arial" w:eastAsia="Arial" w:hAnsi="Arial"/>
          <w:sz w:val="17"/>
          <w:szCs w:val="17"/>
          <w:color w:val="auto"/>
        </w:rPr>
        <w:t xml:space="preserve"> See Note 6,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a further discussion of derivative concentrations and Note 12,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for concentration of counterparties.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carrying amount of cash and cash equivalents, restricted cash, accounts receivable, accounts receivable - affiliate, accounts payable, current portion of account payable - affiliate, and accrued expenses and other current liabilities approximate fair value because of the short-term maturity of these instruments. See Item 15 </w:t>
      </w:r>
      <w:r>
        <w:rPr>
          <w:rFonts w:ascii="Arial" w:cs="Arial" w:eastAsia="Arial" w:hAnsi="Arial"/>
          <w:sz w:val="17"/>
          <w:szCs w:val="17"/>
          <w:b w:val="1"/>
          <w:bCs w:val="1"/>
          <w:color w:val="auto"/>
        </w:rPr>
        <w:t>—</w:t>
      </w:r>
      <w:r>
        <w:rPr>
          <w:rFonts w:ascii="Arial" w:cs="Arial" w:eastAsia="Arial" w:hAnsi="Arial"/>
          <w:sz w:val="17"/>
          <w:szCs w:val="17"/>
          <w:color w:val="auto"/>
        </w:rPr>
        <w:t xml:space="preserve"> Note 6,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a further discussion of fair value of financial instruments.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908"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Asset retirement obligations, or AROs, are accounted for in accordance with ASC 410-20, </w:t>
      </w:r>
      <w:r>
        <w:rPr>
          <w:rFonts w:ascii="Arial" w:cs="Arial" w:eastAsia="Arial" w:hAnsi="Arial"/>
          <w:sz w:val="18"/>
          <w:szCs w:val="18"/>
          <w:i w:val="1"/>
          <w:iCs w:val="1"/>
          <w:color w:val="auto"/>
        </w:rPr>
        <w:t>Asset Retirement Obligations,</w:t>
      </w:r>
      <w:r>
        <w:rPr>
          <w:rFonts w:ascii="Arial" w:cs="Arial" w:eastAsia="Arial" w:hAnsi="Arial"/>
          <w:sz w:val="18"/>
          <w:szCs w:val="18"/>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Upon initial recognition of a liability for an ARO,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balance sheet.</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represents the balance of ARO obligations as of December 31, 2019 and 2018, along with the additions and accretion related to the Company's ARO obligations for the year ended December 31,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2018</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9720" w:type="dxa"/>
            <w:vAlign w:val="bottom"/>
          </w:tcPr>
          <w:p>
            <w:pPr>
              <w:ind w:left="180"/>
              <w:spacing w:after="0"/>
              <w:rPr>
                <w:sz w:val="20"/>
                <w:szCs w:val="20"/>
                <w:color w:val="auto"/>
              </w:rPr>
            </w:pPr>
            <w:r>
              <w:rPr>
                <w:rFonts w:ascii="Arial" w:cs="Arial" w:eastAsia="Arial" w:hAnsi="Arial"/>
                <w:sz w:val="18"/>
                <w:szCs w:val="18"/>
                <w:color w:val="auto"/>
              </w:rPr>
              <w:t>Revisions in estimates for current obligations/Additions</w:t>
            </w: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9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 expense</w:t>
            </w:r>
          </w:p>
        </w:tc>
        <w:tc>
          <w:tcPr>
            <w:tcW w:w="7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b w:val="1"/>
                <w:bCs w:val="1"/>
                <w:color w:val="auto"/>
              </w:rPr>
              <w:t>Balance as of December 31, 2019</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r>
      <w:tr>
        <w:trPr>
          <w:trHeight w:val="20"/>
        </w:trPr>
        <w:tc>
          <w:tcPr>
            <w:tcW w:w="9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Accounted for by the Equity Method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investments in various energy projects accounted for by the equity method, several of which are VIEs, where the Company is not a primary beneficiary, as described in Note 5, Investments Accounted for by the Equity Method and Variable Interest Entities. The equity method of accounting is applied to these investments in affiliates because the ownership structure 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Sale-Leaseback Arrangements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The Company is party to sale-leaseback arrangements that provide for the sale of certain assets to a third party and simultaneous leaseback to the Company. In accordance with ASC 840-40, </w:t>
      </w:r>
      <w:r>
        <w:rPr>
          <w:rFonts w:ascii="Arial" w:cs="Arial" w:eastAsia="Arial" w:hAnsi="Arial"/>
          <w:sz w:val="16"/>
          <w:szCs w:val="16"/>
          <w:i w:val="1"/>
          <w:iCs w:val="1"/>
          <w:color w:val="auto"/>
        </w:rPr>
        <w:t>Sale-Leaseback Transactions</w:t>
      </w:r>
      <w:r>
        <w:rPr>
          <w:rFonts w:ascii="Arial" w:cs="Arial" w:eastAsia="Arial" w:hAnsi="Arial"/>
          <w:sz w:val="16"/>
          <w:szCs w:val="16"/>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908" w:right="239" w:bottom="1440" w:gutter="0" w:footer="0" w:header="0"/>
        </w:sectPr>
      </w:pPr>
    </w:p>
    <w:bookmarkStart w:id="104" w:name="page105"/>
    <w:bookmarkEnd w:id="104"/>
    <w:p>
      <w:pPr>
        <w:jc w:val="both"/>
        <w:ind w:firstLine="648"/>
        <w:spacing w:after="0" w:line="255" w:lineRule="auto"/>
        <w:rPr>
          <w:sz w:val="20"/>
          <w:szCs w:val="20"/>
          <w:color w:val="auto"/>
        </w:rPr>
      </w:pPr>
      <w:r>
        <w:rPr>
          <w:rFonts w:ascii="Arial" w:cs="Arial" w:eastAsia="Arial" w:hAnsi="Arial"/>
          <w:sz w:val="18"/>
          <w:szCs w:val="18"/>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Company accounts for its business combinations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or ASC 805. For third party acquisitions,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transaction costs are expensed as incurred. For business acquisitions that relate to entities under common control, ASC 805 requires retrospective combination of the entities for all periods presented as if the combination has been in effect from the beginning of the financial statement period of from the date the entities were under common control (if later than the beginning of the financial statement period). The difference between the cash paid and historical value of the entities' equity is recorded as a distribution/contribution from/to CEG with the offset to noncontrolling interest. Transaction costs are expensed as incurred.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recording transactions and balances resulting from business operations, the Company uses estimates based on the best information available. Estimates are used for such items as plant depreciable lives, uncollectible accounts, AROs, acquisition accounting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Equity Arrangements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Certain portions of the Company’s noncontrolling interests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solar energy systems, under operating leases or PPAs,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year amounts have been reclassified for comparative purposes.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908"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Recent Accounting Developments - Adopted in 2019</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ASU 2016-02 </w:t>
      </w:r>
      <w:r>
        <w:rPr>
          <w:rFonts w:ascii="Arial" w:cs="Arial" w:eastAsia="Arial" w:hAnsi="Arial"/>
          <w:sz w:val="18"/>
          <w:szCs w:val="18"/>
          <w:color w:val="auto"/>
        </w:rPr>
        <w:t>— In February 2016, the FASB issued ASU No.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(Topic 842), or Topic 842, as amended, with the objective to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transparency and 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As further described in Note 15,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Company adopted the standard effective January 1, 2019 using the modified retrospective transition method and will not restate prior periods for the impact of Topic 842.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20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Carlsbad Drop Down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December 6, 2019, the Company acquired 100% of GIP's membership interests in CBAD Holdings, LLC,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indirectly owns Carlsbad Energy Center LLC, a 527 megawatt natural gas fired power project located in Carlsbad, California, or the Carlsbad Drop Down Asset. The project has a 20-year power purchase and tolling agreement with San Diego Gas and Electric Company, which expires in 2038. The purchase price for the Carlsbad Drop Down was $184 million in cash, plus assumption of $803 million in project level financing including non-recourse senior notes, as further described in Note 10,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The acquisition was funded with proceeds from the Clearway Energy, Inc. equity issuance, as described Note 11, </w:t>
      </w:r>
      <w:r>
        <w:rPr>
          <w:rFonts w:ascii="Arial" w:cs="Arial" w:eastAsia="Arial" w:hAnsi="Arial"/>
          <w:sz w:val="16"/>
          <w:szCs w:val="16"/>
          <w:i w:val="1"/>
          <w:iCs w:val="1"/>
          <w:color w:val="auto"/>
        </w:rPr>
        <w:t>Members' Equity</w:t>
      </w:r>
      <w:r>
        <w:rPr>
          <w:rFonts w:ascii="Arial" w:cs="Arial" w:eastAsia="Arial" w:hAnsi="Arial"/>
          <w:sz w:val="16"/>
          <w:szCs w:val="16"/>
          <w:color w:val="auto"/>
        </w:rPr>
        <w:t xml:space="preserve">, as well as borrowings from the Company's revolving credit facility. The Carlsbad acquisition is the result of the Company having elected its option to purchase Carlsbad pursuant to the ROFO agreement, as amended, by and among the Company, CEG and GIP. The transaction is reflected in the Company's Conventional segment. The assets and liabilities transferred to the Company relate to interests under common control by GIP and were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and the historical value of the entities' equity was recorded as a distribution to GIP and decreased the balance of its noncontrolling interest. The acquisition was determined to be an asset acquisition and not a business combination, therefore no recast of the historical financial information was deemed necessary.</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6, 2019:</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4"/>
              </w:rPr>
              <w:t>CBAD Holdings, LLC</w:t>
            </w:r>
          </w:p>
        </w:tc>
      </w:tr>
      <w:tr>
        <w:trPr>
          <w:trHeight w:val="270"/>
        </w:trPr>
        <w:tc>
          <w:tcPr>
            <w:tcW w:w="85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3"/>
              </w:rPr>
              <w:t>(In millions)</w:t>
            </w:r>
          </w:p>
        </w:tc>
      </w:tr>
      <w:tr>
        <w:trPr>
          <w:trHeight w:val="27"/>
        </w:trPr>
        <w:tc>
          <w:tcPr>
            <w:tcW w:w="858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572</w:t>
            </w:r>
          </w:p>
        </w:tc>
      </w:tr>
      <w:tr>
        <w:trPr>
          <w:trHeight w:val="27"/>
        </w:trPr>
        <w:tc>
          <w:tcPr>
            <w:tcW w:w="858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337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7"/>
        </w:trPr>
        <w:tc>
          <w:tcPr>
            <w:tcW w:w="858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996</w:t>
            </w:r>
          </w:p>
        </w:tc>
      </w:tr>
      <w:tr>
        <w:trPr>
          <w:trHeight w:val="318"/>
        </w:trPr>
        <w:tc>
          <w:tcPr>
            <w:tcW w:w="858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color w:val="auto"/>
                <w:vertAlign w:val="superscript"/>
              </w:rPr>
              <w:t>(a)</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791</w:t>
            </w:r>
          </w:p>
        </w:tc>
      </w:tr>
      <w:tr>
        <w:trPr>
          <w:trHeight w:val="270"/>
        </w:trPr>
        <w:tc>
          <w:tcPr>
            <w:tcW w:w="85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25"/>
                <w:szCs w:val="25"/>
                <w:color w:val="auto"/>
                <w:vertAlign w:val="superscript"/>
              </w:rPr>
              <w:t>(b)</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56</w:t>
            </w: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847</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2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$149</w:t>
            </w:r>
          </w:p>
        </w:tc>
      </w:tr>
      <w:tr>
        <w:trPr>
          <w:trHeight w:val="20"/>
        </w:trPr>
        <w:tc>
          <w:tcPr>
            <w:tcW w:w="858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55" w:lineRule="exact"/>
        <w:rPr>
          <w:sz w:val="20"/>
          <w:szCs w:val="20"/>
          <w:color w:val="auto"/>
        </w:rPr>
      </w:pPr>
    </w:p>
    <w:p>
      <w:pPr>
        <w:ind w:left="160" w:hanging="152"/>
        <w:spacing w:after="0"/>
        <w:tabs>
          <w:tab w:leader="none" w:pos="1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Excludes net debt issuance costs of $12 million.</w:t>
      </w:r>
    </w:p>
    <w:p>
      <w:pPr>
        <w:spacing w:after="0" w:line="60"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59"/>
        </w:numPr>
        <w:rPr>
          <w:rFonts w:ascii="Arial" w:cs="Arial" w:eastAsia="Arial" w:hAnsi="Arial"/>
          <w:sz w:val="9"/>
          <w:szCs w:val="9"/>
          <w:color w:val="auto"/>
        </w:rPr>
      </w:pPr>
      <w:r>
        <w:rPr>
          <w:rFonts w:ascii="Arial" w:cs="Arial" w:eastAsia="Arial" w:hAnsi="Arial"/>
          <w:sz w:val="14"/>
          <w:szCs w:val="14"/>
          <w:color w:val="auto"/>
        </w:rPr>
        <w:t>Other current liabilities and non-current liabilities include a contingent liability of $5 million assumed by the Company during the acquisition.</w:t>
      </w:r>
    </w:p>
    <w:p>
      <w:pPr>
        <w:spacing w:after="0" w:line="1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 xml:space="preserve">Duquesne University District Energy System Acquisition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1, 2019, the Company, through its indirect subsidiary ECP Uptown Campus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acquired the Duquesne University district energy system, totaling 82 combined MWt, located in Pittsburgh, PA. As part of the acquisition, Duquesne University entered into a 40-year Energy Services Agreement through which ECP Uptown Campus LLC will fulfill the university's electricity, chilled water and steam requirements in exchange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908" w:right="239" w:bottom="1440" w:gutter="0" w:footer="0" w:header="0"/>
        </w:sectPr>
      </w:pPr>
    </w:p>
    <w:bookmarkStart w:id="106" w:name="page107"/>
    <w:bookmarkEnd w:id="106"/>
    <w:p>
      <w:pPr>
        <w:jc w:val="both"/>
        <w:spacing w:after="0" w:line="276" w:lineRule="auto"/>
        <w:rPr>
          <w:sz w:val="20"/>
          <w:szCs w:val="20"/>
          <w:color w:val="auto"/>
        </w:rPr>
      </w:pPr>
      <w:r>
        <w:rPr>
          <w:rFonts w:ascii="Arial" w:cs="Arial" w:eastAsia="Arial" w:hAnsi="Arial"/>
          <w:sz w:val="17"/>
          <w:szCs w:val="17"/>
          <w:color w:val="auto"/>
        </w:rPr>
        <w:t xml:space="preserve">for monthly capacity payments. The transaction is reflected in the Company's Thermal segment. The total investment for the project is $107 million. This includes $100 million related to the purchase of district energy assets, which was funded through a combination of issuance of non-recourse debt in the amount of $95 million, as further discussed in Note 10, </w:t>
      </w:r>
      <w:r>
        <w:rPr>
          <w:rFonts w:ascii="Arial" w:cs="Arial" w:eastAsia="Arial" w:hAnsi="Arial"/>
          <w:sz w:val="17"/>
          <w:szCs w:val="17"/>
          <w:i w:val="1"/>
          <w:iCs w:val="1"/>
          <w:color w:val="auto"/>
        </w:rPr>
        <w:t>Long-term Debt</w:t>
      </w:r>
      <w:r>
        <w:rPr>
          <w:rFonts w:ascii="Arial" w:cs="Arial" w:eastAsia="Arial" w:hAnsi="Arial"/>
          <w:sz w:val="17"/>
          <w:szCs w:val="17"/>
          <w:color w:val="auto"/>
        </w:rPr>
        <w:t>, as well as cash on hand. The remaining $7 million related to $3 million of restricted cash funded as part of acquisition, as well as $4 million related to future capital expenditures. The acquisition was determined to be an asset acquisition under ASC 805, with a significant majority of the purchase price allocated to property, plant and equipment as of the acquisition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UPMC Thermal Project Asset Acquisition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June 19, 2018, upon reaching substantial completion, the Company acquired from NRG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UPMC Thermal Project for cash consideration of $84 million. In addition, the Company had a payable of $4 million to NRG as of December 31, 2018, $3 million of which was paid in January 2019 upon final completion of the project pursuant to the EPC agreement and $1 million was paid in January 2020. The project added 73 MWt of thermal equivalent capacity and 7.5 MW of emergency backup electrical capacity to the Company's portfolio. The transaction was reflected in the Company's Thermal segment. The acquisition was funded with the proceeds from the sale of the Series E Notes and Series F Notes, as further described in Item 15 </w:t>
      </w:r>
      <w:r>
        <w:rPr>
          <w:rFonts w:ascii="Arial" w:cs="Arial" w:eastAsia="Arial" w:hAnsi="Arial"/>
          <w:sz w:val="16"/>
          <w:szCs w:val="16"/>
          <w:b w:val="1"/>
          <w:bCs w:val="1"/>
          <w:color w:val="auto"/>
        </w:rPr>
        <w:t>—</w:t>
      </w:r>
      <w:r>
        <w:rPr>
          <w:rFonts w:ascii="Arial" w:cs="Arial" w:eastAsia="Arial" w:hAnsi="Arial"/>
          <w:sz w:val="16"/>
          <w:szCs w:val="16"/>
          <w:color w:val="auto"/>
        </w:rPr>
        <w:t xml:space="preserve"> Note 10,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The assets transferred to the Company relate to interests under common control by NRG and were recorded at book value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purchase price and book value of the assets was recorded as a distribution to NRG and decreased the balance of contributed capital. The acquisition was determined to be an asset acquisition and not a business combination, therefore no recast of the historical financial information was deemed necessary.</w:t>
      </w:r>
    </w:p>
    <w:p>
      <w:pPr>
        <w:spacing w:after="0" w:line="10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 xml:space="preserve">Central CA Fuel Cell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18, 2018, the Company acquired the Central CA Fuel Cell 1, LLC project in Tulare, California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FuelCell Energy Finance, Inc. for cash consideration of $11 million. The project added 2.8 MW of thermal capacity to the Company's portfolio, with a 20-year PPA contract with the City of Tulare. The transaction was reflected in the Company's Thermal segment.</w:t>
      </w:r>
    </w:p>
    <w:p>
      <w:pPr>
        <w:spacing w:after="0" w:line="12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Buckthorn Solar Drop Down Asset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March 30, 2018, the Company acquired 100% of NRG's interests in Buckthorn Renewables, LLC,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owns a 154 MW construction-stage utility-scale solar generation project located in Texas, or the Buckthorn Solar Drop Down Asset, for cash consideration of $42 million. The Company also assumed non-recourse debt of $183 million and non-controlling interest of $19 million attributable to the Class A member.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related to interests under common control by NRG and were recorded at historical cost in accordance with ASC 805-50, </w:t>
      </w:r>
      <w:r>
        <w:rPr>
          <w:rFonts w:ascii="Arial" w:cs="Arial" w:eastAsia="Arial" w:hAnsi="Arial"/>
          <w:sz w:val="16"/>
          <w:szCs w:val="16"/>
          <w:i w:val="1"/>
          <w:iCs w:val="1"/>
          <w:color w:val="auto"/>
        </w:rPr>
        <w:t>Business Combinations</w:t>
      </w:r>
    </w:p>
    <w:p>
      <w:pPr>
        <w:spacing w:after="0" w:line="2" w:lineRule="exact"/>
        <w:rPr>
          <w:sz w:val="20"/>
          <w:szCs w:val="20"/>
          <w:color w:val="auto"/>
        </w:rPr>
      </w:pPr>
    </w:p>
    <w:p>
      <w:pPr>
        <w:jc w:val="both"/>
        <w:ind w:firstLine="8"/>
        <w:spacing w:after="0" w:line="254" w:lineRule="auto"/>
        <w:tabs>
          <w:tab w:leader="none" w:pos="118"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Related Issues</w:t>
      </w:r>
      <w:r>
        <w:rPr>
          <w:rFonts w:ascii="Arial" w:cs="Arial" w:eastAsia="Arial" w:hAnsi="Arial"/>
          <w:sz w:val="18"/>
          <w:szCs w:val="18"/>
          <w:color w:val="auto"/>
        </w:rPr>
        <w:t>. The difference between the cash paid and historical value of the entities' equity was recorded as a distribution to NRG and decreased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contributed capital. Since the transaction constituted a transfer of net asset under common control, the guidance required retrospective combination of the entities for all periods presented as if the combination had been in effect since the inception of common control. The project sells power under a 25-year PPA to the City of Georgetown, Texas, which commenced in July 2018.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6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 xml:space="preserve">November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 2017, the Company acquired a 38 MW solar portfolio primarily comprised of assets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NRG's Solar Power Partners (SPP) funds and other projects developed by NRG, for cash consideration of $74 million, including working capital adjustments, plus assumed non-recourse debt of $26 million.</w:t>
      </w:r>
    </w:p>
    <w:p>
      <w:pPr>
        <w:spacing w:after="0" w:line="1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Combinations -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Issues</w:t>
      </w:r>
      <w:r>
        <w:rPr>
          <w:rFonts w:ascii="Arial" w:cs="Arial" w:eastAsia="Arial" w:hAnsi="Arial"/>
          <w:sz w:val="16"/>
          <w:szCs w:val="16"/>
          <w:color w:val="auto"/>
        </w:rPr>
        <w:t>. The difference between the cash paid and historical value of the entities' equity was recorded as a contribution from NRG and increased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contributed capital. Since the transaction constituted a transfer of net assets under common control, the guidance required retrospective combination of the entities for all periods presented as if the combination had been in effect since the inception of common control.</w:t>
      </w:r>
    </w:p>
    <w:p>
      <w:pPr>
        <w:spacing w:after="0" w:line="100"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b w:val="1"/>
          <w:bCs w:val="1"/>
          <w:i w:val="1"/>
          <w:iCs w:val="1"/>
          <w:color w:val="auto"/>
        </w:rPr>
        <w:t xml:space="preserve">August 2017 Drop Down Assets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August 1, 2017, the Company acquired the remaining 25% interest in Wind TE Holdco, a portfolio of 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wind projects, from NRG for total cash consideration of $44 million. The purchase agreement also included potential additional payments to NRG dependent upon actual energy prices for merchant periods beginning in 2027, which were estimated and accrued as contingent consideration in the amount of $8 million.</w:t>
      </w:r>
    </w:p>
    <w:p>
      <w:pPr>
        <w:spacing w:after="0" w:line="9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originally acquired 75% of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909" w:right="239" w:bottom="1440" w:gutter="0" w:footer="0" w:header="0"/>
        </w:sectPr>
      </w:pPr>
    </w:p>
    <w:bookmarkStart w:id="107" w:name="page108"/>
    <w:bookmarkEnd w:id="107"/>
    <w:p>
      <w:pPr>
        <w:jc w:val="both"/>
        <w:spacing w:after="0" w:line="255" w:lineRule="auto"/>
        <w:rPr>
          <w:sz w:val="20"/>
          <w:szCs w:val="20"/>
          <w:color w:val="auto"/>
        </w:rPr>
      </w:pPr>
      <w:r>
        <w:rPr>
          <w:rFonts w:ascii="Arial" w:cs="Arial" w:eastAsia="Arial" w:hAnsi="Arial"/>
          <w:sz w:val="18"/>
          <w:szCs w:val="18"/>
          <w:color w:val="auto"/>
        </w:rPr>
        <w:t xml:space="preserve">805-50, </w:t>
      </w:r>
      <w:r>
        <w:rPr>
          <w:rFonts w:ascii="Arial" w:cs="Arial" w:eastAsia="Arial" w:hAnsi="Arial"/>
          <w:sz w:val="18"/>
          <w:szCs w:val="18"/>
          <w:i w:val="1"/>
          <w:iCs w:val="1"/>
          <w:color w:val="auto"/>
        </w:rPr>
        <w:t>Business Combination - Related Issues.</w:t>
      </w:r>
      <w:r>
        <w:rPr>
          <w:rFonts w:ascii="Arial" w:cs="Arial" w:eastAsia="Arial" w:hAnsi="Arial"/>
          <w:sz w:val="18"/>
          <w:szCs w:val="18"/>
          <w:color w:val="auto"/>
        </w:rPr>
        <w:t xml:space="preserve"> As the Company had reflected NRG's 25% ownership of Wind TE Holdco in noncontrolling interest, the difference between the cash paid of $44 million, net of the contingent consideration of $8 million, and the historical value of the remaining 25% of $87 million as of July 31, 2017,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March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27, 2017, the Company acquired the following interests from NRG: (i) Agua Caliente Borrower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which owns a 16% interest (approximately 31% of NRG's 51% 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The Company paid cash consideration of $128 million. The acquisition of the March 2017 Drop Down Assets was funded with cash on hand. The Company recorded the acquired interests as equity method investments.</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8"/>
          <w:szCs w:val="18"/>
          <w:i w:val="1"/>
          <w:iCs w:val="1"/>
          <w:color w:val="auto"/>
        </w:rPr>
        <w:t>Business Combination - Related Issues.</w:t>
      </w:r>
      <w:r>
        <w:rPr>
          <w:rFonts w:ascii="Arial" w:cs="Arial" w:eastAsia="Arial" w:hAnsi="Arial"/>
          <w:sz w:val="18"/>
          <w:szCs w:val="18"/>
          <w:color w:val="auto"/>
        </w:rPr>
        <w:t xml:space="preserve"> The difference between the cash paid and the historical value of the entities' equity of $8 million was recorded as an adjustment to contributed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Dispositions and Assets Held for Sale</w:t>
      </w:r>
    </w:p>
    <w:p>
      <w:pPr>
        <w:spacing w:after="0" w:line="16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i w:val="1"/>
          <w:iCs w:val="1"/>
          <w:color w:val="auto"/>
        </w:rPr>
        <w:t xml:space="preserve">Sale of Energy Center Dover LLC and Energy Center Smyrna LLC Assets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September 5, 2019, the Company entered into a purchase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 agreement with DB Energy Assets, LLC to sell 100% of its interests in Energy Center Dover LLC and Energy Center Smyrna LLC, Energy Center Dover LLC owns a 103 MW natural gas-fired cogeneration facility located in Dover, DE (Energy Center Dover). The transaction is subject to standard regulatory approvals and the completion of certain maintenance activities. The related assets and liabilities were classified as held for sale and recorded to other current assets and non-current assets, as well as current liabilities on the Company’s consolidated balance sheets as of December 31, 2019.</w:t>
      </w:r>
    </w:p>
    <w:p>
      <w:pPr>
        <w:spacing w:after="0" w:line="10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i w:val="1"/>
          <w:iCs w:val="1"/>
          <w:color w:val="auto"/>
        </w:rPr>
        <w:t xml:space="preserve">Sale of HSD Solar Holdings, LLC Assets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October 8, 2019, the Company, through HSD Solar Holdings, LLC, or HSD, sold 100%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in certain distributed generation solar facilities totaling 6 MW to the offtaker under the PPA, for cash consideration of $20 million, as a result of the offtaker exercising its right to purchase the project pursuant to the PPA. In conjunction with the sale, the Company repaid in full the non-recourse lease financing associated with the HSD projects. The repaid amount was net of cash released at closing and totaled $23 million.</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Plant and Equipment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major classes of property, plant, and equipment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2018</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Depreciable Lives</w:t>
            </w:r>
          </w:p>
        </w:tc>
      </w:tr>
      <w:tr>
        <w:trPr>
          <w:trHeight w:val="264"/>
        </w:trPr>
        <w:tc>
          <w:tcPr>
            <w:tcW w:w="6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140" w:type="dxa"/>
            <w:vAlign w:val="bottom"/>
            <w:gridSpan w:val="4"/>
          </w:tcPr>
          <w:p>
            <w:pPr>
              <w:jc w:val="right"/>
              <w:ind w:right="117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and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2 - 45 Years</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Construction in progress </w:t>
            </w:r>
            <w:r>
              <w:rPr>
                <w:rFonts w:ascii="Arial" w:cs="Arial" w:eastAsia="Arial" w:hAnsi="Arial"/>
                <w:sz w:val="25"/>
                <w:szCs w:val="25"/>
                <w:color w:val="auto"/>
                <w:vertAlign w:val="superscript"/>
              </w:rPr>
              <w:t>(a)</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57"/>
        </w:trPr>
        <w:tc>
          <w:tcPr>
            <w:tcW w:w="6400" w:type="dxa"/>
            <w:vAlign w:val="bottom"/>
          </w:tcPr>
          <w:p>
            <w:pPr>
              <w:ind w:left="28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4147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firstLine="8"/>
        <w:spacing w:after="0" w:line="280" w:lineRule="auto"/>
        <w:tabs>
          <w:tab w:leader="none" w:pos="16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As of December 31, 2019 and 2018, construction in progress includes $10 million and $6 million of capital expenditures that relate to prepaid long-term service agreements in the Conventional segment, respectively.</w:t>
      </w:r>
    </w:p>
    <w:p>
      <w:pPr>
        <w:spacing w:after="0" w:line="1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Depreciation expense related to property, plant and equipment during the years ended December 31, 2019 and December 31, 2018 was $395 million and $330 million, respectively. The Company accelerated depreciation of </w:t>
      </w:r>
      <w:r>
        <w:rPr>
          <w:rFonts w:ascii="Arial" w:cs="Arial" w:eastAsia="Arial" w:hAnsi="Arial"/>
          <w:sz w:val="17"/>
          <w:szCs w:val="17"/>
          <w:color w:val="auto"/>
        </w:rPr>
        <w:t>the Wildorado Wind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908" w:right="2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color w:val="auto"/>
        </w:rPr>
        <w:t>Elbow Creek projects in connection with the repowering project</w:t>
      </w:r>
      <w:r>
        <w:rPr>
          <w:rFonts w:ascii="Arial" w:cs="Arial" w:eastAsia="Arial" w:hAnsi="Arial"/>
          <w:sz w:val="18"/>
          <w:szCs w:val="18"/>
          <w:color w:val="auto"/>
        </w:rPr>
        <w:t>, which resulted in additional depreciation expense in the amount of $54 million.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The Company recorded long-lived asset impairments during the year ended December 31, 2019, as further described in Note 9, </w:t>
      </w:r>
      <w:r>
        <w:rPr>
          <w:rFonts w:ascii="Arial" w:cs="Arial" w:eastAsia="Arial" w:hAnsi="Arial"/>
          <w:sz w:val="16"/>
          <w:szCs w:val="16"/>
          <w:i w:val="1"/>
          <w:iCs w:val="1"/>
          <w:color w:val="auto"/>
        </w:rPr>
        <w:t>Asset Impairments.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Investments Accounted for by the Equity Method and Variable Interest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equity method investments as of December 31, 2019:</w:t>
      </w:r>
    </w:p>
    <w:p>
      <w:pPr>
        <w:spacing w:after="0" w:line="239"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6040" w:type="dxa"/>
            <w:vAlign w:val="bottom"/>
            <w:gridSpan w:val="2"/>
          </w:tcPr>
          <w:p>
            <w:pPr>
              <w:ind w:left="2760"/>
              <w:spacing w:after="0"/>
              <w:rPr>
                <w:sz w:val="20"/>
                <w:szCs w:val="20"/>
                <w:color w:val="auto"/>
              </w:rPr>
            </w:pPr>
            <w:r>
              <w:rPr>
                <w:rFonts w:ascii="Arial" w:cs="Arial" w:eastAsia="Arial" w:hAnsi="Arial"/>
                <w:sz w:val="16"/>
                <w:szCs w:val="16"/>
                <w:b w:val="1"/>
                <w:bCs w:val="1"/>
                <w:color w:val="auto"/>
              </w:rPr>
              <w:t>Name</w:t>
            </w:r>
          </w:p>
        </w:tc>
        <w:tc>
          <w:tcPr>
            <w:tcW w:w="2520" w:type="dxa"/>
            <w:vAlign w:val="bottom"/>
            <w:gridSpan w:val="2"/>
          </w:tcPr>
          <w:p>
            <w:pPr>
              <w:ind w:left="580"/>
              <w:spacing w:after="0"/>
              <w:rPr>
                <w:sz w:val="20"/>
                <w:szCs w:val="20"/>
                <w:color w:val="auto"/>
              </w:rPr>
            </w:pPr>
            <w:r>
              <w:rPr>
                <w:rFonts w:ascii="Arial" w:cs="Arial" w:eastAsia="Arial" w:hAnsi="Arial"/>
                <w:sz w:val="16"/>
                <w:szCs w:val="16"/>
                <w:b w:val="1"/>
                <w:bCs w:val="1"/>
                <w:color w:val="auto"/>
              </w:rPr>
              <w:t>Economic Interest</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0"/>
              </w:rPr>
              <w:t>Investment Balance</w:t>
            </w:r>
          </w:p>
        </w:tc>
      </w:tr>
      <w:tr>
        <w:trPr>
          <w:trHeight w:val="33"/>
        </w:trPr>
        <w:tc>
          <w:tcPr>
            <w:tcW w:w="5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1"/>
        </w:trPr>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5"/>
              </w:rPr>
              <w:t>(In millions)</w:t>
            </w:r>
          </w:p>
        </w:tc>
      </w:tr>
      <w:tr>
        <w:trPr>
          <w:trHeight w:val="33"/>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Utah Solar Portfolio </w:t>
            </w:r>
            <w:r>
              <w:rPr>
                <w:rFonts w:ascii="Arial" w:cs="Arial" w:eastAsia="Arial" w:hAnsi="Arial"/>
                <w:sz w:val="21"/>
                <w:szCs w:val="21"/>
                <w:color w:val="auto"/>
                <w:vertAlign w:val="superscript"/>
              </w:rPr>
              <w:t>(a)</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$285</w:t>
            </w:r>
          </w:p>
        </w:tc>
      </w:tr>
      <w:tr>
        <w:trPr>
          <w:trHeight w:val="270"/>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Desert Sunlight</w:t>
            </w:r>
            <w:r>
              <w:rPr>
                <w:rFonts w:ascii="Arial" w:cs="Arial" w:eastAsia="Arial" w:hAnsi="Arial"/>
                <w:sz w:val="21"/>
                <w:szCs w:val="21"/>
                <w:color w:val="auto"/>
                <w:vertAlign w:val="superscript"/>
              </w:rPr>
              <w:t>(d)</w:t>
            </w: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25%</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274</w:t>
            </w:r>
          </w:p>
        </w:tc>
      </w:tr>
      <w:tr>
        <w:trPr>
          <w:trHeight w:val="27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GenConn</w:t>
            </w:r>
            <w:r>
              <w:rPr>
                <w:rFonts w:ascii="Arial" w:cs="Arial" w:eastAsia="Arial" w:hAnsi="Arial"/>
                <w:sz w:val="21"/>
                <w:szCs w:val="21"/>
                <w:color w:val="auto"/>
                <w:vertAlign w:val="superscript"/>
              </w:rPr>
              <w:t>(b)</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94</w:t>
            </w:r>
          </w:p>
        </w:tc>
      </w:tr>
      <w:tr>
        <w:trPr>
          <w:trHeight w:val="270"/>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Agua Caliente Solar</w:t>
            </w:r>
            <w:r>
              <w:rPr>
                <w:rFonts w:ascii="Arial" w:cs="Arial" w:eastAsia="Arial" w:hAnsi="Arial"/>
                <w:sz w:val="21"/>
                <w:szCs w:val="21"/>
                <w:color w:val="auto"/>
                <w:vertAlign w:val="superscript"/>
              </w:rPr>
              <w:t>(d)</w:t>
            </w: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16%</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96</w:t>
            </w: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Elkhorn Ridge</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237"/>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San Juan Mesa</w:t>
            </w: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75%</w:t>
            </w: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49</w:t>
            </w:r>
          </w:p>
        </w:tc>
      </w:tr>
      <w:tr>
        <w:trPr>
          <w:trHeight w:val="33"/>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DGPV Holdco 1 LLC </w:t>
            </w:r>
            <w:r>
              <w:rPr>
                <w:rFonts w:ascii="Arial" w:cs="Arial" w:eastAsia="Arial" w:hAnsi="Arial"/>
                <w:sz w:val="21"/>
                <w:szCs w:val="21"/>
                <w:color w:val="auto"/>
                <w:vertAlign w:val="superscript"/>
              </w:rPr>
              <w:t>(c)</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95%</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81</w:t>
            </w:r>
          </w:p>
        </w:tc>
      </w:tr>
      <w:tr>
        <w:trPr>
          <w:trHeight w:val="270"/>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 xml:space="preserve">DGPV Holdco 2 LLC </w:t>
            </w:r>
            <w:r>
              <w:rPr>
                <w:rFonts w:ascii="Arial" w:cs="Arial" w:eastAsia="Arial" w:hAnsi="Arial"/>
                <w:sz w:val="21"/>
                <w:szCs w:val="21"/>
                <w:color w:val="auto"/>
                <w:vertAlign w:val="superscript"/>
              </w:rPr>
              <w:t>(c)</w:t>
            </w: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95%</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68</w:t>
            </w:r>
          </w:p>
        </w:tc>
      </w:tr>
      <w:tr>
        <w:trPr>
          <w:trHeight w:val="27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DGPV Holdco 3 LLC </w:t>
            </w:r>
            <w:r>
              <w:rPr>
                <w:rFonts w:ascii="Arial" w:cs="Arial" w:eastAsia="Arial" w:hAnsi="Arial"/>
                <w:sz w:val="21"/>
                <w:szCs w:val="21"/>
                <w:color w:val="auto"/>
                <w:vertAlign w:val="superscript"/>
              </w:rPr>
              <w:t>(c)</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99%</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169</w:t>
            </w:r>
          </w:p>
        </w:tc>
      </w:tr>
      <w:tr>
        <w:trPr>
          <w:trHeight w:val="270"/>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RPV Holdco 1 LLC</w:t>
            </w:r>
            <w:r>
              <w:rPr>
                <w:rFonts w:ascii="Arial" w:cs="Arial" w:eastAsia="Arial" w:hAnsi="Arial"/>
                <w:sz w:val="21"/>
                <w:szCs w:val="21"/>
                <w:color w:val="auto"/>
                <w:vertAlign w:val="superscript"/>
              </w:rPr>
              <w:t>(c)</w:t>
            </w: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95%</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24</w:t>
            </w:r>
          </w:p>
        </w:tc>
      </w:tr>
      <w:tr>
        <w:trPr>
          <w:trHeight w:val="27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Avenal</w:t>
            </w:r>
            <w:r>
              <w:rPr>
                <w:rFonts w:ascii="Arial" w:cs="Arial" w:eastAsia="Arial" w:hAnsi="Arial"/>
                <w:sz w:val="21"/>
                <w:szCs w:val="21"/>
                <w:color w:val="auto"/>
                <w:vertAlign w:val="superscript"/>
              </w:rPr>
              <w:t>(d)</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shd w:val="clear" w:color="auto" w:fill="CCEEFF"/>
          </w:tcPr>
          <w:p>
            <w:pPr>
              <w:spacing w:after="0"/>
              <w:rPr>
                <w:sz w:val="23"/>
                <w:szCs w:val="23"/>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(5)</w:t>
            </w:r>
          </w:p>
        </w:tc>
      </w:tr>
      <w:tr>
        <w:trPr>
          <w:trHeight w:val="217"/>
        </w:trPr>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$1,183</w:t>
            </w:r>
          </w:p>
        </w:tc>
      </w:tr>
      <w:tr>
        <w:trPr>
          <w:trHeight w:val="33"/>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163195</wp:posOffset>
            </wp:positionV>
            <wp:extent cx="13893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72" w:lineRule="exact"/>
        <w:rPr>
          <w:sz w:val="20"/>
          <w:szCs w:val="20"/>
          <w:color w:val="auto"/>
        </w:rPr>
      </w:pPr>
    </w:p>
    <w:p>
      <w:pPr>
        <w:ind w:left="180" w:hanging="10"/>
        <w:spacing w:after="0" w:line="236" w:lineRule="auto"/>
        <w:tabs>
          <w:tab w:leader="none" w:pos="315" w:val="left"/>
        </w:tabs>
        <w:numPr>
          <w:ilvl w:val="0"/>
          <w:numId w:val="62"/>
        </w:numPr>
        <w:rPr>
          <w:rFonts w:ascii="Arial" w:cs="Arial" w:eastAsia="Arial" w:hAnsi="Arial"/>
          <w:sz w:val="9"/>
          <w:szCs w:val="9"/>
          <w:color w:val="auto"/>
        </w:rPr>
      </w:pPr>
      <w:r>
        <w:rPr>
          <w:rFonts w:ascii="Arial" w:cs="Arial" w:eastAsia="Arial" w:hAnsi="Arial"/>
          <w:sz w:val="14"/>
          <w:szCs w:val="14"/>
          <w:color w:val="auto"/>
        </w:rPr>
        <w:t>Economic interest based on cash to be distributed. Four Brothers Solar, LLC, Granite Mountain Holdings, LLC and Iron Springs Holdings, LLC are tax equity structures and VIEs. The related allocations are described below.</w:t>
      </w:r>
    </w:p>
    <w:p>
      <w:pPr>
        <w:spacing w:after="0" w:line="7" w:lineRule="exact"/>
        <w:rPr>
          <w:rFonts w:ascii="Arial" w:cs="Arial" w:eastAsia="Arial" w:hAnsi="Arial"/>
          <w:sz w:val="9"/>
          <w:szCs w:val="9"/>
          <w:color w:val="auto"/>
        </w:rPr>
      </w:pPr>
    </w:p>
    <w:p>
      <w:pPr>
        <w:ind w:left="320" w:hanging="150"/>
        <w:spacing w:after="0"/>
        <w:tabs>
          <w:tab w:leader="none" w:pos="320" w:val="left"/>
        </w:tabs>
        <w:numPr>
          <w:ilvl w:val="0"/>
          <w:numId w:val="62"/>
        </w:numPr>
        <w:rPr>
          <w:rFonts w:ascii="Arial" w:cs="Arial" w:eastAsia="Arial" w:hAnsi="Arial"/>
          <w:sz w:val="9"/>
          <w:szCs w:val="9"/>
          <w:color w:val="auto"/>
        </w:rPr>
      </w:pPr>
      <w:r>
        <w:rPr>
          <w:rFonts w:ascii="Arial" w:cs="Arial" w:eastAsia="Arial" w:hAnsi="Arial"/>
          <w:sz w:val="14"/>
          <w:szCs w:val="14"/>
          <w:color w:val="auto"/>
        </w:rPr>
        <w:t>GenConn is a variable interest entity.</w:t>
      </w:r>
    </w:p>
    <w:p>
      <w:pPr>
        <w:spacing w:after="0" w:line="28" w:lineRule="exact"/>
        <w:rPr>
          <w:rFonts w:ascii="Arial" w:cs="Arial" w:eastAsia="Arial" w:hAnsi="Arial"/>
          <w:sz w:val="9"/>
          <w:szCs w:val="9"/>
          <w:color w:val="auto"/>
        </w:rPr>
      </w:pPr>
    </w:p>
    <w:p>
      <w:pPr>
        <w:ind w:left="180" w:right="120" w:hanging="10"/>
        <w:spacing w:after="0" w:line="236" w:lineRule="auto"/>
        <w:tabs>
          <w:tab w:leader="none" w:pos="302" w:val="left"/>
        </w:tabs>
        <w:numPr>
          <w:ilvl w:val="0"/>
          <w:numId w:val="62"/>
        </w:numPr>
        <w:rPr>
          <w:rFonts w:ascii="Arial" w:cs="Arial" w:eastAsia="Arial" w:hAnsi="Arial"/>
          <w:sz w:val="9"/>
          <w:szCs w:val="9"/>
          <w:color w:val="auto"/>
        </w:rPr>
      </w:pPr>
      <w:r>
        <w:rPr>
          <w:rFonts w:ascii="Arial" w:cs="Arial" w:eastAsia="Arial" w:hAnsi="Arial"/>
          <w:sz w:val="14"/>
          <w:szCs w:val="14"/>
          <w:color w:val="auto"/>
        </w:rPr>
        <w:t>Economic interest based on cash to be distributed. DGPV Holdco 1 LLC, DGPV Holdco 2 LLC, DGPV Holdco 3 LLC and RPV Holdco 1 LLC are tax equity structures and VIEs. The related allocations are described below.</w:t>
      </w:r>
    </w:p>
    <w:p>
      <w:pPr>
        <w:spacing w:after="0" w:line="7" w:lineRule="exact"/>
        <w:rPr>
          <w:rFonts w:ascii="Arial" w:cs="Arial" w:eastAsia="Arial" w:hAnsi="Arial"/>
          <w:sz w:val="9"/>
          <w:szCs w:val="9"/>
          <w:color w:val="auto"/>
        </w:rPr>
      </w:pPr>
    </w:p>
    <w:p>
      <w:pPr>
        <w:jc w:val="both"/>
        <w:ind w:left="180" w:hanging="10"/>
        <w:spacing w:after="0" w:line="215" w:lineRule="auto"/>
        <w:tabs>
          <w:tab w:leader="none" w:pos="320" w:val="left"/>
        </w:tabs>
        <w:numPr>
          <w:ilvl w:val="0"/>
          <w:numId w:val="62"/>
        </w:numPr>
        <w:rPr>
          <w:rFonts w:ascii="Arial" w:cs="Arial" w:eastAsia="Arial" w:hAnsi="Arial"/>
          <w:sz w:val="9"/>
          <w:szCs w:val="9"/>
          <w:color w:val="231F20"/>
        </w:rPr>
      </w:pPr>
      <w:r>
        <w:rPr>
          <w:rFonts w:ascii="Arial" w:cs="Arial" w:eastAsia="Arial" w:hAnsi="Arial"/>
          <w:sz w:val="14"/>
          <w:szCs w:val="14"/>
          <w:color w:val="231F20"/>
        </w:rPr>
        <w:t>Entities that have PPAs with PG&amp;E. On January 29, 2019, PG&amp;E filed for bankruptcy under Chapter 11 of the U.S. Bankruptcy Code. The Company has non-recourse project-level debt, and in some cases holding company debt, related to each of its subsidiaries that sell their output to PG&amp;E under long-term PPAs. The PG&amp;E Bankruptcy filing is an event of default under the related financing agreements, and as a result, the respective lenders under these arrangements may accelerate the repayment of these debt balances. In addition, the event of default may have an impact on the Company’s ability to distribute cash from the project-level cash accounts to the parent entities. The Company continues to operate the projects in the normal course of business and is currently in the process of negotiating forbearance agreements with the related lenders.</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and 2018, the Company had $138 million and $87 million, respectively, of undistributed earnings from its equity method investments.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In addition, the difference between the basis of the acquired assets and liabilities and the purchase price for the Utah Solar Portfolio (Four Brothers Solar, LLC, Granite Mountain Holdings, LLC and Iron Springs Holdings, LLC) of $106 million is attributable to the fair value of the property, plant and equipment. The Company is amortizing the related basis differences to equity in earnings over the related useful life of the underlying assets acquired.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Non-recourse project-level debt of unconsolidated affiliates</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Company's pro-rata share of non-recourse debt held by unconsolidated affiliates was $889 million as of December 31, 2019. This included $411 million attributable to Desert Sunlight, Agua Caliente Solar, and Avenal, the unconsolidated affiliates that sell output to PG&amp;E under long-term PPAs.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908" w:right="239" w:bottom="1440" w:gutter="0" w:footer="0" w:header="0"/>
        </w:sectPr>
      </w:pPr>
    </w:p>
    <w:bookmarkStart w:id="109" w:name="page110"/>
    <w:bookmarkEnd w:id="109"/>
    <w:p>
      <w:pPr>
        <w:ind w:left="420"/>
        <w:spacing w:after="0"/>
        <w:rPr>
          <w:sz w:val="20"/>
          <w:szCs w:val="20"/>
          <w:color w:val="auto"/>
        </w:rPr>
      </w:pPr>
      <w:r>
        <w:rPr>
          <w:rFonts w:ascii="Arial" w:cs="Arial" w:eastAsia="Arial" w:hAnsi="Arial"/>
          <w:sz w:val="18"/>
          <w:szCs w:val="18"/>
          <w:color w:val="auto"/>
        </w:rPr>
        <w:t>The following tables present summarized financial information for the Company's significant equity method investments:</w:t>
      </w: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020" w:type="dxa"/>
            <w:vAlign w:val="bottom"/>
          </w:tcPr>
          <w:p>
            <w:pPr>
              <w:spacing w:after="0"/>
              <w:rPr>
                <w:sz w:val="22"/>
                <w:szCs w:val="22"/>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6"/>
        </w:trPr>
        <w:tc>
          <w:tcPr>
            <w:tcW w:w="6020" w:type="dxa"/>
            <w:vAlign w:val="bottom"/>
          </w:tcPr>
          <w:p>
            <w:pPr>
              <w:ind w:left="40"/>
              <w:spacing w:after="0"/>
              <w:rPr>
                <w:sz w:val="20"/>
                <w:szCs w:val="20"/>
                <w:color w:val="auto"/>
              </w:rPr>
            </w:pPr>
            <w:r>
              <w:rPr>
                <w:rFonts w:ascii="Arial" w:cs="Arial" w:eastAsia="Arial" w:hAnsi="Arial"/>
                <w:sz w:val="17"/>
                <w:szCs w:val="17"/>
                <w:b w:val="1"/>
                <w:bCs w:val="1"/>
                <w:color w:val="auto"/>
              </w:rPr>
              <w:t>Income Statement Data:</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316"/>
              <w:spacing w:after="0"/>
              <w:rPr>
                <w:sz w:val="20"/>
                <w:szCs w:val="20"/>
                <w:color w:val="auto"/>
              </w:rPr>
            </w:pPr>
            <w:r>
              <w:rPr>
                <w:rFonts w:ascii="Arial" w:cs="Arial" w:eastAsia="Arial" w:hAnsi="Arial"/>
                <w:sz w:val="17"/>
                <w:szCs w:val="17"/>
                <w:b w:val="1"/>
                <w:bCs w:val="1"/>
                <w:color w:val="auto"/>
              </w:rPr>
              <w:t>(In millions)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GenConn</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color w:val="auto"/>
              </w:rPr>
              <w:t>Operating revenues</w:t>
            </w:r>
          </w:p>
        </w:tc>
        <w:tc>
          <w:tcPr>
            <w:tcW w:w="1060" w:type="dxa"/>
            <w:vAlign w:val="bottom"/>
          </w:tcPr>
          <w:p>
            <w:pPr>
              <w:jc w:val="right"/>
              <w:ind w:right="857"/>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56"/>
              <w:spacing w:after="0"/>
              <w:rPr>
                <w:sz w:val="20"/>
                <w:szCs w:val="20"/>
                <w:color w:val="auto"/>
              </w:rPr>
            </w:pPr>
            <w:r>
              <w:rPr>
                <w:rFonts w:ascii="Arial" w:cs="Arial" w:eastAsia="Arial" w:hAnsi="Arial"/>
                <w:sz w:val="17"/>
                <w:szCs w:val="17"/>
                <w:color w:val="auto"/>
              </w:rPr>
              <w:t>60</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16"/>
              <w:spacing w:after="0"/>
              <w:rPr>
                <w:sz w:val="20"/>
                <w:szCs w:val="20"/>
                <w:color w:val="auto"/>
              </w:rPr>
            </w:pPr>
            <w:r>
              <w:rPr>
                <w:rFonts w:ascii="Arial" w:cs="Arial" w:eastAsia="Arial" w:hAnsi="Arial"/>
                <w:sz w:val="17"/>
                <w:szCs w:val="17"/>
                <w:color w:val="auto"/>
              </w:rPr>
              <w:t>65</w:t>
            </w:r>
          </w:p>
        </w:tc>
        <w:tc>
          <w:tcPr>
            <w:tcW w:w="52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32</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1060" w:type="dxa"/>
            <w:vAlign w:val="bottom"/>
          </w:tcPr>
          <w:p>
            <w:pPr>
              <w:spacing w:after="0"/>
              <w:rPr>
                <w:sz w:val="20"/>
                <w:szCs w:val="20"/>
                <w:color w:val="auto"/>
              </w:rPr>
            </w:pPr>
          </w:p>
        </w:tc>
        <w:tc>
          <w:tcPr>
            <w:tcW w:w="500" w:type="dxa"/>
            <w:vAlign w:val="bottom"/>
          </w:tcPr>
          <w:p>
            <w:pPr>
              <w:jc w:val="right"/>
              <w:ind w:right="56"/>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Arial" w:cs="Arial" w:eastAsia="Arial" w:hAnsi="Arial"/>
                <w:sz w:val="17"/>
                <w:szCs w:val="17"/>
                <w:color w:val="auto"/>
              </w:rPr>
              <w:t>22</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Desert Sunlight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color w:val="auto"/>
              </w:rPr>
              <w:t>Operating revenues</w:t>
            </w:r>
          </w:p>
        </w:tc>
        <w:tc>
          <w:tcPr>
            <w:tcW w:w="1060" w:type="dxa"/>
            <w:vAlign w:val="bottom"/>
          </w:tcPr>
          <w:p>
            <w:pPr>
              <w:spacing w:after="0"/>
              <w:rPr>
                <w:sz w:val="20"/>
                <w:szCs w:val="20"/>
                <w:color w:val="auto"/>
              </w:rPr>
            </w:pPr>
          </w:p>
        </w:tc>
        <w:tc>
          <w:tcPr>
            <w:tcW w:w="500" w:type="dxa"/>
            <w:vAlign w:val="bottom"/>
          </w:tcPr>
          <w:p>
            <w:pPr>
              <w:jc w:val="right"/>
              <w:ind w:right="56"/>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Arial" w:cs="Arial" w:eastAsia="Arial" w:hAnsi="Arial"/>
                <w:sz w:val="17"/>
                <w:szCs w:val="17"/>
                <w:color w:val="auto"/>
              </w:rPr>
              <w:t>208</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129</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1060" w:type="dxa"/>
            <w:vAlign w:val="bottom"/>
          </w:tcPr>
          <w:p>
            <w:pPr>
              <w:spacing w:after="0"/>
              <w:rPr>
                <w:sz w:val="20"/>
                <w:szCs w:val="20"/>
                <w:color w:val="auto"/>
              </w:rPr>
            </w:pPr>
          </w:p>
        </w:tc>
        <w:tc>
          <w:tcPr>
            <w:tcW w:w="500" w:type="dxa"/>
            <w:vAlign w:val="bottom"/>
          </w:tcPr>
          <w:p>
            <w:pPr>
              <w:jc w:val="right"/>
              <w:ind w:right="56"/>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Arial" w:cs="Arial" w:eastAsia="Arial" w:hAnsi="Arial"/>
                <w:sz w:val="17"/>
                <w:szCs w:val="17"/>
                <w:color w:val="auto"/>
              </w:rPr>
              <w:t>84</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b w:val="1"/>
                <w:bCs w:val="1"/>
                <w:color w:val="auto"/>
              </w:rPr>
              <w:t xml:space="preserve">DGPV entities </w:t>
            </w:r>
            <w:r>
              <w:rPr>
                <w:rFonts w:ascii="Arial" w:cs="Arial" w:eastAsia="Arial" w:hAnsi="Arial"/>
                <w:sz w:val="28"/>
                <w:szCs w:val="28"/>
                <w:b w:val="1"/>
                <w:bCs w:val="1"/>
                <w:color w:val="auto"/>
                <w:vertAlign w:val="superscript"/>
              </w:rPr>
              <w:t>(a)</w:t>
            </w: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color w:val="auto"/>
              </w:rPr>
              <w:t>Operating revenues</w:t>
            </w:r>
          </w:p>
        </w:tc>
        <w:tc>
          <w:tcPr>
            <w:tcW w:w="1060" w:type="dxa"/>
            <w:vAlign w:val="bottom"/>
          </w:tcPr>
          <w:p>
            <w:pPr>
              <w:spacing w:after="0"/>
              <w:rPr>
                <w:sz w:val="20"/>
                <w:szCs w:val="20"/>
                <w:color w:val="auto"/>
              </w:rPr>
            </w:pPr>
          </w:p>
        </w:tc>
        <w:tc>
          <w:tcPr>
            <w:tcW w:w="500" w:type="dxa"/>
            <w:vAlign w:val="bottom"/>
          </w:tcPr>
          <w:p>
            <w:pPr>
              <w:jc w:val="right"/>
              <w:ind w:right="56"/>
              <w:spacing w:after="0"/>
              <w:rPr>
                <w:sz w:val="20"/>
                <w:szCs w:val="20"/>
                <w:color w:val="auto"/>
              </w:rPr>
            </w:pPr>
            <w:r>
              <w:rPr>
                <w:rFonts w:ascii="Arial" w:cs="Arial" w:eastAsia="Arial" w:hAnsi="Arial"/>
                <w:sz w:val="17"/>
                <w:szCs w:val="17"/>
                <w:color w:val="auto"/>
              </w:rPr>
              <w:t>77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Arial" w:cs="Arial" w:eastAsia="Arial" w:hAnsi="Arial"/>
                <w:sz w:val="17"/>
                <w:szCs w:val="17"/>
                <w:color w:val="auto"/>
              </w:rPr>
              <w:t>69</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23</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Arial" w:cs="Arial" w:eastAsia="Arial" w:hAnsi="Arial"/>
                <w:sz w:val="17"/>
                <w:szCs w:val="17"/>
                <w:color w:val="auto"/>
              </w:rPr>
              <w:t>11</w:t>
            </w: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(b)</w:t>
            </w: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1060" w:type="dxa"/>
            <w:vAlign w:val="bottom"/>
          </w:tcPr>
          <w:p>
            <w:pPr>
              <w:spacing w:after="0"/>
              <w:rPr>
                <w:sz w:val="21"/>
                <w:szCs w:val="21"/>
                <w:color w:val="auto"/>
              </w:rPr>
            </w:pPr>
          </w:p>
        </w:tc>
        <w:tc>
          <w:tcPr>
            <w:tcW w:w="500" w:type="dxa"/>
            <w:vAlign w:val="bottom"/>
          </w:tcPr>
          <w:p>
            <w:pPr>
              <w:jc w:val="right"/>
              <w:ind w:right="56"/>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116"/>
              <w:spacing w:after="0"/>
              <w:rPr>
                <w:sz w:val="20"/>
                <w:szCs w:val="20"/>
                <w:color w:val="auto"/>
              </w:rPr>
            </w:pPr>
            <w:r>
              <w:rPr>
                <w:rFonts w:ascii="Arial" w:cs="Arial" w:eastAsia="Arial" w:hAnsi="Arial"/>
                <w:sz w:val="16"/>
                <w:szCs w:val="16"/>
                <w:color w:val="auto"/>
              </w:rPr>
              <w:t>263</w:t>
            </w:r>
          </w:p>
        </w:tc>
        <w:tc>
          <w:tcPr>
            <w:tcW w:w="5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6"/>
                <w:szCs w:val="16"/>
                <w:color w:val="auto"/>
              </w:rPr>
              <w:t>103</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57"/>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56"/>
              <w:spacing w:after="0"/>
              <w:rPr>
                <w:sz w:val="20"/>
                <w:szCs w:val="20"/>
                <w:color w:val="auto"/>
              </w:rPr>
            </w:pPr>
            <w:r>
              <w:rPr>
                <w:rFonts w:ascii="Arial" w:cs="Arial" w:eastAsia="Arial" w:hAnsi="Arial"/>
                <w:sz w:val="16"/>
                <w:szCs w:val="16"/>
                <w:color w:val="auto"/>
              </w:rPr>
              <w:t>64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16"/>
              <w:spacing w:after="0"/>
              <w:rPr>
                <w:sz w:val="20"/>
                <w:szCs w:val="20"/>
                <w:color w:val="auto"/>
              </w:rPr>
            </w:pPr>
            <w:r>
              <w:rPr>
                <w:rFonts w:ascii="Arial" w:cs="Arial" w:eastAsia="Arial" w:hAnsi="Arial"/>
                <w:sz w:val="16"/>
                <w:szCs w:val="16"/>
                <w:color w:val="auto"/>
              </w:rPr>
              <w:t>75</w:t>
            </w:r>
          </w:p>
        </w:tc>
        <w:tc>
          <w:tcPr>
            <w:tcW w:w="520" w:type="dxa"/>
            <w:vAlign w:val="bottom"/>
          </w:tcPr>
          <w:p>
            <w:pPr>
              <w:jc w:val="right"/>
              <w:ind w:right="317"/>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940" w:type="dxa"/>
            <w:vAlign w:val="bottom"/>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3"/>
          </w:tcPr>
          <w:p>
            <w:pPr>
              <w:jc w:val="right"/>
              <w:ind w:right="776"/>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96"/>
              <w:spacing w:after="0"/>
              <w:rPr>
                <w:sz w:val="20"/>
                <w:szCs w:val="20"/>
                <w:color w:val="auto"/>
              </w:rPr>
            </w:pPr>
            <w:r>
              <w:rPr>
                <w:rFonts w:ascii="Arial" w:cs="Arial" w:eastAsia="Arial" w:hAnsi="Arial"/>
                <w:sz w:val="17"/>
                <w:szCs w:val="17"/>
                <w:b w:val="1"/>
                <w:bCs w:val="1"/>
                <w:color w:val="auto"/>
              </w:rPr>
              <w:t>2019</w:t>
            </w:r>
          </w:p>
        </w:tc>
        <w:tc>
          <w:tcPr>
            <w:tcW w:w="520" w:type="dxa"/>
            <w:vAlign w:val="bottom"/>
          </w:tcPr>
          <w:p>
            <w:pPr>
              <w:spacing w:after="0"/>
              <w:rPr>
                <w:sz w:val="20"/>
                <w:szCs w:val="20"/>
                <w:color w:val="auto"/>
              </w:rPr>
            </w:pPr>
          </w:p>
        </w:tc>
        <w:tc>
          <w:tcPr>
            <w:tcW w:w="1020" w:type="dxa"/>
            <w:vAlign w:val="bottom"/>
          </w:tcPr>
          <w:p>
            <w:pPr>
              <w:jc w:val="right"/>
              <w:ind w:right="496"/>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31"/>
        </w:trPr>
        <w:tc>
          <w:tcPr>
            <w:tcW w:w="602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Balance Sheet Data:</w:t>
            </w: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0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17"/>
              <w:spacing w:after="0"/>
              <w:rPr>
                <w:sz w:val="20"/>
                <w:szCs w:val="20"/>
                <w:color w:val="auto"/>
              </w:rPr>
            </w:pPr>
            <w:r>
              <w:rPr>
                <w:rFonts w:ascii="Arial" w:cs="Arial" w:eastAsia="Arial" w:hAnsi="Arial"/>
                <w:sz w:val="17"/>
                <w:szCs w:val="17"/>
                <w:b w:val="1"/>
                <w:bCs w:val="1"/>
                <w:color w:val="auto"/>
              </w:rPr>
              <w:t>(In millions)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GenConn</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color w:val="auto"/>
              </w:rPr>
              <w:t>Current assets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16"/>
              <w:spacing w:after="0"/>
              <w:rPr>
                <w:sz w:val="20"/>
                <w:szCs w:val="20"/>
                <w:color w:val="auto"/>
              </w:rPr>
            </w:pPr>
            <w:r>
              <w:rPr>
                <w:rFonts w:ascii="Arial" w:cs="Arial" w:eastAsia="Arial" w:hAnsi="Arial"/>
                <w:sz w:val="17"/>
                <w:szCs w:val="17"/>
                <w:color w:val="auto"/>
              </w:rPr>
              <w:t>37</w:t>
            </w:r>
          </w:p>
        </w:tc>
        <w:tc>
          <w:tcPr>
            <w:tcW w:w="52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342</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color w:val="auto"/>
              </w:rPr>
              <w:t>Current liabilities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Arial" w:cs="Arial" w:eastAsia="Arial" w:hAnsi="Arial"/>
                <w:sz w:val="17"/>
                <w:szCs w:val="17"/>
                <w:color w:val="auto"/>
              </w:rPr>
              <w:t>16</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176</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b w:val="1"/>
                <w:bCs w:val="1"/>
                <w:color w:val="auto"/>
              </w:rPr>
              <w:t>Desert Sunlight</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209</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color w:val="auto"/>
              </w:rPr>
              <w:t>Non-current assets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Arial" w:cs="Arial" w:eastAsia="Arial" w:hAnsi="Arial"/>
                <w:sz w:val="17"/>
                <w:szCs w:val="17"/>
                <w:color w:val="auto"/>
              </w:rPr>
              <w:t>1,296</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1,298</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545</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color w:val="auto"/>
              </w:rPr>
              <w:t>Non-current liabilities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Arial" w:cs="Arial" w:eastAsia="Arial" w:hAnsi="Arial"/>
                <w:sz w:val="17"/>
                <w:szCs w:val="17"/>
                <w:color w:val="auto"/>
              </w:rPr>
              <w:t>484</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962</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b w:val="1"/>
                <w:bCs w:val="1"/>
                <w:color w:val="auto"/>
              </w:rPr>
              <w:t xml:space="preserve">DGPV entities </w:t>
            </w:r>
            <w:r>
              <w:rPr>
                <w:rFonts w:ascii="Arial" w:cs="Arial" w:eastAsia="Arial" w:hAnsi="Arial"/>
                <w:sz w:val="28"/>
                <w:szCs w:val="28"/>
                <w:b w:val="1"/>
                <w:bCs w:val="1"/>
                <w:color w:val="auto"/>
                <w:vertAlign w:val="superscript"/>
              </w:rPr>
              <w:t>(a)</w:t>
            </w: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color w:val="auto"/>
              </w:rPr>
              <w:t>Current assets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Arial" w:cs="Arial" w:eastAsia="Arial" w:hAnsi="Arial"/>
                <w:sz w:val="17"/>
                <w:szCs w:val="17"/>
                <w:color w:val="auto"/>
              </w:rPr>
              <w:t>84</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898</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784</w:t>
            </w: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color w:val="auto"/>
              </w:rPr>
              <w:t>Current liabilities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Arial" w:cs="Arial" w:eastAsia="Arial" w:hAnsi="Arial"/>
                <w:sz w:val="17"/>
                <w:szCs w:val="17"/>
                <w:color w:val="auto"/>
              </w:rPr>
              <w:t>42</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411</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39"/>
        </w:trPr>
        <w:tc>
          <w:tcPr>
            <w:tcW w:w="6020" w:type="dxa"/>
            <w:vAlign w:val="bottom"/>
          </w:tcPr>
          <w:p>
            <w:pPr>
              <w:ind w:left="40"/>
              <w:spacing w:after="0"/>
              <w:rPr>
                <w:sz w:val="20"/>
                <w:szCs w:val="20"/>
                <w:color w:val="auto"/>
              </w:rPr>
            </w:pPr>
            <w:r>
              <w:rPr>
                <w:rFonts w:ascii="Arial" w:cs="Arial" w:eastAsia="Arial" w:hAnsi="Arial"/>
                <w:sz w:val="17"/>
                <w:szCs w:val="17"/>
                <w:color w:val="auto"/>
              </w:rPr>
              <w:t>Redeemable Noncontrolling Interest</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6"/>
              <w:spacing w:after="0"/>
              <w:rPr>
                <w:sz w:val="20"/>
                <w:szCs w:val="20"/>
                <w:color w:val="auto"/>
              </w:rPr>
            </w:pPr>
            <w:r>
              <w:rPr>
                <w:rFonts w:ascii="Arial" w:cs="Arial" w:eastAsia="Arial" w:hAnsi="Arial"/>
                <w:sz w:val="17"/>
                <w:szCs w:val="17"/>
                <w:color w:val="auto"/>
              </w:rPr>
              <w:t>(1)</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(b)</w:t>
            </w: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116"/>
              <w:spacing w:after="0"/>
              <w:rPr>
                <w:sz w:val="20"/>
                <w:szCs w:val="20"/>
                <w:color w:val="auto"/>
              </w:rPr>
            </w:pPr>
            <w:r>
              <w:rPr>
                <w:rFonts w:ascii="Arial" w:cs="Arial" w:eastAsia="Arial" w:hAnsi="Arial"/>
                <w:sz w:val="16"/>
                <w:szCs w:val="16"/>
                <w:color w:val="auto"/>
              </w:rPr>
              <w:t>195</w:t>
            </w:r>
          </w:p>
        </w:tc>
        <w:tc>
          <w:tcPr>
            <w:tcW w:w="5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6"/>
                <w:szCs w:val="16"/>
                <w:color w:val="auto"/>
              </w:rPr>
              <w:t>2,514</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2,684</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116"/>
              <w:spacing w:after="0"/>
              <w:rPr>
                <w:sz w:val="20"/>
                <w:szCs w:val="20"/>
                <w:color w:val="auto"/>
              </w:rPr>
            </w:pPr>
            <w:r>
              <w:rPr>
                <w:rFonts w:ascii="Arial" w:cs="Arial" w:eastAsia="Arial" w:hAnsi="Arial"/>
                <w:sz w:val="16"/>
                <w:szCs w:val="16"/>
                <w:color w:val="auto"/>
              </w:rPr>
              <w:t>767</w:t>
            </w:r>
          </w:p>
        </w:tc>
        <w:tc>
          <w:tcPr>
            <w:tcW w:w="5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0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6"/>
                <w:szCs w:val="16"/>
                <w:color w:val="auto"/>
              </w:rPr>
              <w:t>89</w:t>
            </w:r>
          </w:p>
        </w:tc>
        <w:tc>
          <w:tcPr>
            <w:tcW w:w="520" w:type="dxa"/>
            <w:vAlign w:val="bottom"/>
            <w:shd w:val="clear" w:color="auto" w:fill="CCEEFF"/>
          </w:tcPr>
          <w:p>
            <w:pPr>
              <w:jc w:val="right"/>
              <w:ind w:right="317"/>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7"/>
        </w:trPr>
        <w:tc>
          <w:tcPr>
            <w:tcW w:w="60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300355</wp:posOffset>
            </wp:positionV>
            <wp:extent cx="13633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540" w:hanging="127"/>
        <w:spacing w:after="0"/>
        <w:tabs>
          <w:tab w:leader="none" w:pos="540" w:val="left"/>
        </w:tabs>
        <w:numPr>
          <w:ilvl w:val="0"/>
          <w:numId w:val="63"/>
        </w:numPr>
        <w:rPr>
          <w:rFonts w:ascii="Arial" w:cs="Arial" w:eastAsia="Arial" w:hAnsi="Arial"/>
          <w:sz w:val="9"/>
          <w:szCs w:val="9"/>
          <w:color w:val="auto"/>
        </w:rPr>
      </w:pPr>
      <w:r>
        <w:rPr>
          <w:rFonts w:ascii="Arial" w:cs="Arial" w:eastAsia="Arial" w:hAnsi="Arial"/>
          <w:sz w:val="14"/>
          <w:szCs w:val="14"/>
          <w:color w:val="auto"/>
        </w:rPr>
        <w:t>Includes DGPV Holdco 1, DGPV Holdco 2 and DGPV Holdco 3</w:t>
      </w:r>
    </w:p>
    <w:p>
      <w:pPr>
        <w:ind w:left="540" w:hanging="127"/>
        <w:spacing w:after="0"/>
        <w:tabs>
          <w:tab w:leader="none" w:pos="540" w:val="left"/>
        </w:tabs>
        <w:numPr>
          <w:ilvl w:val="0"/>
          <w:numId w:val="63"/>
        </w:numPr>
        <w:rPr>
          <w:rFonts w:ascii="Arial" w:cs="Arial" w:eastAsia="Arial" w:hAnsi="Arial"/>
          <w:sz w:val="9"/>
          <w:szCs w:val="9"/>
          <w:color w:val="auto"/>
        </w:rPr>
      </w:pPr>
      <w:r>
        <w:rPr>
          <w:rFonts w:ascii="Arial" w:cs="Arial" w:eastAsia="Arial" w:hAnsi="Arial"/>
          <w:sz w:val="14"/>
          <w:szCs w:val="14"/>
          <w:color w:val="auto"/>
        </w:rPr>
        <w:t>Includes Agua Caliente, Elkhorn Ridge, RPV Holdco 1, Utah Solar Portfolio and San Juan Mesa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or VIEs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and are further described below.</w:t>
      </w:r>
    </w:p>
    <w:p>
      <w:pPr>
        <w:spacing w:after="0" w:line="12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 xml:space="preserve">Kawailoa Partnership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31, 2018, the Company entered into an agreement with Clearway Renew LLC, a subsidiary of CEG, to acquire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Class A membership interests in the Kawailoa Solar Partnership LLC, or Kawailoa Partnership, for $9 million in cash consideration. The purpose of the partnership is to own, finance, operate, and maintain the Kawailoa Solar</w:t>
      </w:r>
    </w:p>
    <w:p>
      <w:pPr>
        <w:sectPr>
          <w:pgSz w:w="11900" w:h="16838" w:orient="portrait"/>
          <w:cols w:equalWidth="0" w:num="1">
            <w:col w:w="11420"/>
          </w:cols>
          <w:pgMar w:left="240" w:top="908" w:right="239" w:bottom="0" w:gutter="0" w:footer="0" w:header="0"/>
        </w:sectPr>
      </w:pPr>
    </w:p>
    <w:bookmarkStart w:id="110" w:name="page111"/>
    <w:bookmarkEnd w:id="110"/>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9019"/>
          </w:cols>
          <w:pgMar w:left="1440" w:top="341" w:right="1440" w:bottom="1440" w:gutter="0" w:footer="0" w:header="0"/>
        </w:sectPr>
      </w:pPr>
    </w:p>
    <w:bookmarkStart w:id="111" w:name="page112"/>
    <w:bookmarkEnd w:id="111"/>
    <w:p>
      <w:pPr>
        <w:jc w:val="both"/>
        <w:spacing w:after="0" w:line="269" w:lineRule="auto"/>
        <w:rPr>
          <w:sz w:val="20"/>
          <w:szCs w:val="20"/>
          <w:color w:val="auto"/>
        </w:rPr>
      </w:pPr>
      <w:r>
        <w:rPr>
          <w:rFonts w:ascii="Arial" w:cs="Arial" w:eastAsia="Arial" w:hAnsi="Arial"/>
          <w:sz w:val="17"/>
          <w:szCs w:val="17"/>
          <w:color w:val="auto"/>
        </w:rPr>
        <w:t>project, a 49 MW utility-scale solar generation project, an indirect subsidiary of the Kawailoa Partnership, located in Oahu, Hawaii. The Kawailoa Solar project is contracted to sell power under a 22-year PPA with Hawaiian Electric Company, or HECO. The Kawailoa Solar project is 51% owned by the Kawailoa Partnership, with the remaining 49% owned by a third-party investor. The Kawailoa Partnership consolidates the Kawailoa Solar project through its controlling majority interest. On May 7, 2019, the Company made an initial capital contribution of $2 million, which represents 20% of its total anticipated capital contributions. The Company assumed non-recourse debt of $120 million, as further described in Note 10</w:t>
      </w:r>
      <w:r>
        <w:rPr>
          <w:rFonts w:ascii="Arial" w:cs="Arial" w:eastAsia="Arial" w:hAnsi="Arial"/>
          <w:sz w:val="17"/>
          <w:szCs w:val="17"/>
          <w:i w:val="1"/>
          <w:iCs w:val="1"/>
          <w:color w:val="auto"/>
        </w:rPr>
        <w:t>, Long-term Debt,</w:t>
      </w:r>
      <w:r>
        <w:rPr>
          <w:rFonts w:ascii="Arial" w:cs="Arial" w:eastAsia="Arial" w:hAnsi="Arial"/>
          <w:sz w:val="17"/>
          <w:szCs w:val="17"/>
          <w:color w:val="auto"/>
        </w:rPr>
        <w:t xml:space="preserve"> and non-controlling interests attributable to third parties in the amount of $21 million. Effective May 1, 2019, the Company, as a Class A member, is the primary beneficiary through its position as managing member and consolidates Kawailoa Partnership. Allocations of income and taxable items are equal to the distributions of available cash, which is currently 95% to the Company and 5% to Clearway Renew LLC. The Company's acquisition of the Class A membership interests in the Kawailoa Partnership was accounted for as a transfer of assets under common control and was recorded at historical cost in accordance with ASC 805-50, </w:t>
      </w:r>
      <w:r>
        <w:rPr>
          <w:rFonts w:ascii="Arial" w:cs="Arial" w:eastAsia="Arial" w:hAnsi="Arial"/>
          <w:sz w:val="17"/>
          <w:szCs w:val="17"/>
          <w:i w:val="1"/>
          <w:iCs w:val="1"/>
          <w:color w:val="auto"/>
        </w:rPr>
        <w:t xml:space="preserve">Business Combinations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Related Issues</w:t>
      </w:r>
      <w:r>
        <w:rPr>
          <w:rFonts w:ascii="Arial" w:cs="Arial" w:eastAsia="Arial" w:hAnsi="Arial"/>
          <w:sz w:val="17"/>
          <w:szCs w:val="17"/>
          <w:color w:val="auto"/>
        </w:rPr>
        <w:t>. The difference between the cash paid and payable recorded and the historical value of the assets was recorded as a</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to CEG and decreased the balance of its noncontrolling interest.</w:t>
      </w:r>
    </w:p>
    <w:p>
      <w:pPr>
        <w:spacing w:after="0" w:line="1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reaching COD in November of 2019, the Kawailoa Solar project's fixed assets were placed in service and began to depreciate. On December 22, 2019, Kawailoa Solar Holdings LLC, a tax equity fund, received its final equity contribution of $61 million. The proceeds were utilized to repay the ITC bridge loan in the amount of $57 million, and the construction debt was converted to term debt (and upsized, with an additional $5 million drawn). Distributions were paid to the third-party investor and Clearway Renew LLC, funded by the excess of the tax equity investment and the term loan upsizing above the amount of the bridge loan repayment and related fees. On December 27, 2019, the Company made its substantial completion contribution of $7 million into the Kawailoa Partnership, which was also utilized to make a distribution to Clearway Renew LLC. In addition, the Company started applying HLBV to allocate income attributable to the tax equity investor during the fourth quarter. The Company recorded $14 million of loss attributable to noncontrolling interest during the period ended December 31, 2019.</w:t>
      </w:r>
    </w:p>
    <w:p>
      <w:pPr>
        <w:spacing w:after="0" w:line="13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Oahu Partnership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31, 2018, the Company entered into an agreement with Clearway Renew LLC, a subsidiary of CEG, to acquire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Class A membership interests in the Zephyr Oahu Partnership LLC, or Oahu Partnership, for $20 million in cash consideration. The purpose of the partnership is to own, finance, operate, and maintain the Oahu Solar projects, which consist of Lanikuhana and Waipio, utility-scale solar generation projects which represent 15 MW and 46 MW, respectively, the indirect subsidiaries of the Oahu Partnership, located in Oahu, Hawaii. The Oahu Solar projects are contracted to sell power under a 22-year PPA with HECO. The Oahu Partnership consolidates the Oahu Solar projects through its controlling majority interest. On March 8, 2019, the Company made an initial capital contribution of $4 million, which represents 20% of its total anticipated capital contributions. The Company also assumed non-recourse debt of $143 million, as further described in Item 15 </w:t>
      </w:r>
      <w:r>
        <w:rPr>
          <w:rFonts w:ascii="Arial" w:cs="Arial" w:eastAsia="Arial" w:hAnsi="Arial"/>
          <w:sz w:val="17"/>
          <w:szCs w:val="17"/>
          <w:b w:val="1"/>
          <w:bCs w:val="1"/>
          <w:color w:val="auto"/>
        </w:rPr>
        <w:t>—</w:t>
      </w:r>
      <w:r>
        <w:rPr>
          <w:rFonts w:ascii="Arial" w:cs="Arial" w:eastAsia="Arial" w:hAnsi="Arial"/>
          <w:sz w:val="17"/>
          <w:szCs w:val="17"/>
          <w:color w:val="auto"/>
        </w:rPr>
        <w:t xml:space="preserve"> Note 10</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and $18 million of non-controlling interest attributable to a tax equity investor's initial contribution. Effective March 8, 2019, the Company, as a Class A member, is the primary beneficiary through its position as managing member and consolidates Oahu Partnership. Allocations of income and taxable items are equal to the distributions of available cash, which is currently 95% to the Company and 5% to Clearway Renew LLC. The Company's acquisition of the Class A membership interests in the Oahu Partnership was accounted for as a transfer of assets under common control and was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and payable recorded and the historical value of the assets was recorded as a contribution from CEG and increased the balance of its noncontrolling interest.</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reaching COD in September 2019, the Oahu Solar projects' fixed assets were placed in service and began to depreciate and on November 12, 2019 the tax equity investor made its final tax-equity contribution of $71 million. The proceeds were utilized to repay the related ITC bridge loan in the amount of $67 million, and the construction loan was converted to term debt. The Company paid the remaining 80% of the equity commitment in the amount of $16 million to Clearway Renew LLC when the Oahu Solar projects reached certain milestones in December 2019. In addition, the Company started applying HLBV to allocate income attributable to the tax equity investor during the third quarter. The Company recorded $32 million of loss attributable to noncontrolling interest during the period ended December 31, 2019.</w:t>
      </w:r>
    </w:p>
    <w:p>
      <w:pPr>
        <w:spacing w:after="0" w:line="13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i w:val="1"/>
          <w:iCs w:val="1"/>
          <w:color w:val="auto"/>
        </w:rPr>
        <w:t xml:space="preserve">Repowering Partnership II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30, 2018, Wind TE Holdco, an indirect subsidiary of the Company, formed Repowering Partnership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with Clearway 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 Wind TE Holdco is the managing member of the partnership and consolidates the entity, which is a VIE. Clearway Renew LLC is initially entitled to allocations of 21% of income, which is reflected in Wind TE Holdco’s noncontrolling interests.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14, 2019, Repowering Partnership LLC was replaced with Repowering Partnership II LLC as the owner of the Elbow Creek and Wildorado Wind projects, as well as Repowering Partnership Holdco LLC, which concurrently entered into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908"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financing agreement for construction debt of total commitment of $352 million, as further described in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10,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Repowering of the Elbow Creek project was completed and on November 26, 2019, a third party tax equity investor purchased 100% of the Class A membership interests in Elbow Creek Repowering Tax Equity Holdco LLC, or Elbow TE Holdco, for $89 million pursuant to a membership interest purchase agreement dated June 14, 2019. The Company also contributed $4 million. In connection with the completion of the Elbow Creek repowering, the construction loan of $93 million was repaid with the proceeds from the tax equity investor. The Company began applying HLBV during the fourth quarter to allocate income between the partners of Elbow TE Holdco. In connection with the closing, the allocations of income at Repowering Partnership II LLC (which indirectly consolidates both projects) changed to 59.63% for Wind TE Holdco LLC (the Company member) and 40.37% for CWSP Wildorado Elbow Holding LLC (the CEG member). In addition, approximately half of the repowered Wildorado equipment was placed in service in December 2019, with the remaining equipment being placed in service in January of 2020. In connection with repowering of the projects, the Company revised the remaining useful life of the property, plant and equipment, that was replaced, resulting in additional expense of $54 million during the year ended December 31, 2019 related to accelerated depreciation.</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February 7, 2020, the same third party tax equity investor purchased 100% of the Class A membership interests in Wildorado Repowering tax equity Holdco LLC, or Wildorado Holdco LLC, for $148 million. The Company also contributed $112 million. The repowering of the Elbow Creek and Wildorado assets is being referred to as Repowering 1.0 in Item 7 — </w:t>
      </w:r>
      <w:r>
        <w:rPr>
          <w:rFonts w:ascii="Arial" w:cs="Arial" w:eastAsia="Arial" w:hAnsi="Arial"/>
          <w:sz w:val="18"/>
          <w:szCs w:val="18"/>
          <w:i w:val="1"/>
          <w:iCs w:val="1"/>
          <w:color w:val="auto"/>
        </w:rPr>
        <w:t>Management's Discussion and Analysis of Financial Condition and the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p>
    <w:p>
      <w:pPr>
        <w:spacing w:after="0" w:line="1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Buckthorn Renewables,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described in Item 15</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March 30, 2018, the Company acquired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 of NRG’s interest in a 154 MW construction-stage utility-scale solar generation project, Buckthorn Renewables, LLC, which owns 100% interest in Buckthorn Solar Portfolio, LLC, which in turn owns 100% of the Class B membership interests in Buckthorn Holdings, LLC.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 is a tax equity investor who made its initial contribution of $19 million on March 30, 2018, which is reflected as noncontrolling interest on the Company's consolidated balance sheet. The project achieved substantial completion in May 2018, at which time the remaining tax equity contributions of $80 million were funded. The Company utilizes the HLBV method for loss or income allocation to the tax equity investor's noncontrolling interest. The Company recorded $25 million of income attributable to noncontrolling interest in Buckthorn Renewables, LLC during the period ended December 31, 2019.</w:t>
      </w:r>
    </w:p>
    <w:p>
      <w:pPr>
        <w:spacing w:after="0" w:line="10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 xml:space="preserve">Wind TE Holdco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2018, Wind TE Holdco was a VIE and the Company, as the holder of Class B shares and the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beneficiary through its position as managing member consolidated Wind TE Holdco. The Class A shares of Wind TE Holdco were owned by a tax equity investor, who received 99% of allocations of taxable income and other items.</w:t>
      </w:r>
    </w:p>
    <w:p>
      <w:pPr>
        <w:spacing w:after="0" w:line="1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January 2, 2019, the Company bought out 100% of the Class A membership interests from the TE Investor, for cash consideration of $19 million. The Company recorded the difference between the value of the interest bought and the cash received to equity and allocated it between non-controlling interest and additional paid in capital based on the economic ownership interest between CEG and public interest as of January 2, 2019.</w:t>
      </w:r>
    </w:p>
    <w:p>
      <w:pPr>
        <w:spacing w:after="0" w:line="10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Alta TE Holdco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30, 2015, the Company sold an economic interest in Alta TE Holdco to a financial institution in order to monetize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cash and tax attributes, primarily PTCs. The financial institution, or Alta Investor, receives 99% of allocations of taxable income and other items until the flip point, which occurs when the Alta Investor obtains a specified return on its initial investment, at which time the allocations to the Alta Investor change to 5%. The Company receives 94.34% until the flip point, at which time the allocations to the Company of CAFD will change to 97.12%, unless the flip point will not have occurred by a specified date, which would result in 100% of CAFD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w:t>
      </w:r>
    </w:p>
    <w:p>
      <w:pPr>
        <w:spacing w:after="0" w:line="13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Spring Canyon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holds 90.1% of the Class B interests in Spring Canyon II, a 32 MW wind facility, and Spring Canyon III, a 28 MW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wind facility, each located in Logan County, Colorado, and Invenergy Wind Global LLC owns 9.9% of the Class B interests. The projects are financed with a partnership flip tax-equity structure with a financial institution, who owns the Class A interests, to monetize certain cash and tax attributes, primarily PTCs. Until the flip point, the Class A member receives a variable percentage of cash distributions based on the projects’ production level during the prior year. The Class A member received 34.81% of the cash distributions and the Company and Invenergy received 65.19% during the period ended December 31, 2017. After the flip point, cash distributions are allocated 5% to the Class A member and 95% to the Company and Invenergy. Spring Canyon is a VIE and the Company is the primary beneficiary through its position as managing member, and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904" w:right="239" w:bottom="1440" w:gutter="0" w:footer="0" w:header="0"/>
        </w:sectPr>
      </w:pPr>
    </w:p>
    <w:bookmarkStart w:id="113" w:name="page114"/>
    <w:bookmarkEnd w:id="113"/>
    <w:p>
      <w:pPr>
        <w:jc w:val="both"/>
        <w:spacing w:after="0" w:line="264" w:lineRule="auto"/>
        <w:rPr>
          <w:sz w:val="20"/>
          <w:szCs w:val="20"/>
          <w:color w:val="auto"/>
        </w:rPr>
      </w:pPr>
      <w:r>
        <w:rPr>
          <w:rFonts w:ascii="Arial" w:cs="Arial" w:eastAsia="Arial" w:hAnsi="Arial"/>
          <w:sz w:val="18"/>
          <w:szCs w:val="18"/>
          <w:color w:val="auto"/>
        </w:rPr>
        <w:t>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December 31, 2019:</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Oahu Solar</w:t>
            </w:r>
          </w:p>
        </w:tc>
        <w:tc>
          <w:tcPr>
            <w:tcW w:w="260" w:type="dxa"/>
            <w:vAlign w:val="bottom"/>
          </w:tcPr>
          <w:p>
            <w:pPr>
              <w:spacing w:after="0"/>
              <w:rPr>
                <w:sz w:val="14"/>
                <w:szCs w:val="14"/>
                <w:color w:val="auto"/>
              </w:rPr>
            </w:pPr>
          </w:p>
        </w:tc>
        <w:tc>
          <w:tcPr>
            <w:tcW w:w="10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Kawailoa</w:t>
            </w:r>
          </w:p>
        </w:tc>
        <w:tc>
          <w:tcPr>
            <w:tcW w:w="2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Repowering</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Buckthorn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Partnership II</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Alta TE Holdco</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Spring Canyon</w:t>
            </w:r>
          </w:p>
        </w:tc>
        <w:tc>
          <w:tcPr>
            <w:tcW w:w="14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1"/>
              </w:rPr>
              <w:t>Renewables,</w:t>
            </w:r>
          </w:p>
        </w:tc>
        <w:tc>
          <w:tcPr>
            <w:tcW w:w="260" w:type="dxa"/>
            <w:vAlign w:val="bottom"/>
          </w:tcPr>
          <w:p>
            <w:pPr>
              <w:spacing w:after="0"/>
              <w:rPr>
                <w:sz w:val="12"/>
                <w:szCs w:val="12"/>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Other (a)</w:t>
            </w:r>
          </w:p>
        </w:tc>
        <w:tc>
          <w:tcPr>
            <w:tcW w:w="0" w:type="dxa"/>
            <w:vAlign w:val="bottom"/>
          </w:tcPr>
          <w:p>
            <w:pPr>
              <w:spacing w:after="0"/>
              <w:rPr>
                <w:sz w:val="1"/>
                <w:szCs w:val="1"/>
                <w:color w:val="auto"/>
              </w:rPr>
            </w:pPr>
          </w:p>
        </w:tc>
      </w:tr>
      <w:tr>
        <w:trPr>
          <w:trHeight w:val="192"/>
        </w:trPr>
        <w:tc>
          <w:tcPr>
            <w:tcW w:w="3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Partnership</w:t>
            </w:r>
          </w:p>
        </w:tc>
        <w:tc>
          <w:tcPr>
            <w:tcW w:w="260" w:type="dxa"/>
            <w:vAlign w:val="bottom"/>
          </w:tcPr>
          <w:p>
            <w:pPr>
              <w:spacing w:after="0"/>
              <w:rPr>
                <w:sz w:val="16"/>
                <w:szCs w:val="16"/>
                <w:color w:val="auto"/>
              </w:rPr>
            </w:pPr>
          </w:p>
        </w:tc>
        <w:tc>
          <w:tcPr>
            <w:tcW w:w="100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Partnership</w:t>
            </w:r>
          </w:p>
        </w:tc>
        <w:tc>
          <w:tcPr>
            <w:tcW w:w="2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140" w:type="dxa"/>
            <w:vAlign w:val="bottom"/>
            <w:gridSpan w:val="3"/>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95"/>
              <w:spacing w:after="0"/>
              <w:rPr>
                <w:sz w:val="20"/>
                <w:szCs w:val="20"/>
                <w:color w:val="auto"/>
              </w:rPr>
            </w:pPr>
            <w:r>
              <w:rPr>
                <w:rFonts w:ascii="Arial" w:cs="Arial" w:eastAsia="Arial" w:hAnsi="Arial"/>
                <w:sz w:val="14"/>
                <w:szCs w:val="14"/>
                <w:b w:val="1"/>
                <w:bCs w:val="1"/>
                <w:color w:val="auto"/>
              </w:rPr>
              <w:t>LLC</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0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215</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171</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220</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109</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08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120</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109</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080" w:type="dxa"/>
            <w:vAlign w:val="bottom"/>
          </w:tcPr>
          <w:p>
            <w:pPr>
              <w:ind w:left="480"/>
              <w:spacing w:after="0"/>
              <w:rPr>
                <w:sz w:val="20"/>
                <w:szCs w:val="20"/>
                <w:color w:val="auto"/>
              </w:rPr>
            </w:pPr>
            <w:r>
              <w:rPr>
                <w:rFonts w:ascii="Arial" w:cs="Arial" w:eastAsia="Arial" w:hAnsi="Arial"/>
                <w:sz w:val="18"/>
                <w:szCs w:val="18"/>
                <w:color w:val="auto"/>
              </w:rPr>
              <w:t>Net assets less noncontrolling</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8"/>
                <w:szCs w:val="18"/>
                <w:color w:val="auto"/>
              </w:rPr>
              <w:t>53</w:t>
            </w: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8"/>
                <w:szCs w:val="18"/>
                <w:color w:val="auto"/>
              </w:rPr>
            </w:pPr>
          </w:p>
        </w:tc>
        <w:tc>
          <w:tcPr>
            <w:tcW w:w="4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143</w:t>
            </w: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2"/>
        </w:trPr>
        <w:tc>
          <w:tcPr>
            <w:tcW w:w="3080" w:type="dxa"/>
            <w:vAlign w:val="bottom"/>
          </w:tcPr>
          <w:p>
            <w:pPr>
              <w:ind w:left="48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30099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120" w:firstLine="8"/>
        <w:spacing w:after="0" w:line="227" w:lineRule="auto"/>
        <w:tabs>
          <w:tab w:leader="none" w:pos="185" w:val="left"/>
        </w:tabs>
        <w:numPr>
          <w:ilvl w:val="0"/>
          <w:numId w:val="64"/>
        </w:numPr>
        <w:rPr>
          <w:rFonts w:ascii="Arial" w:cs="Arial" w:eastAsia="Arial" w:hAnsi="Arial"/>
          <w:sz w:val="21"/>
          <w:szCs w:val="21"/>
          <w:color w:val="auto"/>
          <w:vertAlign w:val="superscript"/>
        </w:rPr>
      </w:pPr>
      <w:r>
        <w:rPr>
          <w:rFonts w:ascii="Arial" w:cs="Arial" w:eastAsia="Arial" w:hAnsi="Arial"/>
          <w:sz w:val="14"/>
          <w:szCs w:val="14"/>
          <w:color w:val="auto"/>
        </w:rPr>
        <w:t>Other is comprised of Crosswinds and Hardin projects, that were determined to be VIEs during the year ended December 31, 2019. Previously reported as part of Wind TE Holdco that is no longer a VIE in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Company has interests in entities that are considered VIEs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but for which it is not considered the primary beneficiary. The Company accounts for its interests in these entities under the equity method of accounting.</w:t>
      </w:r>
    </w:p>
    <w:p>
      <w:pPr>
        <w:spacing w:after="0" w:line="1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Utah Solar Portfolio Assets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described in Item 15</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 Acquisitions</w:t>
      </w:r>
      <w:r>
        <w:rPr>
          <w:rFonts w:ascii="Arial" w:cs="Arial" w:eastAsia="Arial" w:hAnsi="Arial"/>
          <w:sz w:val="17"/>
          <w:szCs w:val="17"/>
          <w:color w:val="auto"/>
        </w:rPr>
        <w:t>, as part of the March 2017 Drop Down Assets acquisition,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acquired from NRG 100% of the Class A equity interests in the Utah Solar Portfolio, 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on the last day of the calendar month on which the Class B member does not have an agreed upon adjusted capital account deficit, but not prior to the 10th day after the five year anniversary of the last project to achieve its placed in service date,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1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 xml:space="preserve">DGPV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CEG are parties to the DGPV Holdco 1 LLC partnership, or DGPV Holdco 1, the purpose of which is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or purchase solar power generation projects and other ancillary related assets from Clearway Energy Group LLC or its subsidiaries via intermediate funds. The Company owns approximately 52 MW of Distributed Solar capacity, based on cash to be distributed, with a weighted average contract life of 16 years. Under this partnership, the Company committed to fund up to $100 million of capital.</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 xml:space="preserve">DGPV Holdco 2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CEG are parties to the DGPV Holdco 2 LLC partnership, or DGPV Holdco 2, the purpose of which is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or hold solar power generation projects as well as other ancillary related assets from Clearway Energy Group LLC or its subsidiaries. The Company owns approximately 113 MW of Distributed Solar capacity, based on cash to be distributed, with a weighted average contract life of 19 years. Under this partnership, the Company committed to fund up to $60 million of capital.</w:t>
      </w:r>
    </w:p>
    <w:p>
      <w:pPr>
        <w:spacing w:after="0" w:line="12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i w:val="1"/>
          <w:iCs w:val="1"/>
          <w:color w:val="auto"/>
        </w:rPr>
        <w:t xml:space="preserve">DGPV Holdco 3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CEG are parties to the DGPV Holdco 3 LLC partnership, or DGPV Holdco 3, in which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would invest up to $70 million in an operating portfolio of distributed solar assets, primarily comprised of community solar projects, developed by CEG. The Company owns approximately 112 MW of distributed solar capacity, based on cash to be distributed, with a weighted average contract life of approximately 21 years as of December 31, 2019. The Company had a $14 million payable due to DGPV Holdco 3 LLC as of December 31, 2019.</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908" w:right="239" w:bottom="1440" w:gutter="0" w:footer="0" w:header="0"/>
        </w:sectPr>
      </w:pPr>
    </w:p>
    <w:bookmarkStart w:id="114" w:name="page115"/>
    <w:bookmarkEnd w:id="114"/>
    <w:p>
      <w:pPr>
        <w:jc w:val="both"/>
        <w:ind w:firstLine="648"/>
        <w:spacing w:after="0" w:line="277" w:lineRule="auto"/>
        <w:rPr>
          <w:sz w:val="20"/>
          <w:szCs w:val="20"/>
          <w:color w:val="auto"/>
        </w:rPr>
      </w:pPr>
      <w:r>
        <w:rPr>
          <w:rFonts w:ascii="Arial" w:cs="Arial" w:eastAsia="Arial" w:hAnsi="Arial"/>
          <w:sz w:val="18"/>
          <w:szCs w:val="18"/>
          <w:color w:val="auto"/>
        </w:rPr>
        <w:t>The Company's maximum exposure to loss is limited to its equity investment in DGPV Holdco 1, DGPV Holdco 2 and DGPV Holdco 3, which was $318 million on a combined basis.</w:t>
      </w:r>
    </w:p>
    <w:p>
      <w:pPr>
        <w:spacing w:after="0" w:line="1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RPV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CEG are parties to the RPV Holdco 1 LLC partnership, or RPV Holdco, the purpose of which is to hold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portfolios of residential solar assets developed by NRG's residential solar business, including: (i) an existing, unlevered portfolio of approximately 2,200 leases across nine states representing approximately 14 MW, based on cash to be distributed, with a weighted average remaining lease term of approximately 13 years that was acquired outside of the partnership; and (ii) a tax equity-financed portfolio of approximately 5,300 leases representing approximately 31 MW, based on cash to be distributed, with a weighted average remaining lease term for the existing and new leases of approximately 15 years. The Company fully funded the partnership as of December 31, 2017.</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maximum exposure to loss is limited to its equity investment, which was $24 million as of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cash and cash equivalents, restricted cash, accounts receivable — affiliate, accounts receivable, accounts payable, current portion of accounts payable — affiliate, accrued expenses and other liabilities, the carrying amount approximates fair value because of the short-term maturity of those instruments and are classified as Level 1 within the fair value hierarchy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w w:val="98"/>
              </w:rPr>
              <w:t>As of December 31, 2018</w:t>
            </w:r>
          </w:p>
        </w:tc>
      </w:tr>
      <w:tr>
        <w:trPr>
          <w:trHeight w:val="264"/>
        </w:trPr>
        <w:tc>
          <w:tcPr>
            <w:tcW w:w="606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 including current portion — affiliate</w:t>
            </w:r>
          </w:p>
        </w:tc>
        <w:tc>
          <w:tcPr>
            <w:tcW w:w="340" w:type="dxa"/>
            <w:vAlign w:val="bottom"/>
          </w:tcPr>
          <w:p>
            <w:pPr>
              <w:spacing w:after="0"/>
              <w:rPr>
                <w:sz w:val="21"/>
                <w:szCs w:val="21"/>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257</w:t>
            </w: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Long-term debt, including current portion — external </w:t>
            </w:r>
            <w:r>
              <w:rPr>
                <w:rFonts w:ascii="Arial" w:cs="Arial" w:eastAsia="Arial" w:hAnsi="Arial"/>
                <w:sz w:val="25"/>
                <w:szCs w:val="25"/>
                <w:color w:val="auto"/>
                <w:vertAlign w:val="superscript"/>
              </w:rPr>
              <w:t>(a)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6,813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6,913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5,779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4147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40" w:hanging="132"/>
        <w:spacing w:after="0"/>
        <w:tabs>
          <w:tab w:leader="none" w:pos="140" w:val="left"/>
        </w:tabs>
        <w:numPr>
          <w:ilvl w:val="0"/>
          <w:numId w:val="66"/>
        </w:numPr>
        <w:rPr>
          <w:rFonts w:ascii="Arial" w:cs="Arial" w:eastAsia="Arial" w:hAnsi="Arial"/>
          <w:sz w:val="9"/>
          <w:szCs w:val="9"/>
          <w:color w:val="auto"/>
        </w:rPr>
      </w:pPr>
      <w:r>
        <w:rPr>
          <w:rFonts w:ascii="Arial" w:cs="Arial" w:eastAsia="Arial" w:hAnsi="Arial"/>
          <w:sz w:val="14"/>
          <w:szCs w:val="14"/>
          <w:color w:val="auto"/>
        </w:rPr>
        <w:t>Excludes net debt issuance costs, which are recorded as a reduction to long-term debt on the Company's consolidated balance sheets.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2019 and 2018: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2018</w:t>
            </w:r>
          </w:p>
        </w:tc>
      </w:tr>
      <w:tr>
        <w:trPr>
          <w:trHeight w:val="264"/>
        </w:trPr>
        <w:tc>
          <w:tcPr>
            <w:tcW w:w="43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1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1,735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5,221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1,358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4,580</w:t>
            </w:r>
          </w:p>
        </w:tc>
      </w:tr>
      <w:tr>
        <w:trPr>
          <w:trHeight w:val="810"/>
        </w:trPr>
        <w:tc>
          <w:tcPr>
            <w:tcW w:w="4380" w:type="dxa"/>
            <w:vAlign w:val="bottom"/>
          </w:tcPr>
          <w:p>
            <w:pPr>
              <w:spacing w:after="0"/>
              <w:rPr>
                <w:sz w:val="24"/>
                <w:szCs w:val="24"/>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8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6"/>
              </w:rPr>
              <w:t>As of December 31, 2019</w:t>
            </w: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As of December 31, 2019</w:t>
            </w: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 2018</w:t>
            </w:r>
          </w:p>
        </w:tc>
        <w:tc>
          <w:tcPr>
            <w:tcW w:w="0" w:type="dxa"/>
            <w:vAlign w:val="bottom"/>
          </w:tcPr>
          <w:p>
            <w:pPr>
              <w:spacing w:after="0"/>
              <w:rPr>
                <w:sz w:val="1"/>
                <w:szCs w:val="1"/>
                <w:color w:val="auto"/>
              </w:rPr>
            </w:pPr>
          </w:p>
        </w:tc>
      </w:tr>
      <w:tr>
        <w:trPr>
          <w:trHeight w:val="264"/>
        </w:trPr>
        <w:tc>
          <w:tcPr>
            <w:tcW w:w="6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(a)</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0" w:type="dxa"/>
            <w:vAlign w:val="bottom"/>
          </w:tcPr>
          <w:p>
            <w:pPr>
              <w:spacing w:after="0"/>
              <w:rPr>
                <w:sz w:val="1"/>
                <w:szCs w:val="1"/>
                <w:color w:val="auto"/>
              </w:rPr>
            </w:pPr>
          </w:p>
        </w:tc>
      </w:tr>
      <w:tr>
        <w:trPr>
          <w:trHeight w:val="264"/>
        </w:trPr>
        <w:tc>
          <w:tcPr>
            <w:tcW w:w="61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2"/>
                <w:szCs w:val="22"/>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22"/>
                <w:szCs w:val="22"/>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22"/>
                <w:szCs w:val="22"/>
                <w:color w:val="auto"/>
              </w:rPr>
            </w:pPr>
          </w:p>
        </w:tc>
        <w:tc>
          <w:tcPr>
            <w:tcW w:w="142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Level 2</w:t>
            </w:r>
          </w:p>
        </w:tc>
        <w:tc>
          <w:tcPr>
            <w:tcW w:w="0" w:type="dxa"/>
            <w:vAlign w:val="bottom"/>
          </w:tcPr>
          <w:p>
            <w:pPr>
              <w:spacing w:after="0"/>
              <w:rPr>
                <w:sz w:val="1"/>
                <w:szCs w:val="1"/>
                <w:color w:val="auto"/>
              </w:rPr>
            </w:pP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25"/>
                <w:szCs w:val="25"/>
                <w:color w:val="auto"/>
                <w:vertAlign w:val="superscript"/>
              </w:rPr>
              <w:t>(b)</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67"/>
        </w:numPr>
        <w:rPr>
          <w:rFonts w:ascii="Arial" w:cs="Arial" w:eastAsia="Arial" w:hAnsi="Arial"/>
          <w:sz w:val="9"/>
          <w:szCs w:val="9"/>
          <w:color w:val="auto"/>
        </w:rPr>
      </w:pPr>
      <w:r>
        <w:rPr>
          <w:rFonts w:ascii="Arial" w:cs="Arial" w:eastAsia="Arial" w:hAnsi="Arial"/>
          <w:sz w:val="14"/>
          <w:szCs w:val="14"/>
          <w:color w:val="auto"/>
        </w:rPr>
        <w:t>There were no derivative assets or liabilities classified as Level 1 December 31, 2019 and 2018.</w:t>
      </w:r>
    </w:p>
    <w:p>
      <w:pPr>
        <w:spacing w:after="0" w:line="5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88"/>
              </w:rPr>
              <w:t>Twelve months ended December 31,</w:t>
            </w:r>
          </w:p>
        </w:tc>
      </w:tr>
      <w:tr>
        <w:trPr>
          <w:trHeight w:val="27"/>
        </w:trPr>
        <w:tc>
          <w:tcPr>
            <w:tcW w:w="4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2018</w:t>
            </w:r>
          </w:p>
        </w:tc>
      </w:tr>
      <w:tr>
        <w:trPr>
          <w:trHeight w:val="27"/>
        </w:trPr>
        <w:tc>
          <w:tcPr>
            <w:tcW w:w="4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r>
      <w:tr>
        <w:trPr>
          <w:trHeight w:val="218"/>
        </w:trPr>
        <w:tc>
          <w:tcPr>
            <w:tcW w:w="4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1"/>
              </w:rPr>
              <w:t>Fair Value Measurement Using Significant</w:t>
            </w:r>
          </w:p>
        </w:tc>
      </w:tr>
      <w:tr>
        <w:trPr>
          <w:trHeight w:val="255"/>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402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b w:val="1"/>
                <w:bCs w:val="1"/>
                <w:color w:val="auto"/>
                <w:w w:val="90"/>
              </w:rPr>
              <w:t>Unobservable Inputs (Level 3)</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Total losses for the period included in earnings</w:t>
            </w:r>
          </w:p>
        </w:tc>
        <w:tc>
          <w:tcPr>
            <w:tcW w:w="3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ind w:left="136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3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8"/>
                <w:szCs w:val="18"/>
                <w:color w:val="auto"/>
              </w:rPr>
              <w:t>—</w:t>
            </w:r>
          </w:p>
        </w:tc>
      </w:tr>
      <w:tr>
        <w:trPr>
          <w:trHeight w:val="20"/>
        </w:trPr>
        <w:tc>
          <w:tcPr>
            <w:tcW w:w="4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losses of $3 million for the period included in earnings attributable to the change in unrealized losses relating to assets or liabilities still held as of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some of the Company’s energy contracts,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December 31, 2019, contracts valued with prices provided by models and other valuation techniques make up 10% of derivative liabilities.</w:t>
      </w:r>
    </w:p>
    <w:p>
      <w:pPr>
        <w:spacing w:after="0" w:line="13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Company’s significant position classified as Level 3 includes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908" w:right="239" w:bottom="1440" w:gutter="0" w:footer="0" w:header="0"/>
        </w:sectPr>
      </w:pPr>
    </w:p>
    <w:bookmarkStart w:id="116" w:name="page117"/>
    <w:bookmarkEnd w:id="116"/>
    <w:p>
      <w:pPr>
        <w:ind w:left="660"/>
        <w:spacing w:after="0"/>
        <w:rPr>
          <w:sz w:val="20"/>
          <w:szCs w:val="20"/>
          <w:color w:val="auto"/>
        </w:rPr>
      </w:pPr>
      <w:r>
        <w:rPr>
          <w:rFonts w:ascii="Arial" w:cs="Arial" w:eastAsia="Arial" w:hAnsi="Arial"/>
          <w:sz w:val="17"/>
          <w:szCs w:val="17"/>
          <w:color w:val="auto"/>
        </w:rPr>
        <w:t>The following tables quantify the significant unobservable inputs used in developing the fair value of the Company's Level 3 positions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315"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34290</wp:posOffset>
            </wp:positionV>
            <wp:extent cx="59518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57"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1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Input/Range</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5" w:lineRule="exact"/>
              <w:rPr>
                <w:sz w:val="20"/>
                <w:szCs w:val="20"/>
                <w:color w:val="auto"/>
              </w:rPr>
            </w:pPr>
            <w:r>
              <w:rPr>
                <w:rFonts w:ascii="Arial" w:cs="Arial" w:eastAsia="Arial" w:hAnsi="Arial"/>
                <w:sz w:val="18"/>
                <w:szCs w:val="18"/>
                <w:b w:val="1"/>
                <w:bCs w:val="1"/>
                <w:color w:val="auto"/>
                <w:w w:val="91"/>
              </w:rPr>
              <w:t>Significant</w:t>
            </w: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61"/>
        </w:trPr>
        <w:tc>
          <w:tcPr>
            <w:tcW w:w="15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Assets</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Liabilities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Technique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Input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Low</w:t>
            </w:r>
          </w:p>
        </w:tc>
        <w:tc>
          <w:tcPr>
            <w:tcW w:w="13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4"/>
              </w:rPr>
              <w:t>High</w:t>
            </w:r>
          </w:p>
        </w:tc>
        <w:tc>
          <w:tcPr>
            <w:tcW w:w="12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7"/>
        </w:trPr>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0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Power Contracts   </w:t>
            </w: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Discounted Cash</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Forward Market</w:t>
            </w:r>
          </w:p>
        </w:tc>
        <w:tc>
          <w:tcPr>
            <w:tcW w:w="1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gridSpan w:val="2"/>
            <w:vMerge w:val="continue"/>
            <w:shd w:val="clear" w:color="auto" w:fill="CCEEFF"/>
          </w:tcPr>
          <w:p>
            <w:pPr>
              <w:spacing w:after="0"/>
              <w:rPr>
                <w:sz w:val="20"/>
                <w:szCs w:val="20"/>
                <w:color w:val="auto"/>
              </w:rPr>
            </w:pPr>
          </w:p>
        </w:tc>
        <w:tc>
          <w:tcPr>
            <w:tcW w:w="1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Flow</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Price (per MWh)</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sensitivity of fair value measurements to increases/(decreases) in significant unobservable inputs as of December 31, 2019:</w:t>
      </w:r>
    </w:p>
    <w:p>
      <w:pPr>
        <w:spacing w:after="0" w:line="325"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r>
      <w:tr>
        <w:trPr>
          <w:trHeight w:val="234"/>
        </w:trPr>
        <w:tc>
          <w:tcPr>
            <w:tcW w:w="36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Significant Observable Input</w:t>
            </w:r>
          </w:p>
        </w:tc>
        <w:tc>
          <w:tcPr>
            <w:tcW w:w="198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Position</w:t>
            </w:r>
          </w:p>
        </w:tc>
        <w:tc>
          <w:tcPr>
            <w:tcW w:w="242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Change In Input</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Measurement</w:t>
            </w:r>
          </w:p>
        </w:tc>
      </w:tr>
      <w:tr>
        <w:trPr>
          <w:trHeight w:val="27"/>
        </w:trPr>
        <w:tc>
          <w:tcPr>
            <w:tcW w:w="36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2"/>
              </w:rPr>
              <w:t>Forward Market Price Power</w:t>
            </w:r>
          </w:p>
        </w:tc>
        <w:tc>
          <w:tcPr>
            <w:tcW w:w="19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6"/>
              </w:rPr>
              <w:t>Buy</w:t>
            </w:r>
          </w:p>
        </w:tc>
        <w:tc>
          <w:tcPr>
            <w:tcW w:w="24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Increase/(Decrease)</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r>
      <w:tr>
        <w:trPr>
          <w:trHeight w:val="243"/>
        </w:trPr>
        <w:tc>
          <w:tcPr>
            <w:tcW w:w="3620" w:type="dxa"/>
            <w:vAlign w:val="bottom"/>
          </w:tcPr>
          <w:p>
            <w:pPr>
              <w:jc w:val="center"/>
              <w:ind w:right="30"/>
              <w:spacing w:after="0"/>
              <w:rPr>
                <w:sz w:val="20"/>
                <w:szCs w:val="20"/>
                <w:color w:val="auto"/>
              </w:rPr>
            </w:pPr>
            <w:r>
              <w:rPr>
                <w:rFonts w:ascii="Arial" w:cs="Arial" w:eastAsia="Arial" w:hAnsi="Arial"/>
                <w:sz w:val="18"/>
                <w:szCs w:val="18"/>
                <w:color w:val="auto"/>
                <w:w w:val="92"/>
              </w:rPr>
              <w:t>Forward Market Price Power</w:t>
            </w:r>
          </w:p>
        </w:tc>
        <w:tc>
          <w:tcPr>
            <w:tcW w:w="1980" w:type="dxa"/>
            <w:vAlign w:val="bottom"/>
          </w:tcPr>
          <w:p>
            <w:pPr>
              <w:jc w:val="center"/>
              <w:ind w:left="10"/>
              <w:spacing w:after="0"/>
              <w:rPr>
                <w:sz w:val="20"/>
                <w:szCs w:val="20"/>
                <w:color w:val="auto"/>
              </w:rPr>
            </w:pPr>
            <w:r>
              <w:rPr>
                <w:rFonts w:ascii="Arial" w:cs="Arial" w:eastAsia="Arial" w:hAnsi="Arial"/>
                <w:sz w:val="18"/>
                <w:szCs w:val="18"/>
                <w:color w:val="auto"/>
                <w:w w:val="93"/>
              </w:rPr>
              <w:t>Sell</w:t>
            </w:r>
          </w:p>
        </w:tc>
        <w:tc>
          <w:tcPr>
            <w:tcW w:w="2420" w:type="dxa"/>
            <w:vAlign w:val="bottom"/>
          </w:tcPr>
          <w:p>
            <w:pPr>
              <w:jc w:val="center"/>
              <w:ind w:left="170"/>
              <w:spacing w:after="0"/>
              <w:rPr>
                <w:sz w:val="20"/>
                <w:szCs w:val="20"/>
                <w:color w:val="auto"/>
              </w:rPr>
            </w:pPr>
            <w:r>
              <w:rPr>
                <w:rFonts w:ascii="Arial" w:cs="Arial" w:eastAsia="Arial" w:hAnsi="Arial"/>
                <w:sz w:val="18"/>
                <w:szCs w:val="18"/>
                <w:color w:val="auto"/>
                <w:w w:val="88"/>
              </w:rPr>
              <w:t>Increase/(Decrease)</w:t>
            </w:r>
          </w:p>
        </w:tc>
        <w:tc>
          <w:tcPr>
            <w:tcW w:w="2340" w:type="dxa"/>
            <w:vAlign w:val="bottom"/>
          </w:tcPr>
          <w:p>
            <w:pPr>
              <w:jc w:val="center"/>
              <w:spacing w:after="0"/>
              <w:rPr>
                <w:sz w:val="20"/>
                <w:szCs w:val="20"/>
                <w:color w:val="auto"/>
              </w:rPr>
            </w:pPr>
            <w:r>
              <w:rPr>
                <w:rFonts w:ascii="Arial" w:cs="Arial" w:eastAsia="Arial" w:hAnsi="Arial"/>
                <w:sz w:val="18"/>
                <w:szCs w:val="18"/>
                <w:color w:val="auto"/>
                <w:w w:val="95"/>
              </w:rPr>
              <w:t>Lower/(Higher)</w:t>
            </w:r>
          </w:p>
        </w:tc>
      </w:tr>
    </w:tbl>
    <w:p>
      <w:pPr>
        <w:spacing w:after="0" w:line="1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2019, the non-performance reserve was $4 million gain recorded primarily to interest expense in the consolidated statement of operations. It is possible that future market prices could vary from those used in recording assets and liabilities and such variations could be material.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addition to the credit risk discussion as disclosed in Item 15 </w:t>
      </w:r>
      <w:r>
        <w:rPr>
          <w:rFonts w:ascii="Arial" w:cs="Arial" w:eastAsia="Arial" w:hAnsi="Arial"/>
          <w:sz w:val="17"/>
          <w:szCs w:val="17"/>
          <w:b w:val="1"/>
          <w:bCs w:val="1"/>
          <w:color w:val="auto"/>
        </w:rPr>
        <w:t>—</w:t>
      </w:r>
      <w:r>
        <w:rPr>
          <w:rFonts w:ascii="Arial" w:cs="Arial" w:eastAsia="Arial" w:hAnsi="Arial"/>
          <w:sz w:val="17"/>
          <w:szCs w:val="17"/>
          <w:color w:val="auto"/>
        </w:rPr>
        <w:t xml:space="preserve">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1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January 29, 2019, PG&amp;E filed for reorganization under Chapter 11 of the U.S. Bankruptcy Code. Certain subsidiaries of the Company sell the output of their facilities to PG&amp;E under long-term PPAs, including interests in 6 solar facilities totaling 480 MW and Marsh Landing with a capacity of 720 MW. The Company consolidates three of the solar facilities and Marsh Landing and records its interest in the other solar facilities as equity method investments. The Company had $16 million in accounts receivable due from PG&amp;E for its consolidated projects, of which $5 million was recorded to non-current assets as of December 31, 2019. As of March 2, 2020, the Company's contracts with PG&amp;E have operated in the normal course and the Company currently expects these contracts to continue as such. As of March 2, 2020, the Company has entered into forbearance agreements for certain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908" w:right="239" w:bottom="1440" w:gutter="0" w:footer="0" w:header="0"/>
        </w:sectPr>
      </w:pPr>
    </w:p>
    <w:bookmarkStart w:id="117" w:name="page118"/>
    <w:bookmarkEnd w:id="117"/>
    <w:p>
      <w:pPr>
        <w:jc w:val="both"/>
        <w:ind w:right="20"/>
        <w:spacing w:after="0" w:line="277" w:lineRule="auto"/>
        <w:rPr>
          <w:sz w:val="20"/>
          <w:szCs w:val="20"/>
          <w:color w:val="auto"/>
        </w:rPr>
      </w:pPr>
      <w:r>
        <w:rPr>
          <w:rFonts w:ascii="Arial" w:cs="Arial" w:eastAsia="Arial" w:hAnsi="Arial"/>
          <w:sz w:val="18"/>
          <w:szCs w:val="18"/>
          <w:color w:val="auto"/>
        </w:rPr>
        <w:t>project-level financing arrangements and continues to seek forbearance agreements for its other project-level financing arrangements affected by the PG&amp;E Bankruptcy. The Company continues to assess the potential future impacts of the PG&amp;E Bankruptcy as events occur.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Accounting for Derivative Instruments and Hedging Activities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manage the commodity price risk associated with its competitive supply activities and the price risk associated with wholesale power sales, the Company may enter into derivative hedging instruments, namely, forward contracts that commit the Company to sell energy commodities or purchase fuels/electricity in the future. The objectives for entering into derivatives contracts designated as hedges include fixing the price for a portion of anticipated future electricity sales and fixing the price of a portion of anticipated fuel/electricity purchases for the operation of its subsidiaries. As of December 31, 2019, the Company had forward contracts for the sale of electricity from renewable energy assets through 2029, forward contracts for the purchase of fuel commodities relating to the forecasted usage of the Company’s district energy centers extending through 2021, and electricity contracts to supply retail power to the Company's district energy centers extending through 2020. At December 31, 2019, these contracts were not designated as cash flow or fair value hedges.</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Also, as of December 31, 2019, the Company had other energy-related contracts that did not meet the definition of a derivative instrument or qualified for the NPNS exception and were therefore exempt from fair value accounting treatment as follows:</w:t>
      </w:r>
    </w:p>
    <w:p>
      <w:pPr>
        <w:spacing w:after="0" w:line="116"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Power purchase agreements through 2043,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Natural gas transportation contracts through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is exposed to changes in interest rates through the issuance of variable rate debt. In order to manage interest rate risk, it enters into interest rate swap agreements.</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2019, the Company had interest rate derivative instruments on non-recourse debt extending through 2041, a portion of which are designated as cash flow hedges.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Volumetric Underlying Derivative Transactions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right"/>
              <w:ind w:right="1374"/>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9"/>
              </w:rPr>
              <w:t>December 31, 2019</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December 31, 2018</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gridSpan w:val="3"/>
          </w:tcPr>
          <w:p>
            <w:pPr>
              <w:jc w:val="right"/>
              <w:ind w:right="1394"/>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Power</w:t>
            </w:r>
          </w:p>
        </w:tc>
        <w:tc>
          <w:tcPr>
            <w:tcW w:w="2360" w:type="dxa"/>
            <w:vAlign w:val="bottom"/>
            <w:gridSpan w:val="2"/>
          </w:tcPr>
          <w:p>
            <w:pPr>
              <w:spacing w:after="0"/>
              <w:rPr>
                <w:sz w:val="20"/>
                <w:szCs w:val="20"/>
                <w:color w:val="auto"/>
              </w:rPr>
            </w:pPr>
            <w:r>
              <w:rPr>
                <w:rFonts w:ascii="Arial" w:cs="Arial" w:eastAsia="Arial" w:hAnsi="Arial"/>
                <w:sz w:val="18"/>
                <w:szCs w:val="18"/>
                <w:color w:val="auto"/>
              </w:rPr>
              <w:t>MWh</w:t>
            </w:r>
          </w:p>
        </w:tc>
        <w:tc>
          <w:tcPr>
            <w:tcW w:w="3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9"/>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4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1,788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1,862</w:t>
            </w:r>
          </w:p>
        </w:tc>
      </w:tr>
      <w:tr>
        <w:trPr>
          <w:trHeight w:val="594"/>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80" w:type="dxa"/>
            <w:vAlign w:val="bottom"/>
          </w:tcPr>
          <w:p>
            <w:pPr>
              <w:jc w:val="right"/>
              <w:ind w:right="173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22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Derivative Assets </w:t>
            </w:r>
            <w:r>
              <w:rPr>
                <w:rFonts w:ascii="Arial" w:cs="Arial" w:eastAsia="Arial" w:hAnsi="Arial"/>
                <w:sz w:val="8"/>
                <w:szCs w:val="8"/>
                <w:b w:val="1"/>
                <w:bCs w:val="1"/>
                <w:color w:val="auto"/>
              </w:rPr>
              <w:t>(a)</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22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22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5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5420" w:type="dxa"/>
            <w:vAlign w:val="bottom"/>
            <w:gridSpan w:val="3"/>
          </w:tcPr>
          <w:p>
            <w:pPr>
              <w:ind w:left="18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22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37"/>
        </w:trPr>
        <w:tc>
          <w:tcPr>
            <w:tcW w:w="542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22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3"/>
          </w:tcPr>
          <w:p>
            <w:pPr>
              <w:ind w:left="18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22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5420" w:type="dxa"/>
            <w:vAlign w:val="bottom"/>
            <w:gridSpan w:val="3"/>
          </w:tcPr>
          <w:p>
            <w:pPr>
              <w:ind w:left="180"/>
              <w:spacing w:after="0"/>
              <w:rPr>
                <w:sz w:val="20"/>
                <w:szCs w:val="20"/>
                <w:color w:val="auto"/>
              </w:rPr>
            </w:pPr>
            <w:r>
              <w:rPr>
                <w:rFonts w:ascii="Arial" w:cs="Arial" w:eastAsia="Arial" w:hAnsi="Arial"/>
                <w:sz w:val="18"/>
                <w:szCs w:val="18"/>
                <w:color w:val="auto"/>
              </w:rPr>
              <w:t>Commodity contracts long-term</w:t>
            </w:r>
          </w:p>
        </w:tc>
        <w:tc>
          <w:tcPr>
            <w:tcW w:w="1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2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57"/>
        </w:trPr>
        <w:tc>
          <w:tcPr>
            <w:tcW w:w="542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Derivatives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r>
      <w:tr>
        <w:trPr>
          <w:trHeight w:val="20"/>
        </w:trPr>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51" w:lineRule="exact"/>
        <w:rPr>
          <w:sz w:val="20"/>
          <w:szCs w:val="20"/>
          <w:color w:val="auto"/>
        </w:rPr>
      </w:pPr>
    </w:p>
    <w:p>
      <w:pPr>
        <w:ind w:left="140" w:hanging="132"/>
        <w:spacing w:after="0"/>
        <w:tabs>
          <w:tab w:leader="none" w:pos="140" w:val="left"/>
        </w:tabs>
        <w:numPr>
          <w:ilvl w:val="0"/>
          <w:numId w:val="69"/>
        </w:numPr>
        <w:rPr>
          <w:rFonts w:ascii="Arial" w:cs="Arial" w:eastAsia="Arial" w:hAnsi="Arial"/>
          <w:sz w:val="9"/>
          <w:szCs w:val="9"/>
          <w:color w:val="auto"/>
        </w:rPr>
      </w:pPr>
      <w:r>
        <w:rPr>
          <w:rFonts w:ascii="Arial" w:cs="Arial" w:eastAsia="Arial" w:hAnsi="Arial"/>
          <w:sz w:val="14"/>
          <w:szCs w:val="14"/>
          <w:color w:val="auto"/>
        </w:rPr>
        <w:t>Derivative Asset balances classified as current are included within the prepayments and other current assets line item of the Consolidated Balance Sheet.</w:t>
      </w:r>
    </w:p>
    <w:p>
      <w:pPr>
        <w:spacing w:after="0" w:line="22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December 31, 2019 and 2018, there was no outstanding collateral paid or received. As of December 31, 2018, the commodity balances were not material. The following tables summarize the offsetting of derivatives by counterparty master agreement level:</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7"/>
          </w:tcPr>
          <w:p>
            <w:pPr>
              <w:jc w:val="center"/>
              <w:ind w:right="133"/>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2019</w:t>
            </w: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3"/>
                <w:szCs w:val="1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3"/>
                <w:szCs w:val="13"/>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0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18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18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1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1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18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7"/>
          </w:tcPr>
          <w:p>
            <w:pPr>
              <w:jc w:val="center"/>
              <w:ind w:right="133"/>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3"/>
                <w:szCs w:val="1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3"/>
                <w:szCs w:val="13"/>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0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19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18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1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1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18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900" w:type="dxa"/>
            <w:vAlign w:val="bottom"/>
          </w:tcPr>
          <w:p>
            <w:pPr>
              <w:spacing w:after="0"/>
              <w:rPr>
                <w:sz w:val="24"/>
                <w:szCs w:val="24"/>
                <w:color w:val="auto"/>
              </w:rPr>
            </w:pPr>
          </w:p>
        </w:tc>
        <w:tc>
          <w:tcPr>
            <w:tcW w:w="2060" w:type="dxa"/>
            <w:vAlign w:val="bottom"/>
            <w:gridSpan w:val="2"/>
          </w:tcPr>
          <w:p>
            <w:pPr>
              <w:jc w:val="right"/>
              <w:ind w:right="39"/>
              <w:spacing w:after="0"/>
              <w:rPr>
                <w:sz w:val="20"/>
                <w:szCs w:val="20"/>
                <w:color w:val="auto"/>
              </w:rPr>
            </w:pPr>
            <w:r>
              <w:rPr>
                <w:rFonts w:ascii="Arial" w:cs="Arial" w:eastAsia="Arial" w:hAnsi="Arial"/>
                <w:sz w:val="18"/>
                <w:szCs w:val="18"/>
                <w:color w:val="auto"/>
              </w:rPr>
              <w:t>117</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7080" w:type="dxa"/>
            <w:vAlign w:val="bottom"/>
          </w:tcPr>
          <w:p>
            <w:pPr>
              <w:ind w:left="200"/>
              <w:spacing w:after="0"/>
              <w:rPr>
                <w:sz w:val="20"/>
                <w:szCs w:val="20"/>
                <w:color w:val="auto"/>
              </w:rPr>
            </w:pPr>
            <w:r>
              <w:rPr>
                <w:rFonts w:ascii="Arial" w:cs="Arial" w:eastAsia="Arial" w:hAnsi="Arial"/>
                <w:sz w:val="18"/>
                <w:szCs w:val="18"/>
                <w:color w:val="auto"/>
                <w:w w:val="99"/>
              </w:rPr>
              <w:t>Reclassified from accumulated OCL to income due to realization of previously deferred</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color w:val="auto"/>
              </w:rPr>
              <w:t>amounts</w:t>
            </w:r>
          </w:p>
        </w:tc>
        <w:tc>
          <w:tcPr>
            <w:tcW w:w="9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7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9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Clearway Energy LLC</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reclassified from accumulated OCL into income are recorded to interest expense.</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marks these derivatives to market through the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years ended December 31, 2019, 2018 and 2017 the impact to the consolidated statements of income was a loss of $65 million, a gain of $15 million and a gain of $6 million, respectively.</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year ended December 31, 2019, Elbow Creek entered into a new long-term power hedge, and the impact to the Company's consolidated statement of operations was a $9 million loss for the period recorded in total operating revenues.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costs that are permitted to be billed to customers through the related customer contracts or tariffs and, accordingly, no gains or losses are reflected in the consolidated statements of operations for these contracts.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6,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 The Company's intangible assets as of December 31, 2019 and 2018 primarily reflect intangible assets established from its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acquisitions and are comprised of the following:</w:t>
      </w:r>
    </w:p>
    <w:p>
      <w:pPr>
        <w:spacing w:after="0" w:line="116" w:lineRule="exact"/>
        <w:rPr>
          <w:sz w:val="20"/>
          <w:szCs w:val="20"/>
          <w:color w:val="auto"/>
        </w:rPr>
      </w:pPr>
    </w:p>
    <w:p>
      <w:pPr>
        <w:ind w:left="660" w:hanging="328"/>
        <w:spacing w:after="0" w:line="308" w:lineRule="auto"/>
        <w:tabs>
          <w:tab w:leader="none" w:pos="660" w:val="left"/>
        </w:tabs>
        <w:numPr>
          <w:ilvl w:val="0"/>
          <w:numId w:val="7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PPAs </w:t>
      </w:r>
      <w:r>
        <w:rPr>
          <w:rFonts w:ascii="Arial" w:cs="Arial" w:eastAsia="Arial" w:hAnsi="Arial"/>
          <w:sz w:val="17"/>
          <w:szCs w:val="17"/>
          <w:color w:val="auto"/>
        </w:rPr>
        <w:t>— Established predominantly with the acquisitions of the Alta Wind Portfolio, Walnut Creek, Tapestry, Laredo Ridge and Carlsbad Energy</w:t>
      </w:r>
      <w:r>
        <w:rPr>
          <w:rFonts w:ascii="Arial" w:cs="Arial" w:eastAsia="Arial" w:hAnsi="Arial"/>
          <w:sz w:val="17"/>
          <w:szCs w:val="17"/>
          <w:i w:val="1"/>
          <w:iCs w:val="1"/>
          <w:color w:val="auto"/>
        </w:rPr>
        <w:t xml:space="preserve"> </w:t>
      </w:r>
      <w:r>
        <w:rPr>
          <w:rFonts w:ascii="Arial" w:cs="Arial" w:eastAsia="Arial" w:hAnsi="Arial"/>
          <w:sz w:val="17"/>
          <w:szCs w:val="17"/>
          <w:color w:val="auto"/>
        </w:rPr>
        <w:t>Center. These represent the fair value of the PPAs acquired. These are amortized on a straight-line basis, over the term of the PPA.</w:t>
      </w:r>
    </w:p>
    <w:p>
      <w:pPr>
        <w:spacing w:after="0" w:line="38" w:lineRule="exact"/>
        <w:rPr>
          <w:rFonts w:ascii="Arial" w:cs="Arial" w:eastAsia="Arial" w:hAnsi="Arial"/>
          <w:sz w:val="17"/>
          <w:szCs w:val="17"/>
          <w:i w:val="1"/>
          <w:iCs w:val="1"/>
          <w:color w:val="auto"/>
        </w:rPr>
      </w:pPr>
    </w:p>
    <w:p>
      <w:pPr>
        <w:ind w:left="660" w:hanging="328"/>
        <w:spacing w:after="0" w:line="264" w:lineRule="auto"/>
        <w:tabs>
          <w:tab w:leader="none" w:pos="6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Leasehold Rights </w:t>
      </w:r>
      <w:r>
        <w:rPr>
          <w:rFonts w:ascii="Arial" w:cs="Arial" w:eastAsia="Arial" w:hAnsi="Arial"/>
          <w:sz w:val="18"/>
          <w:szCs w:val="18"/>
          <w:color w:val="auto"/>
        </w:rPr>
        <w:t>— Established with the acquisition of the Alta Wind Portfolio, this represents the fair value of contractual rights to receive royalty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equal to a percentage of PPA revenue from certain projects. These are amortized as a reduction to operating revenue on a straight-line basis over the term of the PPAs.</w:t>
      </w:r>
    </w:p>
    <w:p>
      <w:pPr>
        <w:spacing w:after="0" w:line="73" w:lineRule="exact"/>
        <w:rPr>
          <w:rFonts w:ascii="Arial" w:cs="Arial" w:eastAsia="Arial" w:hAnsi="Arial"/>
          <w:sz w:val="18"/>
          <w:szCs w:val="18"/>
          <w:i w:val="1"/>
          <w:iCs w:val="1"/>
          <w:color w:val="auto"/>
        </w:rPr>
      </w:pPr>
    </w:p>
    <w:p>
      <w:pPr>
        <w:ind w:left="660" w:right="80" w:hanging="328"/>
        <w:spacing w:after="0" w:line="286"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Customer relationships </w:t>
      </w:r>
      <w:r>
        <w:rPr>
          <w:rFonts w:ascii="Arial" w:cs="Arial" w:eastAsia="Arial" w:hAnsi="Arial"/>
          <w:sz w:val="17"/>
          <w:szCs w:val="17"/>
          <w:color w:val="auto"/>
        </w:rPr>
        <w:t>— Established with the acquisition of Energy Center Omaha and Energy Center Phoenix, these intangibles represent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at the acquisition date of the businesses' customer base. The customer relationships related to Energy Center Omaha are amortized as a reduction to operating revenue, which approximates the expected discounted future net cash flows by year.</w:t>
      </w:r>
    </w:p>
    <w:p>
      <w:pPr>
        <w:spacing w:after="0" w:line="57"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Customer contracts </w:t>
      </w:r>
      <w:r>
        <w:rPr>
          <w:rFonts w:ascii="Arial" w:cs="Arial" w:eastAsia="Arial" w:hAnsi="Arial"/>
          <w:sz w:val="18"/>
          <w:szCs w:val="18"/>
          <w:color w:val="auto"/>
        </w:rPr>
        <w:t>— Established with the acquisition of Energy Center Phoenix, these intangibles represent the fair value at the acquisition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that primarily provide chilled water, steam and electricity to its customers.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908" w:right="239" w:bottom="1440" w:gutter="0" w:footer="0" w:header="0"/>
        </w:sectPr>
      </w:pPr>
    </w:p>
    <w:bookmarkStart w:id="120" w:name="page121"/>
    <w:bookmarkEnd w:id="120"/>
    <w:p>
      <w:pPr>
        <w:ind w:left="660"/>
        <w:spacing w:after="0"/>
        <w:rPr>
          <w:sz w:val="20"/>
          <w:szCs w:val="20"/>
          <w:color w:val="auto"/>
        </w:rPr>
      </w:pPr>
      <w:r>
        <w:rPr>
          <w:rFonts w:ascii="Arial" w:cs="Arial" w:eastAsia="Arial" w:hAnsi="Arial"/>
          <w:sz w:val="18"/>
          <w:szCs w:val="18"/>
          <w:color w:val="auto"/>
        </w:rPr>
        <w:t>These contracts are amortized to revenues based on expected volumes.</w:t>
      </w:r>
    </w:p>
    <w:p>
      <w:pPr>
        <w:spacing w:after="0" w:line="30" w:lineRule="exact"/>
        <w:rPr>
          <w:sz w:val="20"/>
          <w:szCs w:val="20"/>
          <w:color w:val="auto"/>
        </w:rPr>
      </w:pPr>
    </w:p>
    <w:p>
      <w:pPr>
        <w:jc w:val="both"/>
        <w:ind w:left="660" w:hanging="328"/>
        <w:spacing w:after="0" w:line="276" w:lineRule="auto"/>
        <w:tabs>
          <w:tab w:leader="none" w:pos="6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Emission Allowances </w:t>
      </w:r>
      <w:r>
        <w:rPr>
          <w:rFonts w:ascii="Arial" w:cs="Arial" w:eastAsia="Arial" w:hAnsi="Arial"/>
          <w:sz w:val="18"/>
          <w:szCs w:val="18"/>
          <w:color w:val="auto"/>
        </w:rPr>
        <w:t>— These intangibles primarily consist of SO</w:t>
      </w:r>
      <w:r>
        <w:rPr>
          <w:rFonts w:ascii="Arial" w:cs="Arial" w:eastAsia="Arial" w:hAnsi="Arial"/>
          <w:sz w:val="25"/>
          <w:szCs w:val="25"/>
          <w:color w:val="auto"/>
          <w:vertAlign w:val="sub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4"/>
          <w:szCs w:val="14"/>
          <w:color w:val="auto"/>
        </w:rPr>
        <w:t>x</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 allowances established with the El Segundo, Walnut Creek</w:t>
      </w:r>
      <w:r>
        <w:rPr>
          <w:rFonts w:ascii="Arial" w:cs="Arial" w:eastAsia="Arial" w:hAnsi="Arial"/>
          <w:sz w:val="18"/>
          <w:szCs w:val="18"/>
          <w:i w:val="1"/>
          <w:iCs w:val="1"/>
          <w:color w:val="auto"/>
        </w:rPr>
        <w:t xml:space="preserve"> </w:t>
      </w:r>
      <w:r>
        <w:rPr>
          <w:rFonts w:ascii="Arial" w:cs="Arial" w:eastAsia="Arial" w:hAnsi="Arial"/>
          <w:sz w:val="18"/>
          <w:szCs w:val="18"/>
          <w:color w:val="auto"/>
        </w:rPr>
        <w:t>and Carlsbad Energy Center acquisitions. These emission allowances are held-for-use and are amortized to cost of operations, with NO</w:t>
      </w:r>
      <w:r>
        <w:rPr>
          <w:rFonts w:ascii="Arial" w:cs="Arial" w:eastAsia="Arial" w:hAnsi="Arial"/>
          <w:sz w:val="14"/>
          <w:szCs w:val="14"/>
          <w:color w:val="auto"/>
        </w:rPr>
        <w:t>x</w:t>
      </w:r>
      <w:r>
        <w:rPr>
          <w:rFonts w:ascii="Arial" w:cs="Arial" w:eastAsia="Arial" w:hAnsi="Arial"/>
          <w:sz w:val="18"/>
          <w:szCs w:val="18"/>
          <w:color w:val="auto"/>
        </w:rPr>
        <w:t xml:space="preserve"> allowances amortized on a straight-line basis and SO</w:t>
      </w:r>
      <w:r>
        <w:rPr>
          <w:rFonts w:ascii="Arial" w:cs="Arial" w:eastAsia="Arial" w:hAnsi="Arial"/>
          <w:sz w:val="12"/>
          <w:szCs w:val="12"/>
          <w:color w:val="auto"/>
        </w:rPr>
        <w:t>2</w:t>
      </w:r>
      <w:r>
        <w:rPr>
          <w:rFonts w:ascii="Arial" w:cs="Arial" w:eastAsia="Arial" w:hAnsi="Arial"/>
          <w:sz w:val="18"/>
          <w:szCs w:val="18"/>
          <w:color w:val="auto"/>
        </w:rPr>
        <w:t xml:space="preserve"> allowances amortized based on units of production.</w:t>
      </w:r>
    </w:p>
    <w:p>
      <w:pPr>
        <w:spacing w:after="0" w:line="63"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71"/>
        </w:numPr>
        <w:rPr>
          <w:rFonts w:ascii="Arial" w:cs="Arial" w:eastAsia="Arial" w:hAnsi="Arial"/>
          <w:sz w:val="18"/>
          <w:szCs w:val="18"/>
          <w:i w:val="1"/>
          <w:iCs w:val="1"/>
          <w:color w:val="auto"/>
        </w:rPr>
      </w:pPr>
      <w:r>
        <w:rPr>
          <w:rFonts w:ascii="Arial" w:cs="Arial" w:eastAsia="Arial" w:hAnsi="Arial"/>
          <w:sz w:val="18"/>
          <w:szCs w:val="18"/>
          <w:color w:val="auto"/>
        </w:rPr>
        <w:t>Other — Consists of a) the acquisition date fair value of the contractual rights to a ground lease for South Trent and to utilize certain interconnection facilities for Blythe, as well as land rights acquired in connection with the acquisition of Elbow Creek, and b) development rights related to certain solar businesses acquired in 2010 and 2011.</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the components of intangible assets subject to amortization: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 2019</w:t>
            </w:r>
          </w:p>
        </w:tc>
        <w:tc>
          <w:tcPr>
            <w:tcW w:w="260" w:type="dxa"/>
            <w:vAlign w:val="bottom"/>
          </w:tcPr>
          <w:p>
            <w:pPr>
              <w:spacing w:after="0"/>
              <w:rPr>
                <w:sz w:val="14"/>
                <w:szCs w:val="1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PPAs</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Leasehold</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Customer</w:t>
            </w:r>
          </w:p>
        </w:tc>
        <w:tc>
          <w:tcPr>
            <w:tcW w:w="1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Customer</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Emission</w:t>
            </w:r>
          </w:p>
        </w:tc>
        <w:tc>
          <w:tcPr>
            <w:tcW w:w="20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54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Rights</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Relationships</w:t>
            </w:r>
          </w:p>
        </w:tc>
        <w:tc>
          <w:tcPr>
            <w:tcW w:w="160" w:type="dxa"/>
            <w:vAlign w:val="bottom"/>
          </w:tcPr>
          <w:p>
            <w:pPr>
              <w:spacing w:after="0"/>
              <w:rPr>
                <w:sz w:val="13"/>
                <w:szCs w:val="13"/>
                <w:color w:val="auto"/>
              </w:rPr>
            </w:pPr>
          </w:p>
        </w:tc>
        <w:tc>
          <w:tcPr>
            <w:tcW w:w="9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8"/>
              </w:rPr>
              <w:t>Allowances</w:t>
            </w: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35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January 1, 2019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 of Carlsbad Energy Center</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December 31, 2019</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57"/>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Net carrying amount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260" w:type="dxa"/>
            <w:vAlign w:val="bottom"/>
          </w:tcPr>
          <w:p>
            <w:pPr>
              <w:spacing w:after="0"/>
              <w:rPr>
                <w:sz w:val="24"/>
                <w:szCs w:val="2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PPAs</w:t>
            </w:r>
          </w:p>
        </w:tc>
        <w:tc>
          <w:tcPr>
            <w:tcW w:w="16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Leasehold</w:t>
            </w:r>
          </w:p>
        </w:tc>
        <w:tc>
          <w:tcPr>
            <w:tcW w:w="18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Customer</w:t>
            </w:r>
          </w:p>
        </w:tc>
        <w:tc>
          <w:tcPr>
            <w:tcW w:w="16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Customer</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Emission</w:t>
            </w:r>
          </w:p>
        </w:tc>
        <w:tc>
          <w:tcPr>
            <w:tcW w:w="200" w:type="dxa"/>
            <w:vAlign w:val="bottom"/>
          </w:tcPr>
          <w:p>
            <w:pPr>
              <w:spacing w:after="0"/>
              <w:rPr>
                <w:sz w:val="24"/>
                <w:szCs w:val="2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4"/>
                <w:szCs w:val="2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54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Rights</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Relationships</w:t>
            </w:r>
          </w:p>
        </w:tc>
        <w:tc>
          <w:tcPr>
            <w:tcW w:w="160" w:type="dxa"/>
            <w:vAlign w:val="bottom"/>
          </w:tcPr>
          <w:p>
            <w:pPr>
              <w:spacing w:after="0"/>
              <w:rPr>
                <w:sz w:val="13"/>
                <w:szCs w:val="13"/>
                <w:color w:val="auto"/>
              </w:rPr>
            </w:pPr>
          </w:p>
        </w:tc>
        <w:tc>
          <w:tcPr>
            <w:tcW w:w="9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8"/>
              </w:rPr>
              <w:t>Allowances</w:t>
            </w: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35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December 31, 2018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57"/>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Net carrying amount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recorded amortization expense of $73 million during the year ended December 31, 2019 and $71 million for the years ended December 31, 2018 and December 31, 2017. Of these amounts, $72 million for the year ended December 31, 2019 and $70 million for the years ended December 31, 2018 and December 31, 2017, were recorded to contract amortization expense and reduced operating revenues in the consolidated statements of operations. The Company estimates the future amortization expense for its intangibles for the next five years as follows:</w:t>
      </w:r>
    </w:p>
    <w:p>
      <w:pPr>
        <w:spacing w:after="0" w:line="294" w:lineRule="exact"/>
        <w:rPr>
          <w:sz w:val="20"/>
          <w:szCs w:val="20"/>
          <w:color w:val="auto"/>
        </w:rPr>
      </w:pPr>
    </w:p>
    <w:tbl>
      <w:tblPr>
        <w:tblLayout w:type="fixed"/>
        <w:tblInd w:w="348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2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487"/>
        </w:trPr>
        <w:tc>
          <w:tcPr>
            <w:tcW w:w="2760" w:type="dxa"/>
            <w:vAlign w:val="bottom"/>
          </w:tcPr>
          <w:p>
            <w:pPr>
              <w:jc w:val="right"/>
              <w:ind w:right="2319"/>
              <w:spacing w:after="0"/>
              <w:rPr>
                <w:sz w:val="20"/>
                <w:szCs w:val="20"/>
                <w:color w:val="auto"/>
              </w:rPr>
            </w:pPr>
            <w:r>
              <w:rPr>
                <w:rFonts w:ascii="Arial" w:cs="Arial" w:eastAsia="Arial" w:hAnsi="Arial"/>
                <w:sz w:val="16"/>
                <w:szCs w:val="16"/>
                <w:color w:val="auto"/>
                <w:w w:val="95"/>
              </w:rPr>
              <w:t>2020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2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760" w:type="dxa"/>
            <w:vAlign w:val="bottom"/>
            <w:tcBorders>
              <w:bottom w:val="single" w:sz="8" w:color="CCEEFF"/>
            </w:tcBorders>
            <w:shd w:val="clear" w:color="auto" w:fill="CCEEFF"/>
          </w:tcPr>
          <w:p>
            <w:pPr>
              <w:jc w:val="right"/>
              <w:ind w:right="2319"/>
              <w:spacing w:after="0"/>
              <w:rPr>
                <w:sz w:val="20"/>
                <w:szCs w:val="20"/>
                <w:color w:val="auto"/>
              </w:rPr>
            </w:pPr>
            <w:r>
              <w:rPr>
                <w:rFonts w:ascii="Arial" w:cs="Arial" w:eastAsia="Arial" w:hAnsi="Arial"/>
                <w:sz w:val="16"/>
                <w:szCs w:val="16"/>
                <w:color w:val="auto"/>
                <w:w w:val="95"/>
              </w:rPr>
              <w:t>2021</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24"/>
        </w:trPr>
        <w:tc>
          <w:tcPr>
            <w:tcW w:w="2760" w:type="dxa"/>
            <w:vAlign w:val="bottom"/>
          </w:tcPr>
          <w:p>
            <w:pPr>
              <w:jc w:val="right"/>
              <w:ind w:right="2319"/>
              <w:spacing w:after="0"/>
              <w:rPr>
                <w:sz w:val="20"/>
                <w:szCs w:val="20"/>
                <w:color w:val="auto"/>
              </w:rPr>
            </w:pPr>
            <w:r>
              <w:rPr>
                <w:rFonts w:ascii="Arial" w:cs="Arial" w:eastAsia="Arial" w:hAnsi="Arial"/>
                <w:sz w:val="16"/>
                <w:szCs w:val="16"/>
                <w:color w:val="auto"/>
                <w:w w:val="95"/>
              </w:rPr>
              <w:t>2022</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2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760" w:type="dxa"/>
            <w:vAlign w:val="bottom"/>
            <w:tcBorders>
              <w:bottom w:val="single" w:sz="8" w:color="CCEEFF"/>
            </w:tcBorders>
            <w:shd w:val="clear" w:color="auto" w:fill="CCEEFF"/>
          </w:tcPr>
          <w:p>
            <w:pPr>
              <w:jc w:val="right"/>
              <w:ind w:right="2319"/>
              <w:spacing w:after="0"/>
              <w:rPr>
                <w:sz w:val="20"/>
                <w:szCs w:val="20"/>
                <w:color w:val="auto"/>
              </w:rPr>
            </w:pPr>
            <w:r>
              <w:rPr>
                <w:rFonts w:ascii="Arial" w:cs="Arial" w:eastAsia="Arial" w:hAnsi="Arial"/>
                <w:sz w:val="16"/>
                <w:szCs w:val="16"/>
                <w:color w:val="auto"/>
                <w:w w:val="95"/>
              </w:rPr>
              <w:t>2023</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24"/>
        </w:trPr>
        <w:tc>
          <w:tcPr>
            <w:tcW w:w="2760" w:type="dxa"/>
            <w:vAlign w:val="bottom"/>
          </w:tcPr>
          <w:p>
            <w:pPr>
              <w:jc w:val="right"/>
              <w:ind w:right="2319"/>
              <w:spacing w:after="0"/>
              <w:rPr>
                <w:sz w:val="20"/>
                <w:szCs w:val="20"/>
                <w:color w:val="auto"/>
              </w:rPr>
            </w:pPr>
            <w:r>
              <w:rPr>
                <w:rFonts w:ascii="Arial" w:cs="Arial" w:eastAsia="Arial" w:hAnsi="Arial"/>
                <w:sz w:val="16"/>
                <w:szCs w:val="16"/>
                <w:color w:val="auto"/>
                <w:w w:val="95"/>
              </w:rPr>
              <w:t>2024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Asset Impairments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Impairment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recorded an impairment loss of $19 million related to a facility in the Thermal segment during the second quarter of 2019. The impairment was triggered by a potential sale negotiation with a third party which resulted in signing the purchase and sale agreement in September, as further described in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908" w:right="239" w:bottom="1440" w:gutter="0" w:footer="0" w:header="0"/>
        </w:sectPr>
      </w:pPr>
    </w:p>
    <w:bookmarkStart w:id="121" w:name="page122"/>
    <w:bookmarkEnd w:id="121"/>
    <w:p>
      <w:pPr>
        <w:jc w:val="both"/>
        <w:ind w:firstLine="648"/>
        <w:spacing w:after="0" w:line="273" w:lineRule="auto"/>
        <w:rPr>
          <w:sz w:val="20"/>
          <w:szCs w:val="20"/>
          <w:color w:val="auto"/>
        </w:rPr>
      </w:pPr>
      <w:r>
        <w:rPr>
          <w:rFonts w:ascii="Arial" w:cs="Arial" w:eastAsia="Arial" w:hAnsi="Arial"/>
          <w:sz w:val="17"/>
          <w:szCs w:val="17"/>
          <w:color w:val="auto"/>
        </w:rPr>
        <w:t>Additionally, during the fourth quarter of 2019, as a result of the preparation and review of its annual budget and assessment of long-term merchant power prices, the Company updated its estimated future cash flows and determined that the future cash flows for several wind projects from the Renewables segment no longer supported the recoverability of the related long-lived asset. As such, the Company recorded an impairment loss of $14 million to reflect the assets at fair market value. The fair value of the facilities was determined using an income approach by applying a discounted cash flow methodology to the long-term budgets for each respective plant. The income approach included key inputs such as forecasted merchant power prices, operations and maintenance expense, and discount rates. The resulting fair value is a Level 3 fair value measurement.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Impairment Losses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fourth quarter of 2017, as the Company updated its estimated cash flows in connection with the preparation and review of the Company's annual budget, the Company determined that the cash flows for Elbow Creek, located in Texas, and the Forward project, located in Pennsylvania, were below the carrying value of the related assets, primarily driven by continued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$26 million and $5 million for Elbow Creek and Forward, respectively.</w:t>
      </w:r>
    </w:p>
    <w:p>
      <w:pPr>
        <w:spacing w:after="0" w:line="1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Additionally, during the quarter ended September 30, 2017, in connection with the preparation of the model for sale of the November 2017 Drop Down Assets, it was identified that undiscounted cash flows were lower than the book value of certain SPP funds and NRG recorded an impairment expense of $13 million, $8 million of which relates to property, plant, and equipment and $5 million to PPAs, as described in Note 8, </w:t>
      </w:r>
      <w:r>
        <w:rPr>
          <w:rFonts w:ascii="Arial" w:cs="Arial" w:eastAsia="Arial" w:hAnsi="Arial"/>
          <w:sz w:val="17"/>
          <w:szCs w:val="17"/>
          <w:i w:val="1"/>
          <w:iCs w:val="1"/>
          <w:color w:val="auto"/>
        </w:rPr>
        <w:t>Intangible Assets</w:t>
      </w:r>
      <w:r>
        <w:rPr>
          <w:rFonts w:ascii="Arial" w:cs="Arial" w:eastAsia="Arial" w:hAnsi="Arial"/>
          <w:sz w:val="17"/>
          <w:szCs w:val="17"/>
          <w:color w:val="auto"/>
        </w:rPr>
        <w:t>. In accordance with the guidance for transfer of assets under common control, the impairment is reflected in the pre-acquisition net income of Drop Down Assets of the Company's consolidated statements of operations for the period ended December 31, 2017.</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909"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10 — Long-term Debt</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borrowings, including short term and long term portions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47"/>
              <w:spacing w:after="0"/>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1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 2018</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Interest rate % </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32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47"/>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(In millions, except rates)</w:t>
            </w: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 affiliate, due 2019</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Long-term debt - affiliate, due 2020</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2024 Senior Notes </w:t>
            </w:r>
            <w:r>
              <w:rPr>
                <w:rFonts w:ascii="Arial" w:cs="Arial" w:eastAsia="Arial" w:hAnsi="Arial"/>
                <w:sz w:val="8"/>
                <w:szCs w:val="8"/>
                <w:color w:val="auto"/>
              </w:rPr>
              <w:t>(b)</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2025 Senior Notes</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600</w:t>
            </w: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2026 Senior Notes</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2028 Senior Notes</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4.750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Clearway Energy LLC and Clearway Energy Operating LLC Revolving Credit Facility, due</w:t>
            </w: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2019 </w:t>
            </w:r>
            <w:r>
              <w:rPr>
                <w:rFonts w:ascii="Arial" w:cs="Arial" w:eastAsia="Arial" w:hAnsi="Arial"/>
                <w:sz w:val="8"/>
                <w:szCs w:val="8"/>
                <w:color w:val="auto"/>
              </w:rPr>
              <w:t>(c)</w:t>
            </w: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Project-level debt:</w:t>
            </w: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Agua Caliente Borrower 2, due 2038 </w:t>
            </w:r>
            <w:r>
              <w:rPr>
                <w:rFonts w:ascii="Arial" w:cs="Arial" w:eastAsia="Arial" w:hAnsi="Arial"/>
                <w:sz w:val="8"/>
                <w:szCs w:val="8"/>
                <w:color w:val="auto"/>
              </w:rPr>
              <w:t>(d)</w:t>
            </w:r>
          </w:p>
        </w:tc>
        <w:tc>
          <w:tcPr>
            <w:tcW w:w="4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 xml:space="preserve">Alpine, due 2022 </w:t>
            </w:r>
            <w:r>
              <w:rPr>
                <w:rFonts w:ascii="Arial" w:cs="Arial" w:eastAsia="Arial" w:hAnsi="Arial"/>
                <w:sz w:val="8"/>
                <w:szCs w:val="8"/>
                <w:color w:val="auto"/>
              </w:rPr>
              <w:t>(d)</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34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L+2.00</w:t>
            </w:r>
          </w:p>
        </w:tc>
        <w:tc>
          <w:tcPr>
            <w:tcW w:w="140" w:type="dxa"/>
            <w:vAlign w:val="bottom"/>
          </w:tcPr>
          <w:p>
            <w:pPr>
              <w:spacing w:after="0"/>
              <w:rPr>
                <w:sz w:val="22"/>
                <w:szCs w:val="22"/>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Wind I - V lease financing arrangements, due 2034 and 2035</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5.696 - 7.015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Buckthorn Solar, due 2025</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34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L+1.750</w:t>
            </w:r>
          </w:p>
        </w:tc>
        <w:tc>
          <w:tcPr>
            <w:tcW w:w="140" w:type="dxa"/>
            <w:vAlign w:val="bottom"/>
          </w:tcPr>
          <w:p>
            <w:pPr>
              <w:spacing w:after="0"/>
              <w:rPr>
                <w:sz w:val="22"/>
                <w:szCs w:val="22"/>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Carlsbad Holdco, due 2038</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Carlsbad Energy Holdings LLC, due 2027</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L+1.625/4.12</w:t>
            </w:r>
          </w:p>
        </w:tc>
        <w:tc>
          <w:tcPr>
            <w:tcW w:w="140" w:type="dxa"/>
            <w:vAlign w:val="bottom"/>
          </w:tcPr>
          <w:p>
            <w:pPr>
              <w:spacing w:after="0"/>
              <w:rPr>
                <w:sz w:val="22"/>
                <w:szCs w:val="22"/>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CVSR, due 2037 </w:t>
            </w:r>
            <w:r>
              <w:rPr>
                <w:rFonts w:ascii="Arial" w:cs="Arial" w:eastAsia="Arial" w:hAnsi="Arial"/>
                <w:sz w:val="8"/>
                <w:szCs w:val="8"/>
                <w:color w:val="auto"/>
              </w:rPr>
              <w:t>(d)</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2.339 - 3.775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 xml:space="preserve">CVSR Holdco Notes, due 2037 </w:t>
            </w:r>
            <w:r>
              <w:rPr>
                <w:rFonts w:ascii="Arial" w:cs="Arial" w:eastAsia="Arial" w:hAnsi="Arial"/>
                <w:sz w:val="8"/>
                <w:szCs w:val="8"/>
                <w:color w:val="auto"/>
              </w:rPr>
              <w:t>(d)</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4.680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Duquesne, due 2059</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El Segundo Energy Center, due 2023</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352</w:t>
            </w:r>
          </w:p>
        </w:tc>
        <w:tc>
          <w:tcPr>
            <w:tcW w:w="34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L+1.75 - L+2.375</w:t>
            </w:r>
          </w:p>
        </w:tc>
        <w:tc>
          <w:tcPr>
            <w:tcW w:w="140" w:type="dxa"/>
            <w:vAlign w:val="bottom"/>
          </w:tcPr>
          <w:p>
            <w:pPr>
              <w:spacing w:after="0"/>
              <w:rPr>
                <w:sz w:val="22"/>
                <w:szCs w:val="22"/>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Energy Center Minneapolis Series D, E, F, G, H Notes, due 2025-2037</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w:t>
            </w:r>
          </w:p>
        </w:tc>
        <w:tc>
          <w:tcPr>
            <w:tcW w:w="3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various</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Laredo Ridge, due 2028</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34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L+2.125</w:t>
            </w:r>
          </w:p>
        </w:tc>
        <w:tc>
          <w:tcPr>
            <w:tcW w:w="140" w:type="dxa"/>
            <w:vAlign w:val="bottom"/>
          </w:tcPr>
          <w:p>
            <w:pPr>
              <w:spacing w:after="0"/>
              <w:rPr>
                <w:sz w:val="22"/>
                <w:szCs w:val="22"/>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Kansas South, due 2030 </w:t>
            </w:r>
            <w:r>
              <w:rPr>
                <w:rFonts w:ascii="Arial" w:cs="Arial" w:eastAsia="Arial" w:hAnsi="Arial"/>
                <w:sz w:val="8"/>
                <w:szCs w:val="8"/>
                <w:color w:val="auto"/>
              </w:rPr>
              <w:t>(d)</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3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L+2.25</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Kawailoa Solar Holdings LLC, due 2026</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L+1.375</w:t>
            </w:r>
          </w:p>
        </w:tc>
        <w:tc>
          <w:tcPr>
            <w:tcW w:w="140" w:type="dxa"/>
            <w:vAlign w:val="bottom"/>
          </w:tcPr>
          <w:p>
            <w:pPr>
              <w:spacing w:after="0"/>
              <w:rPr>
                <w:sz w:val="22"/>
                <w:szCs w:val="22"/>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Marsh Landing, due 2023 </w:t>
            </w:r>
            <w:r>
              <w:rPr>
                <w:rFonts w:ascii="Arial" w:cs="Arial" w:eastAsia="Arial" w:hAnsi="Arial"/>
                <w:sz w:val="8"/>
                <w:szCs w:val="8"/>
                <w:color w:val="auto"/>
              </w:rPr>
              <w:t>(d)</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w:t>
            </w:r>
          </w:p>
        </w:tc>
        <w:tc>
          <w:tcPr>
            <w:tcW w:w="3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L+2.125</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Oahu Solar Holdings LLC, due 2026</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L+1.375</w:t>
            </w:r>
          </w:p>
        </w:tc>
        <w:tc>
          <w:tcPr>
            <w:tcW w:w="140" w:type="dxa"/>
            <w:vAlign w:val="bottom"/>
          </w:tcPr>
          <w:p>
            <w:pPr>
              <w:spacing w:after="0"/>
              <w:rPr>
                <w:sz w:val="22"/>
                <w:szCs w:val="22"/>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Repowering Partnership Holdco LLC, due 2020</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L+.85</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South Trent Wind, due 2028</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34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L+1.350</w:t>
            </w:r>
          </w:p>
        </w:tc>
        <w:tc>
          <w:tcPr>
            <w:tcW w:w="140" w:type="dxa"/>
            <w:vAlign w:val="bottom"/>
          </w:tcPr>
          <w:p>
            <w:pPr>
              <w:spacing w:after="0"/>
              <w:rPr>
                <w:sz w:val="22"/>
                <w:szCs w:val="22"/>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Tapestry, due 2031</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3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L+1.375</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Utah Solar Portfolio, due 2022</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34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L+2.625</w:t>
            </w:r>
          </w:p>
        </w:tc>
        <w:tc>
          <w:tcPr>
            <w:tcW w:w="140" w:type="dxa"/>
            <w:vAlign w:val="bottom"/>
          </w:tcPr>
          <w:p>
            <w:pPr>
              <w:spacing w:after="0"/>
              <w:rPr>
                <w:sz w:val="22"/>
                <w:szCs w:val="22"/>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Viento, due 2023</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3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L+2.00</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Walnut Creek, due 2023</w:t>
            </w:r>
          </w:p>
        </w:tc>
        <w:tc>
          <w:tcPr>
            <w:tcW w:w="4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34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L+1.75</w:t>
            </w:r>
          </w:p>
        </w:tc>
        <w:tc>
          <w:tcPr>
            <w:tcW w:w="140" w:type="dxa"/>
            <w:vAlign w:val="bottom"/>
          </w:tcPr>
          <w:p>
            <w:pPr>
              <w:spacing w:after="0"/>
              <w:rPr>
                <w:sz w:val="22"/>
                <w:szCs w:val="22"/>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c>
          <w:tcPr>
            <w:tcW w:w="3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various</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Subtotal project-level debt</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5,175</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4,329</w:t>
            </w:r>
          </w:p>
        </w:tc>
        <w:tc>
          <w:tcPr>
            <w:tcW w:w="3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debt</w:t>
            </w: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6,857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6,038</w:t>
            </w: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Less current maturities</w:t>
            </w:r>
          </w:p>
        </w:tc>
        <w:tc>
          <w:tcPr>
            <w:tcW w:w="4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(1,824)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(529)</w:t>
            </w: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debt issuance costs</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4"/>
                <w:szCs w:val="14"/>
                <w:color w:val="auto"/>
              </w:rPr>
              <w:t>Total long-term debt</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4,956</w:t>
            </w:r>
          </w:p>
        </w:tc>
        <w:tc>
          <w:tcPr>
            <w:tcW w:w="120" w:type="dxa"/>
            <w:vAlign w:val="bottom"/>
          </w:tcPr>
          <w:p>
            <w:pPr>
              <w:spacing w:after="0"/>
              <w:rPr>
                <w:sz w:val="21"/>
                <w:szCs w:val="21"/>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5,448</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976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80" w:hanging="172"/>
        <w:spacing w:after="0" w:line="236" w:lineRule="auto"/>
        <w:tabs>
          <w:tab w:leader="none" w:pos="153" w:val="left"/>
        </w:tabs>
        <w:numPr>
          <w:ilvl w:val="0"/>
          <w:numId w:val="72"/>
        </w:numPr>
        <w:rPr>
          <w:rFonts w:ascii="Arial" w:cs="Arial" w:eastAsia="Arial" w:hAnsi="Arial"/>
          <w:sz w:val="9"/>
          <w:szCs w:val="9"/>
          <w:color w:val="auto"/>
        </w:rPr>
      </w:pPr>
      <w:r>
        <w:rPr>
          <w:rFonts w:ascii="Arial" w:cs="Arial" w:eastAsia="Arial" w:hAnsi="Arial"/>
          <w:sz w:val="14"/>
          <w:szCs w:val="14"/>
          <w:color w:val="auto"/>
        </w:rPr>
        <w:t>As of December 31, 2019, L+ equals 3 month LIBOR plus x%, except for Viento, due 2023 and Kansas South, due 2030; where L + equals 6 month LIBOR plus 2.00% and Utah Solar Portfolio and Repowering Partnership Holdco LLC, where L+equals 1 month LIBOR plus x%.</w:t>
      </w:r>
    </w:p>
    <w:p>
      <w:pPr>
        <w:spacing w:after="0" w:line="7" w:lineRule="exact"/>
        <w:rPr>
          <w:rFonts w:ascii="Arial" w:cs="Arial" w:eastAsia="Arial" w:hAnsi="Arial"/>
          <w:sz w:val="9"/>
          <w:szCs w:val="9"/>
          <w:color w:val="auto"/>
        </w:rPr>
      </w:pPr>
    </w:p>
    <w:p>
      <w:pPr>
        <w:ind w:left="140" w:hanging="132"/>
        <w:spacing w:after="0"/>
        <w:tabs>
          <w:tab w:leader="none" w:pos="140" w:val="left"/>
        </w:tabs>
        <w:numPr>
          <w:ilvl w:val="0"/>
          <w:numId w:val="72"/>
        </w:numPr>
        <w:rPr>
          <w:rFonts w:ascii="Arial" w:cs="Arial" w:eastAsia="Arial" w:hAnsi="Arial"/>
          <w:sz w:val="9"/>
          <w:szCs w:val="9"/>
          <w:color w:val="auto"/>
        </w:rPr>
      </w:pPr>
      <w:r>
        <w:rPr>
          <w:rFonts w:ascii="Arial" w:cs="Arial" w:eastAsia="Arial" w:hAnsi="Arial"/>
          <w:sz w:val="14"/>
          <w:szCs w:val="14"/>
          <w:color w:val="auto"/>
        </w:rPr>
        <w:t>Repurchased in January 2020 as part of the 2024 Senior Notes Tender Offer, as further described below.</w:t>
      </w:r>
    </w:p>
    <w:p>
      <w:pPr>
        <w:spacing w:after="0" w:line="28" w:lineRule="exact"/>
        <w:rPr>
          <w:rFonts w:ascii="Arial" w:cs="Arial" w:eastAsia="Arial" w:hAnsi="Arial"/>
          <w:sz w:val="9"/>
          <w:szCs w:val="9"/>
          <w:color w:val="auto"/>
        </w:rPr>
      </w:pPr>
    </w:p>
    <w:p>
      <w:pPr>
        <w:ind w:left="140" w:hanging="132"/>
        <w:spacing w:after="0"/>
        <w:tabs>
          <w:tab w:leader="none" w:pos="140" w:val="left"/>
        </w:tabs>
        <w:numPr>
          <w:ilvl w:val="0"/>
          <w:numId w:val="72"/>
        </w:numPr>
        <w:rPr>
          <w:rFonts w:ascii="Arial" w:cs="Arial" w:eastAsia="Arial" w:hAnsi="Arial"/>
          <w:sz w:val="9"/>
          <w:szCs w:val="9"/>
          <w:color w:val="auto"/>
        </w:rPr>
      </w:pPr>
      <w:r>
        <w:rPr>
          <w:rFonts w:ascii="Arial" w:cs="Arial" w:eastAsia="Arial" w:hAnsi="Arial"/>
          <w:sz w:val="14"/>
          <w:szCs w:val="14"/>
          <w:color w:val="auto"/>
        </w:rPr>
        <w:t>Applicable rate is determined by the borrower leverage ratio, as defined in the credit agreement.</w:t>
      </w:r>
    </w:p>
    <w:p>
      <w:pPr>
        <w:spacing w:after="0" w:line="28" w:lineRule="exact"/>
        <w:rPr>
          <w:rFonts w:ascii="Arial" w:cs="Arial" w:eastAsia="Arial" w:hAnsi="Arial"/>
          <w:sz w:val="9"/>
          <w:szCs w:val="9"/>
          <w:color w:val="auto"/>
        </w:rPr>
      </w:pPr>
    </w:p>
    <w:p>
      <w:pPr>
        <w:ind w:left="140" w:hanging="132"/>
        <w:spacing w:after="0"/>
        <w:tabs>
          <w:tab w:leader="none" w:pos="140" w:val="left"/>
        </w:tabs>
        <w:numPr>
          <w:ilvl w:val="0"/>
          <w:numId w:val="72"/>
        </w:numPr>
        <w:rPr>
          <w:rFonts w:ascii="Arial" w:cs="Arial" w:eastAsia="Arial" w:hAnsi="Arial"/>
          <w:sz w:val="9"/>
          <w:szCs w:val="9"/>
          <w:color w:val="auto"/>
        </w:rPr>
      </w:pPr>
      <w:r>
        <w:rPr>
          <w:rFonts w:ascii="Arial" w:cs="Arial" w:eastAsia="Arial" w:hAnsi="Arial"/>
          <w:sz w:val="14"/>
          <w:szCs w:val="14"/>
          <w:color w:val="auto"/>
        </w:rPr>
        <w:t>Entities affected by PG&amp;E Bankruptcy, see further discussion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904" w:right="239" w:bottom="1440" w:gutter="0" w:footer="0" w:header="0"/>
        </w:sectPr>
      </w:pPr>
    </w:p>
    <w:bookmarkStart w:id="123" w:name="page124"/>
    <w:bookmarkEnd w:id="123"/>
    <w:p>
      <w:pPr>
        <w:jc w:val="both"/>
        <w:ind w:firstLine="648"/>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December 31, 2019, the Company was in compliance with all of the required covenants.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30, 2018, the Company closed on the refinancing of the revolving credit facility, which extended the maturity of the facility to April 28, 2023, and decreased the Company's overall cost of borrowing from L+2.50% to L+1.75%. The applicable rate is determined by the borrower leverage ratio, as defined in the credit agreement, and was L+1.75% as of December 31, 2019. The facility will continue to be used for general corporate purposes including financing of future acquisitions and posting letters of credit.</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12529"/>
        </w:rPr>
        <w:t>On December 20, 2019, the Company entered into the Fifth Amendment to Amended and Restated Credit Agreement to provide for an increase of 0.50x to the borrower leverage ratio, as defined in the Amended and Restated Credit Agreement, for the last two fiscal quarters of 2020 and to implement certain other technical modifications.</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made borrowings in the amount $152 million during the year ended December 31, 2019 under the revolving credit facility in order to partially finance the Carlsbad Drop Down acquisition, as well as for general business purposes. </w:t>
      </w:r>
      <w:r>
        <w:rPr>
          <w:rFonts w:ascii="Arial" w:cs="Arial" w:eastAsia="Arial" w:hAnsi="Arial"/>
          <w:sz w:val="17"/>
          <w:szCs w:val="17"/>
          <w:color w:val="231F20"/>
        </w:rPr>
        <w:t>As of</w:t>
      </w:r>
      <w:r>
        <w:rPr>
          <w:rFonts w:ascii="Arial" w:cs="Arial" w:eastAsia="Arial" w:hAnsi="Arial"/>
          <w:sz w:val="17"/>
          <w:szCs w:val="17"/>
          <w:color w:val="auto"/>
        </w:rPr>
        <w:t xml:space="preserve"> December 31, 2019</w:t>
      </w:r>
      <w:r>
        <w:rPr>
          <w:rFonts w:ascii="Arial" w:cs="Arial" w:eastAsia="Arial" w:hAnsi="Arial"/>
          <w:sz w:val="17"/>
          <w:szCs w:val="17"/>
          <w:color w:val="231F20"/>
        </w:rPr>
        <w:t>, there were no outstanding</w:t>
      </w:r>
      <w:r>
        <w:rPr>
          <w:rFonts w:ascii="Arial" w:cs="Arial" w:eastAsia="Arial" w:hAnsi="Arial"/>
          <w:sz w:val="17"/>
          <w:szCs w:val="17"/>
          <w:color w:val="auto"/>
        </w:rPr>
        <w:t xml:space="preserve"> </w:t>
      </w:r>
      <w:r>
        <w:rPr>
          <w:rFonts w:ascii="Arial" w:cs="Arial" w:eastAsia="Arial" w:hAnsi="Arial"/>
          <w:sz w:val="17"/>
          <w:szCs w:val="17"/>
          <w:color w:val="231F20"/>
        </w:rPr>
        <w:t xml:space="preserve">borrowings under the revolving credit facility and the Company had $70 million of letters of credit outstanding. </w:t>
      </w:r>
      <w:r>
        <w:rPr>
          <w:rFonts w:ascii="Arial" w:cs="Arial" w:eastAsia="Arial" w:hAnsi="Arial"/>
          <w:sz w:val="17"/>
          <w:szCs w:val="17"/>
          <w:color w:val="000000"/>
        </w:rPr>
        <w:t>The Company had $170 million outstanding</w:t>
      </w:r>
      <w:r>
        <w:rPr>
          <w:rFonts w:ascii="Arial" w:cs="Arial" w:eastAsia="Arial" w:hAnsi="Arial"/>
          <w:sz w:val="17"/>
          <w:szCs w:val="17"/>
          <w:color w:val="231F20"/>
        </w:rPr>
        <w:t xml:space="preserve"> </w:t>
      </w:r>
      <w:r>
        <w:rPr>
          <w:rFonts w:ascii="Arial" w:cs="Arial" w:eastAsia="Arial" w:hAnsi="Arial"/>
          <w:sz w:val="17"/>
          <w:szCs w:val="17"/>
          <w:color w:val="000000"/>
        </w:rPr>
        <w:t>under the revolving credit facility and a total of $69 million in letters of credit outstanding as of February 24,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2028 Senior Notes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11, 2019, Clearway Energy Operating LLC completed the sale of $600 million aggregate principal amount of Senior Unsecured Notes due 2028, or the 2028 Senior Notes.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Clearway Energy LLC and by certain of Clearway Energy Operating LLC's wholly owned current and future subsidiaries. The proceeds from the 2028 Senior Notes were partially used to repay the 2024 Senior Notes, as further described below.</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2024 Senior Notes Tender Offer</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13, 2019, the Company repurchased an aggregate principal amount of $412 million or 82.4%, of the 2024 Senior Notes as part of the previously cash tender offer announced on December 11, 2019. Concurrently with the launch of the tender offer, the Company exercised its right to optionally redeem any 2024 Senior Notes not validly tendered and purchased in the tender offer, pursuant to the terms of the indenture governing the 2024 Senior Notes. The redemption of the Senior Notes due 2024 in December were effectuated at a premium of 103% for a total consideration of $424 million and as a result, the Company recorded a loss on extinguishment in the amount of $12 million. In addition, the Company recorded a $2 million debt extinguishment loss in connection with the write off of the deferred financing fees related to the 2024 Senior Notes. The redemption of the remaining $88 million of outstanding 2024 Senior Notes occurred on January 3, 2020.</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 2018, Clearway Energy Operating LLC issued $600 million of senior unsecured notes, or the 2025 Senior Notes. The 2025 Senior Notes bear interest at 5.750% and mature on October 15, 2025. Interest on the 2025 Senior Notes is payable semi-annually on April 15 and October 15 of each year, The 2025 Senior Notes are unsecured obligations of Clearway Energy Operating LLC and are guaranteed by Clearway Energy LLC and by certain of Clearway Energy Operating LLC's wholly owned current and future subsidiaries. The proceeds from the 2025 Senior Notes were partially used to repay the 2019 Convertible Notes.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2019 Convertible Notes and 2020 Convertible Notes Tender Offer</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September 10, 2018, pursuant to the 2019 Convertible Notes and the 2020 Convertible Notes indentures, Clearway, Inc. delivered to the holders of the 2019 Convertible Notes and the 2020 Convertible Notes a fundamental change notice and offer to repurchase any and all of the 2019 Convertible Notes and 2020 Convertible Notes for cash at a price equal to 100% of the principal amount of the Convertible Notes plus any accrued and unpaid interest. The tender offer expired on October 9, 2018. An aggregate principal amount of $109 million of the 2019 Convertible Notes and $243 million of the 2020 Convertible Notes were tendered on or prior to the expiration date and accepted by the Company for purchase. After the expiration of the tender offer, $216 million aggregate principal amount of the intercompany note due 2019 remained outstanding and $44 million aggregate principal amount of the intercompany note due 2020 remained outstanding as of December 31, 2018. The 2019 Convertible Notes matured on February 1, 2019 and Clearway, Inc. paid off the remaining balance of an aggregate principal amount of $170 million, which</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908" w:right="2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t>was funded through the payment of the remaining balance of the intercompany note due 2019 between Clearway Energy Operating LLC and Clearway,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level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PG&amp;E Bankruptcy</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As discussed in Note 1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Nature of Business</w:t>
      </w:r>
      <w:r>
        <w:rPr>
          <w:rFonts w:ascii="Arial" w:cs="Arial" w:eastAsia="Arial" w:hAnsi="Arial"/>
          <w:sz w:val="16"/>
          <w:szCs w:val="16"/>
          <w:color w:val="auto"/>
        </w:rPr>
        <w:t>, on January 29, 2019</w:t>
      </w:r>
      <w:r>
        <w:rPr>
          <w:rFonts w:ascii="Arial" w:cs="Arial" w:eastAsia="Arial" w:hAnsi="Arial"/>
          <w:sz w:val="16"/>
          <w:szCs w:val="16"/>
          <w:i w:val="1"/>
          <w:iCs w:val="1"/>
          <w:color w:val="auto"/>
        </w:rPr>
        <w:t>,</w:t>
      </w:r>
      <w:r>
        <w:rPr>
          <w:rFonts w:ascii="Arial" w:cs="Arial" w:eastAsia="Arial" w:hAnsi="Arial"/>
          <w:sz w:val="16"/>
          <w:szCs w:val="16"/>
          <w:color w:val="auto"/>
        </w:rPr>
        <w:t xml:space="preserve"> PG&amp;E filed for reorganization under Chapter 11 of the U.S. Bankruptcy Code in the U.S. Bankruptcy Court for the Northern District of California, or the Bankruptcy Court. Certain subsidiaries of the Company are parties to financing agreements consisting of non-recourse project-level debt and, in certain cases, non-recourse holding company debt. The PG&amp;E Bankruptcy triggered defaults under the PPAs with PG&amp;E and such related project-level financing agreements. As a result, the Company recorded $1.2 billion of principal, net of the related unamortized debt issuance costs, as short-term debt as of December 31, 2019. In addition, distributions from these projects to Clearway Operating LLC are prohibited under the related debt agreements. As of March 2, 2020,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as events occur.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Carlsbad Drop Down Asset Debt</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On December 6, 2019, as part of the Carlsbad Drop Down acquisition, as further described in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the Company assumed $803 million of senior secured, non-recourse notes related to Carlsbad Holdco, LLC and Carlsbad Energy Holding LLC. The Carlsbad Holdco LLC notes bear an interest rate of 4.21%, and are fully amortizing over 19 years. In addition, Carlsbad Holdco LLC is party to a letter of credit facility agreement with the issuing banks for an aggregate principal amount not to exceed $10 million. Fees on the unused commitment are 0.65%. As of December 31, 2019, there were $5 million in letters of credit in support of the project issued and $216 million of notes were outstanding.</w:t>
      </w:r>
    </w:p>
    <w:p>
      <w:pPr>
        <w:spacing w:after="0" w:line="1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Carlsbad Energy Holdings, LLC is party to a note payable agreement with financial institutions for the issuance of up to $407 million of senior secured notes that bear interest at a rate of 4.12%, and mature on October 31, 2038. Carlsbad Energy Holdings, LLC is also party to a term loan agreement with issuing banks for an aggregate principal amount of $194 million at an issuance rate of LIBOR plus an applicable margin of 1.625% until February 25, 2022, 1.750% until February 25, 2025, and 1.875% until maturity. Fees on the unused commitment are 0.50%. upon completion of the project. The agreement also includes a letter of credit facility with an aggregate principal amount not to exceed $83 million, and a working capital loan facility with an aggregate principal amount not to exceed $4 million. As of December 31, 2019, $175 million was outstanding under the term loan and $87 million of letters of credit were issued.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Agua Caliente Borrower 2 Debt Repayment</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October 21, 2019</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through Agua Caliente Borrower </w:t>
      </w:r>
      <w:r>
        <w:rPr>
          <w:rFonts w:ascii="Arial" w:cs="Arial" w:eastAsia="Arial" w:hAnsi="Arial"/>
          <w:sz w:val="16"/>
          <w:szCs w:val="16"/>
          <w:i w:val="1"/>
          <w:iCs w:val="1"/>
          <w:color w:val="auto"/>
        </w:rPr>
        <w:t>2</w:t>
      </w:r>
      <w:r>
        <w:rPr>
          <w:rFonts w:ascii="Arial" w:cs="Arial" w:eastAsia="Arial" w:hAnsi="Arial"/>
          <w:sz w:val="16"/>
          <w:szCs w:val="16"/>
          <w:color w:val="auto"/>
        </w:rPr>
        <w:t xml:space="preserve"> LLC, repaid $40 million of the outstanding notes balance, including accrued interest and premiums, issued under the Agua Caliente Holdco Financing Agreement. The repayment was funded with Company's existing liquidity.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Repowering Partnership Holdco LLC, due 2020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14, 2019, as part of the Repowering Partnership, the Company entered into a financing agreement for non-recourse debt for a total commitment amount of $352 million related to the construction for the repowering activities at Wildorado and Elbow Creek. The debt consists of a construction loan at an interest rate of LIBOR plus 0.85%. The Company borrowings were utilized to repay $109 million of the outstanding balance, including accrued interest, under the Viento financing agreement, to reimburse Clearway Renew LLC for previous contributions into the Repowering Partnership and pay construction invoices. On November 26, 2019, the construction loan of $93 million related to the repowering activities at Elbow Creek was repaid with the proceeds from the tax equity investor. On February 7, 2020 the construction loan of $260 million related to the repowering activities at Wildorado was repaid with the proceeds from the tax equity investor.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Duquesne University</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1, 2019</w:t>
      </w:r>
      <w:r>
        <w:rPr>
          <w:rFonts w:ascii="Arial" w:cs="Arial" w:eastAsia="Arial" w:hAnsi="Arial"/>
          <w:sz w:val="17"/>
          <w:szCs w:val="17"/>
          <w:i w:val="1"/>
          <w:iCs w:val="1"/>
          <w:color w:val="auto"/>
        </w:rPr>
        <w:t>,</w:t>
      </w:r>
      <w:r>
        <w:rPr>
          <w:rFonts w:ascii="Arial" w:cs="Arial" w:eastAsia="Arial" w:hAnsi="Arial"/>
          <w:sz w:val="17"/>
          <w:szCs w:val="17"/>
          <w:color w:val="auto"/>
        </w:rPr>
        <w:t xml:space="preserve"> as part of the Duquesne University district energy system acquisition, ECP Uptown Campus LLC issued non-recourse debt of $95 million, excluding financing fees. The debt consists of senior notes at an interest rate of 4.62% that mature on May 1, 2059</w:t>
      </w:r>
      <w:r>
        <w:rPr>
          <w:rFonts w:ascii="Arial" w:cs="Arial" w:eastAsia="Arial" w:hAnsi="Arial"/>
          <w:sz w:val="17"/>
          <w:szCs w:val="17"/>
          <w:i w:val="1"/>
          <w:iCs w:val="1"/>
          <w:color w:val="auto"/>
        </w:rPr>
        <w:t>.</w:t>
      </w:r>
      <w:r>
        <w:rPr>
          <w:rFonts w:ascii="Arial" w:cs="Arial" w:eastAsia="Arial" w:hAnsi="Arial"/>
          <w:sz w:val="17"/>
          <w:szCs w:val="17"/>
          <w:color w:val="auto"/>
        </w:rPr>
        <w:t xml:space="preserve"> Interest on the notes are payable semi-annually in arrears. The proceeds of the debt, along with cash on hand, were utilized to fund the purchase price of the acquisition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908"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i w:val="1"/>
          <w:iCs w:val="1"/>
          <w:color w:val="auto"/>
        </w:rPr>
        <w:t>Oahu Solar Holdings LLC</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Due to the Company consolidating the Oahu Partnership, as further described in Note 5, </w:t>
      </w:r>
      <w:r>
        <w:rPr>
          <w:rFonts w:ascii="Arial" w:cs="Arial" w:eastAsia="Arial" w:hAnsi="Arial"/>
          <w:sz w:val="18"/>
          <w:szCs w:val="18"/>
          <w:i w:val="1"/>
          <w:iCs w:val="1"/>
          <w:color w:val="auto"/>
        </w:rPr>
        <w:t>Investments Accounted for by the Equity Method and</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the Company assumed non-recourse debt of $143 million related to Oahu Solar Holdings, LLC. The debt consists of a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loan and an ITC bridge loan with a total commitment amount of $162 million, both at an interest rate of LIBOR plus 1.375%. On November 13, 2019, $90 million of non-recourse debt was converted to a term loan with an expected maturity of November 2026, and the remainder of the non-recourse debt was repaid with the final contribution from the tax equity investor in the amount of $67 million upon the project reaching substantial completion. Interest on the term loan is payable quarterly in arrears.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Kawailoa Solar Holdings LLC</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Due to the Company consolidating the Kawailoa Partnership, as further described in Item Note 5, </w:t>
      </w:r>
      <w:r>
        <w:rPr>
          <w:rFonts w:ascii="Arial" w:cs="Arial" w:eastAsia="Arial" w:hAnsi="Arial"/>
          <w:sz w:val="18"/>
          <w:szCs w:val="18"/>
          <w:i w:val="1"/>
          <w:iCs w:val="1"/>
          <w:color w:val="auto"/>
        </w:rPr>
        <w:t>Investments Accounted for by the 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and Variable Interest Entities</w:t>
      </w:r>
      <w:r>
        <w:rPr>
          <w:rFonts w:ascii="Arial" w:cs="Arial" w:eastAsia="Arial" w:hAnsi="Arial"/>
          <w:sz w:val="18"/>
          <w:szCs w:val="18"/>
          <w:color w:val="auto"/>
        </w:rPr>
        <w:t>, the Company assumed non-recourse debt of $120 million related to Kawailoa Solar Holdings, LLC. The debt consists of a</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loan and an ITC bridge loan, with a total commitment amount of $137 million both at an interest rate of LIBOR plus 1.375%. On December 23, 2019, $82 million of non-recourse debt was converted to a term loan with an expected maturity of December 2026, and the remainder of the non-recourse debt was repaid with the final contribution from the tax equity investor in the amount of $57 million upon the project reaching substantial completion. Interest on the term loan is payable quarterly in arrears.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Trent Refinancing</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14, 2019, the Company, through South Trent Wind LLC, refinanced $49 million of non-recourse debt due 2020 at interest rate of LIBOR plus 1.625% by issuing $46 million of new non-recourse financing due 2028 at an interest rate of LIBOR plus 1.350%.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Tapestry Refinancing</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29, 2019, the Company, through Tapestry Wind LLC, refinanced $147 million of non-recourse debt due 2021 at interest rate of LIBOR plus 1.75% by issuing $164 million of new non-recourse financing due 2031 at an interest rate of LIBOR plus 1.375%.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Center Minneapolis Series E, F, G, H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19, 2018, Energy Center Minneapolis LLC, a subsidiary of the Company, entered into an amended and restated Thermal note purchase and private shelf agreement under which it authorized the issuance of the Series E Notes, Series F Notes, Series G Notes, and Series H Notes, as further described in the table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ind w:left="40"/>
              <w:spacing w:after="0"/>
              <w:rPr>
                <w:sz w:val="20"/>
                <w:szCs w:val="20"/>
                <w:color w:val="auto"/>
              </w:rPr>
            </w:pPr>
            <w:r>
              <w:rPr>
                <w:rFonts w:ascii="Arial" w:cs="Arial" w:eastAsia="Arial" w:hAnsi="Arial"/>
                <w:sz w:val="16"/>
                <w:szCs w:val="16"/>
                <w:b w:val="1"/>
                <w:bCs w:val="1"/>
                <w:color w:val="auto"/>
              </w:rPr>
              <w:t>(In millions)</w:t>
            </w:r>
          </w:p>
        </w:tc>
        <w:tc>
          <w:tcPr>
            <w:tcW w:w="226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Amount</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58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Center Minneapolis Series E Notes, due 2033</w:t>
            </w:r>
          </w:p>
        </w:tc>
        <w:tc>
          <w:tcPr>
            <w:tcW w:w="2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70</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Energy Center Minneapolis Series F Notes, due 2033</w:t>
            </w:r>
          </w:p>
        </w:tc>
        <w:tc>
          <w:tcPr>
            <w:tcW w:w="2260" w:type="dxa"/>
            <w:vAlign w:val="bottom"/>
          </w:tcPr>
          <w:p>
            <w:pPr>
              <w:spacing w:after="0"/>
              <w:rPr>
                <w:sz w:val="21"/>
                <w:szCs w:val="21"/>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68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58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Center Minneapolis Series G Notes, due 2035</w:t>
            </w:r>
          </w:p>
        </w:tc>
        <w:tc>
          <w:tcPr>
            <w:tcW w:w="2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83</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Energy Center Minneapolis Series H Notes, due 2037</w:t>
            </w:r>
          </w:p>
        </w:tc>
        <w:tc>
          <w:tcPr>
            <w:tcW w:w="2260" w:type="dxa"/>
            <w:vAlign w:val="bottom"/>
          </w:tcPr>
          <w:p>
            <w:pPr>
              <w:spacing w:after="0"/>
              <w:rPr>
                <w:sz w:val="21"/>
                <w:szCs w:val="21"/>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40</w:t>
            </w:r>
          </w:p>
        </w:tc>
        <w:tc>
          <w:tcPr>
            <w:tcW w:w="1680" w:type="dxa"/>
            <w:vAlign w:val="bottom"/>
          </w:tcPr>
          <w:p>
            <w:pPr>
              <w:jc w:val="right"/>
              <w:spacing w:after="0"/>
              <w:rPr>
                <w:sz w:val="20"/>
                <w:szCs w:val="20"/>
                <w:color w:val="auto"/>
              </w:rPr>
            </w:pPr>
            <w:r>
              <w:rPr>
                <w:rFonts w:ascii="Arial" w:cs="Arial" w:eastAsia="Arial" w:hAnsi="Arial"/>
                <w:sz w:val="18"/>
                <w:szCs w:val="18"/>
                <w:color w:val="auto"/>
              </w:rPr>
              <w:t>4.83%</w:t>
            </w: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8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proceeds</w:t>
            </w:r>
          </w:p>
        </w:tc>
        <w:tc>
          <w:tcPr>
            <w:tcW w:w="6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w:t>
            </w:r>
          </w:p>
        </w:tc>
        <w:tc>
          <w:tcPr>
            <w:tcW w:w="188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Repayment of Energy Center Minneapolis Series C Notes, due 2025</w:t>
            </w:r>
          </w:p>
        </w:tc>
        <w:tc>
          <w:tcPr>
            <w:tcW w:w="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88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78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57"/>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borrowings</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w:t>
            </w:r>
          </w:p>
        </w:tc>
        <w:tc>
          <w:tcPr>
            <w:tcW w:w="1880" w:type="dxa"/>
            <w:vAlign w:val="bottom"/>
            <w:tcBorders>
              <w:bottom w:val="single" w:sz="8" w:color="CCEEFF"/>
            </w:tcBorders>
            <w:shd w:val="clear" w:color="auto" w:fill="CCEEFF"/>
          </w:tcPr>
          <w:p>
            <w:pPr>
              <w:spacing w:after="0"/>
              <w:rPr>
                <w:sz w:val="22"/>
                <w:szCs w:val="22"/>
                <w:color w:val="auto"/>
              </w:rPr>
            </w:pPr>
          </w:p>
        </w:tc>
      </w:tr>
      <w:tr>
        <w:trPr>
          <w:trHeight w:val="20"/>
        </w:trPr>
        <w:tc>
          <w:tcPr>
            <w:tcW w:w="7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proceeds from the sale of the Series E Notes and the Series F Notes were utilized to finance the acquisition of the UPMC Thermal Project as described in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The Series G Notes were used to refinance the Series C Notes as noted above in the table. The Series H Notes were used to make a dividend to Clearway Energy Operating LLC.</w:t>
      </w:r>
    </w:p>
    <w:p>
      <w:pPr>
        <w:spacing w:after="0" w:line="12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amended and restated Thermal note purchase and private shelf agreement also established a private shelf facility for the future issuance of notes in the amount of $40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Buckthorn Solar Drop Down Asset Debt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As part of the Buckthorn Solar Drop Down Asset acquisition, as further described in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the Company assumed non-recourse debt of $183 million relating to Buckthorn Solar Portfolio, LLC as of the date of the acquisition, March 30, 2018. The assumed debt consisted of a construction loan and an Investment Tax Credits, or ITC, bridge loan, both at an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908" w:right="239" w:bottom="1440" w:gutter="0" w:footer="0" w:header="0"/>
        </w:sectPr>
      </w:pPr>
    </w:p>
    <w:bookmarkStart w:id="126" w:name="page127"/>
    <w:bookmarkEnd w:id="126"/>
    <w:p>
      <w:pPr>
        <w:jc w:val="both"/>
        <w:spacing w:after="0" w:line="264" w:lineRule="auto"/>
        <w:rPr>
          <w:sz w:val="20"/>
          <w:szCs w:val="20"/>
          <w:color w:val="auto"/>
        </w:rPr>
      </w:pPr>
      <w:r>
        <w:rPr>
          <w:rFonts w:ascii="Arial" w:cs="Arial" w:eastAsia="Arial" w:hAnsi="Arial"/>
          <w:sz w:val="18"/>
          <w:szCs w:val="18"/>
          <w:color w:val="auto"/>
        </w:rPr>
        <w:t>interest rate of LIBOR plus 1.75%. On May 31, 2018, $132 million of non-recourse debt was converted to a term loan with an expected maturity of May 2025, and the remainder of the non-recourse debt was repaid with the final contribution from the Class A member in the amount of $80 million upon the project reaching substantial completion in May 2018.</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Buckthorn Solar entered into a series of fixed for floating interest rate swaps that would fix the interest rate for a minimum of 80% of the outstanding notional amount. All interest rate swap payments by Buckthorn Solar and its counterparties are made quarterly and LIBOR is determined in advance of each interest period.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Project Financings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Many of the Company's project subsidiaries entered into interest rate swaps, intended to hedge the risks associated with interest rates on non-recourse project level debt. These swaps amortize in proportion to their respective loans and are floating for fixed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swaps, some of which are forward starting as indicated, related to the Company's project level debt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of</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Fixed</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Notional Amount at</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Interest</w:t>
            </w:r>
          </w:p>
        </w:tc>
        <w:tc>
          <w:tcPr>
            <w:tcW w:w="1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Floating Interest Rate</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December 31, 2019 (In</w:t>
            </w:r>
          </w:p>
        </w:tc>
        <w:tc>
          <w:tcPr>
            <w:tcW w:w="100" w:type="dxa"/>
            <w:vAlign w:val="bottom"/>
          </w:tcPr>
          <w:p>
            <w:pPr>
              <w:spacing w:after="0"/>
              <w:rPr>
                <w:sz w:val="12"/>
                <w:szCs w:val="12"/>
                <w:color w:val="auto"/>
              </w:rPr>
            </w:pPr>
          </w:p>
        </w:tc>
        <w:tc>
          <w:tcPr>
            <w:tcW w:w="16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Effective Date</w:t>
            </w:r>
          </w:p>
        </w:tc>
        <w:tc>
          <w:tcPr>
            <w:tcW w:w="100" w:type="dxa"/>
            <w:vAlign w:val="bottom"/>
            <w:vMerge w:val="restart"/>
          </w:tcPr>
          <w:p>
            <w:pPr>
              <w:spacing w:after="0"/>
              <w:rPr>
                <w:sz w:val="12"/>
                <w:szCs w:val="12"/>
                <w:color w:val="auto"/>
              </w:rPr>
            </w:pPr>
          </w:p>
        </w:tc>
        <w:tc>
          <w:tcPr>
            <w:tcW w:w="16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millions)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Alpine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7"/>
              </w:rPr>
              <w:t>various</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0" w:type="dxa"/>
            <w:vAlign w:val="bottom"/>
          </w:tcPr>
          <w:p>
            <w:pPr>
              <w:spacing w:after="0"/>
              <w:rPr>
                <w:sz w:val="1"/>
                <w:szCs w:val="1"/>
                <w:color w:val="auto"/>
              </w:rPr>
            </w:pPr>
          </w:p>
        </w:tc>
      </w:tr>
      <w:tr>
        <w:trPr>
          <w:trHeight w:val="26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Avra Valley</w:t>
            </w: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2.333%</w:t>
            </w:r>
          </w:p>
        </w:tc>
        <w:tc>
          <w:tcPr>
            <w:tcW w:w="12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November 30, 2012</w:t>
            </w:r>
          </w:p>
        </w:tc>
        <w:tc>
          <w:tcPr>
            <w:tcW w:w="1600" w:type="dxa"/>
            <w:vAlign w:val="bottom"/>
          </w:tcPr>
          <w:p>
            <w:pPr>
              <w:ind w:left="20"/>
              <w:spacing w:after="0"/>
              <w:rPr>
                <w:sz w:val="20"/>
                <w:szCs w:val="20"/>
                <w:color w:val="auto"/>
              </w:rPr>
            </w:pPr>
            <w:r>
              <w:rPr>
                <w:rFonts w:ascii="Arial" w:cs="Arial" w:eastAsia="Arial" w:hAnsi="Arial"/>
                <w:sz w:val="14"/>
                <w:szCs w:val="14"/>
                <w:color w:val="auto"/>
              </w:rPr>
              <w:t>November 30, 2030</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AWAM</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22, 2013</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May 15, 2031</w:t>
            </w:r>
          </w:p>
        </w:tc>
        <w:tc>
          <w:tcPr>
            <w:tcW w:w="0" w:type="dxa"/>
            <w:vAlign w:val="bottom"/>
          </w:tcPr>
          <w:p>
            <w:pPr>
              <w:spacing w:after="0"/>
              <w:rPr>
                <w:sz w:val="1"/>
                <w:szCs w:val="1"/>
                <w:color w:val="auto"/>
              </w:rPr>
            </w:pPr>
          </w:p>
        </w:tc>
      </w:tr>
      <w:tr>
        <w:trPr>
          <w:trHeight w:val="26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Blythe</w:t>
            </w:r>
          </w:p>
        </w:tc>
        <w:tc>
          <w:tcPr>
            <w:tcW w:w="94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3.563%</w:t>
            </w:r>
          </w:p>
        </w:tc>
        <w:tc>
          <w:tcPr>
            <w:tcW w:w="12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June 25, 2010</w:t>
            </w:r>
          </w:p>
        </w:tc>
        <w:tc>
          <w:tcPr>
            <w:tcW w:w="1600" w:type="dxa"/>
            <w:vAlign w:val="bottom"/>
          </w:tcPr>
          <w:p>
            <w:pPr>
              <w:ind w:left="20"/>
              <w:spacing w:after="0"/>
              <w:rPr>
                <w:sz w:val="20"/>
                <w:szCs w:val="20"/>
                <w:color w:val="auto"/>
              </w:rPr>
            </w:pPr>
            <w:r>
              <w:rPr>
                <w:rFonts w:ascii="Arial" w:cs="Arial" w:eastAsia="Arial" w:hAnsi="Arial"/>
                <w:sz w:val="14"/>
                <w:szCs w:val="14"/>
                <w:color w:val="auto"/>
              </w:rPr>
              <w:t>June 25, 2028</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Buckthorn Solar</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7"/>
              </w:rPr>
              <w:t>various</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28, 2018</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2041</w:t>
            </w:r>
          </w:p>
        </w:tc>
        <w:tc>
          <w:tcPr>
            <w:tcW w:w="0" w:type="dxa"/>
            <w:vAlign w:val="bottom"/>
          </w:tcPr>
          <w:p>
            <w:pPr>
              <w:spacing w:after="0"/>
              <w:rPr>
                <w:sz w:val="1"/>
                <w:szCs w:val="1"/>
                <w:color w:val="auto"/>
              </w:rPr>
            </w:pPr>
          </w:p>
        </w:tc>
      </w:tr>
      <w:tr>
        <w:trPr>
          <w:trHeight w:val="26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El Segundo</w:t>
            </w:r>
          </w:p>
        </w:tc>
        <w:tc>
          <w:tcPr>
            <w:tcW w:w="94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2"/>
                <w:szCs w:val="2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various</w:t>
            </w: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600" w:type="dxa"/>
            <w:vAlign w:val="bottom"/>
          </w:tcPr>
          <w:p>
            <w:pPr>
              <w:ind w:left="20"/>
              <w:spacing w:after="0"/>
              <w:rPr>
                <w:sz w:val="20"/>
                <w:szCs w:val="20"/>
                <w:color w:val="auto"/>
              </w:rPr>
            </w:pPr>
            <w:r>
              <w:rPr>
                <w:rFonts w:ascii="Arial" w:cs="Arial" w:eastAsia="Arial" w:hAnsi="Arial"/>
                <w:sz w:val="14"/>
                <w:szCs w:val="14"/>
                <w:color w:val="auto"/>
              </w:rPr>
              <w:t>various</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Kansas South</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6-Month LIBOR</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28, 2013</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2030</w:t>
            </w:r>
          </w:p>
        </w:tc>
        <w:tc>
          <w:tcPr>
            <w:tcW w:w="0" w:type="dxa"/>
            <w:vAlign w:val="bottom"/>
          </w:tcPr>
          <w:p>
            <w:pPr>
              <w:spacing w:after="0"/>
              <w:rPr>
                <w:sz w:val="1"/>
                <w:szCs w:val="1"/>
                <w:color w:val="auto"/>
              </w:rPr>
            </w:pPr>
          </w:p>
        </w:tc>
      </w:tr>
      <w:tr>
        <w:trPr>
          <w:trHeight w:val="26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Laredo Ridge</w:t>
            </w:r>
          </w:p>
        </w:tc>
        <w:tc>
          <w:tcPr>
            <w:tcW w:w="94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December 17, 2014</w:t>
            </w:r>
          </w:p>
        </w:tc>
        <w:tc>
          <w:tcPr>
            <w:tcW w:w="1600" w:type="dxa"/>
            <w:vAlign w:val="bottom"/>
          </w:tcPr>
          <w:p>
            <w:pPr>
              <w:ind w:left="20"/>
              <w:spacing w:after="0"/>
              <w:rPr>
                <w:sz w:val="20"/>
                <w:szCs w:val="20"/>
                <w:color w:val="auto"/>
              </w:rPr>
            </w:pPr>
            <w:r>
              <w:rPr>
                <w:rFonts w:ascii="Arial" w:cs="Arial" w:eastAsia="Arial" w:hAnsi="Arial"/>
                <w:sz w:val="14"/>
                <w:szCs w:val="14"/>
                <w:color w:val="auto"/>
              </w:rPr>
              <w:t>December 31, 2028</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Marsh Landing</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28, 2013</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30, 2023</w:t>
            </w:r>
          </w:p>
        </w:tc>
        <w:tc>
          <w:tcPr>
            <w:tcW w:w="0" w:type="dxa"/>
            <w:vAlign w:val="bottom"/>
          </w:tcPr>
          <w:p>
            <w:pPr>
              <w:spacing w:after="0"/>
              <w:rPr>
                <w:sz w:val="1"/>
                <w:szCs w:val="1"/>
                <w:color w:val="auto"/>
              </w:rPr>
            </w:pPr>
          </w:p>
        </w:tc>
      </w:tr>
      <w:tr>
        <w:trPr>
          <w:trHeight w:val="26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Roadrunner</w:t>
            </w:r>
          </w:p>
        </w:tc>
        <w:tc>
          <w:tcPr>
            <w:tcW w:w="94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4.313%</w:t>
            </w:r>
          </w:p>
        </w:tc>
        <w:tc>
          <w:tcPr>
            <w:tcW w:w="12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September 30, 2011</w:t>
            </w:r>
          </w:p>
        </w:tc>
        <w:tc>
          <w:tcPr>
            <w:tcW w:w="1600" w:type="dxa"/>
            <w:vAlign w:val="bottom"/>
          </w:tcPr>
          <w:p>
            <w:pPr>
              <w:ind w:left="20"/>
              <w:spacing w:after="0"/>
              <w:rPr>
                <w:sz w:val="20"/>
                <w:szCs w:val="20"/>
                <w:color w:val="auto"/>
              </w:rPr>
            </w:pPr>
            <w:r>
              <w:rPr>
                <w:rFonts w:ascii="Arial" w:cs="Arial" w:eastAsia="Arial" w:hAnsi="Arial"/>
                <w:sz w:val="14"/>
                <w:szCs w:val="14"/>
                <w:color w:val="auto"/>
              </w:rPr>
              <w:t>December 31, 2029</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 Trent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3.847%</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14, 2019</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30, 2028</w:t>
            </w:r>
          </w:p>
        </w:tc>
        <w:tc>
          <w:tcPr>
            <w:tcW w:w="0" w:type="dxa"/>
            <w:vAlign w:val="bottom"/>
          </w:tcPr>
          <w:p>
            <w:pPr>
              <w:spacing w:after="0"/>
              <w:rPr>
                <w:sz w:val="1"/>
                <w:szCs w:val="1"/>
                <w:color w:val="auto"/>
              </w:rPr>
            </w:pPr>
          </w:p>
        </w:tc>
      </w:tr>
      <w:tr>
        <w:trPr>
          <w:trHeight w:val="26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Tapestry</w:t>
            </w:r>
          </w:p>
        </w:tc>
        <w:tc>
          <w:tcPr>
            <w:tcW w:w="94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various</w:t>
            </w: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April 19, 2019</w:t>
            </w:r>
          </w:p>
        </w:tc>
        <w:tc>
          <w:tcPr>
            <w:tcW w:w="1600" w:type="dxa"/>
            <w:vAlign w:val="bottom"/>
          </w:tcPr>
          <w:p>
            <w:pPr>
              <w:ind w:left="20"/>
              <w:spacing w:after="0"/>
              <w:rPr>
                <w:sz w:val="20"/>
                <w:szCs w:val="20"/>
                <w:color w:val="auto"/>
              </w:rPr>
            </w:pPr>
            <w:r>
              <w:rPr>
                <w:rFonts w:ascii="Arial" w:cs="Arial" w:eastAsia="Arial" w:hAnsi="Arial"/>
                <w:sz w:val="14"/>
                <w:szCs w:val="14"/>
                <w:color w:val="auto"/>
              </w:rPr>
              <w:t>December 31, 2031</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Tapestry</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21, 2021</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21, 2029</w:t>
            </w:r>
          </w:p>
        </w:tc>
        <w:tc>
          <w:tcPr>
            <w:tcW w:w="0" w:type="dxa"/>
            <w:vAlign w:val="bottom"/>
          </w:tcPr>
          <w:p>
            <w:pPr>
              <w:spacing w:after="0"/>
              <w:rPr>
                <w:sz w:val="1"/>
                <w:szCs w:val="1"/>
                <w:color w:val="auto"/>
              </w:rPr>
            </w:pPr>
          </w:p>
        </w:tc>
      </w:tr>
      <w:tr>
        <w:trPr>
          <w:trHeight w:val="26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Utah Solar Portfolio</w:t>
            </w:r>
          </w:p>
        </w:tc>
        <w:tc>
          <w:tcPr>
            <w:tcW w:w="94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various</w:t>
            </w: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1-Month LIBOR</w:t>
            </w:r>
          </w:p>
        </w:tc>
        <w:tc>
          <w:tcPr>
            <w:tcW w:w="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600" w:type="dxa"/>
            <w:vAlign w:val="bottom"/>
          </w:tcPr>
          <w:p>
            <w:pPr>
              <w:ind w:left="20"/>
              <w:spacing w:after="0"/>
              <w:rPr>
                <w:sz w:val="20"/>
                <w:szCs w:val="20"/>
                <w:color w:val="auto"/>
              </w:rPr>
            </w:pPr>
            <w:r>
              <w:rPr>
                <w:rFonts w:ascii="Arial" w:cs="Arial" w:eastAsia="Arial" w:hAnsi="Arial"/>
                <w:sz w:val="14"/>
                <w:szCs w:val="14"/>
                <w:color w:val="auto"/>
              </w:rPr>
              <w:t>September 30, 2036</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Viento Funding II</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7"/>
              </w:rPr>
              <w:t>various</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6-Month LIBOR</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0" w:type="dxa"/>
            <w:vAlign w:val="bottom"/>
          </w:tcPr>
          <w:p>
            <w:pPr>
              <w:spacing w:after="0"/>
              <w:rPr>
                <w:sz w:val="1"/>
                <w:szCs w:val="1"/>
                <w:color w:val="auto"/>
              </w:rPr>
            </w:pPr>
          </w:p>
        </w:tc>
      </w:tr>
      <w:tr>
        <w:trPr>
          <w:trHeight w:val="26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Viento Funding II</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4.985%</w:t>
            </w:r>
          </w:p>
        </w:tc>
        <w:tc>
          <w:tcPr>
            <w:tcW w:w="12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6-Month LIBOR</w:t>
            </w:r>
          </w:p>
        </w:tc>
        <w:tc>
          <w:tcPr>
            <w:tcW w:w="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July 11, 2023</w:t>
            </w:r>
          </w:p>
        </w:tc>
        <w:tc>
          <w:tcPr>
            <w:tcW w:w="1600" w:type="dxa"/>
            <w:vAlign w:val="bottom"/>
          </w:tcPr>
          <w:p>
            <w:pPr>
              <w:ind w:left="20"/>
              <w:spacing w:after="0"/>
              <w:rPr>
                <w:sz w:val="20"/>
                <w:szCs w:val="20"/>
                <w:color w:val="auto"/>
              </w:rPr>
            </w:pPr>
            <w:r>
              <w:rPr>
                <w:rFonts w:ascii="Arial" w:cs="Arial" w:eastAsia="Arial" w:hAnsi="Arial"/>
                <w:sz w:val="14"/>
                <w:szCs w:val="14"/>
                <w:color w:val="auto"/>
              </w:rPr>
              <w:t>June 30, 2028</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Walnut Creek Energy</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7"/>
              </w:rPr>
              <w:t>various</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28, 2013</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May 31, 2023</w:t>
            </w:r>
          </w:p>
        </w:tc>
        <w:tc>
          <w:tcPr>
            <w:tcW w:w="0" w:type="dxa"/>
            <w:vAlign w:val="bottom"/>
          </w:tcPr>
          <w:p>
            <w:pPr>
              <w:spacing w:after="0"/>
              <w:rPr>
                <w:sz w:val="1"/>
                <w:szCs w:val="1"/>
                <w:color w:val="auto"/>
              </w:rPr>
            </w:pPr>
          </w:p>
        </w:tc>
      </w:tr>
      <w:tr>
        <w:trPr>
          <w:trHeight w:val="26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WCEP Holdings</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4.003%</w:t>
            </w:r>
          </w:p>
        </w:tc>
        <w:tc>
          <w:tcPr>
            <w:tcW w:w="12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June 28, 2013</w:t>
            </w:r>
          </w:p>
        </w:tc>
        <w:tc>
          <w:tcPr>
            <w:tcW w:w="1600" w:type="dxa"/>
            <w:vAlign w:val="bottom"/>
          </w:tcPr>
          <w:p>
            <w:pPr>
              <w:ind w:left="20"/>
              <w:spacing w:after="0"/>
              <w:rPr>
                <w:sz w:val="20"/>
                <w:szCs w:val="20"/>
                <w:color w:val="auto"/>
              </w:rPr>
            </w:pPr>
            <w:r>
              <w:rPr>
                <w:rFonts w:ascii="Arial" w:cs="Arial" w:eastAsia="Arial" w:hAnsi="Arial"/>
                <w:sz w:val="14"/>
                <w:szCs w:val="14"/>
                <w:color w:val="auto"/>
              </w:rPr>
              <w:t>May 31, 2023</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Oahu Solar</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7"/>
              </w:rPr>
              <w:t>various</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30, 2019</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31, 2040</w:t>
            </w:r>
          </w:p>
        </w:tc>
        <w:tc>
          <w:tcPr>
            <w:tcW w:w="0" w:type="dxa"/>
            <w:vAlign w:val="bottom"/>
          </w:tcPr>
          <w:p>
            <w:pPr>
              <w:spacing w:after="0"/>
              <w:rPr>
                <w:sz w:val="1"/>
                <w:szCs w:val="1"/>
                <w:color w:val="auto"/>
              </w:rPr>
            </w:pPr>
          </w:p>
        </w:tc>
      </w:tr>
      <w:tr>
        <w:trPr>
          <w:trHeight w:val="26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Kawailoa Renew</w:t>
            </w:r>
          </w:p>
        </w:tc>
        <w:tc>
          <w:tcPr>
            <w:tcW w:w="94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various</w:t>
            </w: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November 30, 2019</w:t>
            </w:r>
          </w:p>
        </w:tc>
        <w:tc>
          <w:tcPr>
            <w:tcW w:w="1600" w:type="dxa"/>
            <w:vAlign w:val="bottom"/>
          </w:tcPr>
          <w:p>
            <w:pPr>
              <w:ind w:left="20"/>
              <w:spacing w:after="0"/>
              <w:rPr>
                <w:sz w:val="20"/>
                <w:szCs w:val="20"/>
                <w:color w:val="auto"/>
              </w:rPr>
            </w:pPr>
            <w:r>
              <w:rPr>
                <w:rFonts w:ascii="Arial" w:cs="Arial" w:eastAsia="Arial" w:hAnsi="Arial"/>
                <w:sz w:val="14"/>
                <w:szCs w:val="14"/>
                <w:color w:val="auto"/>
              </w:rPr>
              <w:t>October 31, 2040</w:t>
            </w:r>
          </w:p>
        </w:tc>
        <w:tc>
          <w:tcPr>
            <w:tcW w:w="0" w:type="dxa"/>
            <w:vAlign w:val="bottom"/>
          </w:tcPr>
          <w:p>
            <w:pPr>
              <w:spacing w:after="0"/>
              <w:rPr>
                <w:sz w:val="1"/>
                <w:szCs w:val="1"/>
                <w:color w:val="auto"/>
              </w:rPr>
            </w:pPr>
          </w:p>
        </w:tc>
      </w:tr>
      <w:tr>
        <w:trPr>
          <w:trHeight w:val="27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Carlsbad</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7"/>
              </w:rPr>
              <w:t>various</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October 31, 2018</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2027</w:t>
            </w:r>
          </w:p>
        </w:tc>
        <w:tc>
          <w:tcPr>
            <w:tcW w:w="0" w:type="dxa"/>
            <w:vAlign w:val="bottom"/>
          </w:tcPr>
          <w:p>
            <w:pPr>
              <w:spacing w:after="0"/>
              <w:rPr>
                <w:sz w:val="1"/>
                <w:szCs w:val="1"/>
                <w:color w:val="auto"/>
              </w:rPr>
            </w:pPr>
          </w:p>
        </w:tc>
      </w:tr>
      <w:tr>
        <w:trPr>
          <w:trHeight w:val="243"/>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909"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i w:val="1"/>
          <w:iCs w:val="1"/>
          <w:color w:val="auto"/>
        </w:rPr>
        <w:t>Annual Maturities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gridSpan w:val="2"/>
          </w:tcPr>
          <w:p>
            <w:pPr>
              <w:ind w:left="660"/>
              <w:spacing w:after="0"/>
              <w:rPr>
                <w:sz w:val="20"/>
                <w:szCs w:val="20"/>
                <w:color w:val="auto"/>
              </w:rPr>
            </w:pPr>
            <w:r>
              <w:rPr>
                <w:rFonts w:ascii="Arial" w:cs="Arial" w:eastAsia="Arial" w:hAnsi="Arial"/>
                <w:sz w:val="18"/>
                <w:szCs w:val="18"/>
                <w:color w:val="auto"/>
                <w:w w:val="90"/>
              </w:rPr>
              <w:t>Annual payments based on the maturities of the Company's debt, for the years ending after December 31, 2019, are as follows:</w:t>
            </w:r>
          </w:p>
        </w:tc>
        <w:tc>
          <w:tcPr>
            <w:tcW w:w="1460" w:type="dxa"/>
            <w:vAlign w:val="bottom"/>
          </w:tcPr>
          <w:p>
            <w:pPr>
              <w:spacing w:after="0"/>
              <w:rPr>
                <w:sz w:val="20"/>
                <w:szCs w:val="20"/>
                <w:color w:val="auto"/>
              </w:rPr>
            </w:pPr>
          </w:p>
        </w:tc>
      </w:tr>
      <w:tr>
        <w:trPr>
          <w:trHeight w:val="521"/>
        </w:trPr>
        <w:tc>
          <w:tcPr>
            <w:tcW w:w="928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1,832</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257</w:t>
            </w:r>
          </w:p>
        </w:tc>
      </w:tr>
      <w:tr>
        <w:trPr>
          <w:trHeight w:val="27"/>
        </w:trPr>
        <w:tc>
          <w:tcPr>
            <w:tcW w:w="9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320</w:t>
            </w:r>
          </w:p>
        </w:tc>
      </w:tr>
      <w:tr>
        <w:trPr>
          <w:trHeight w:val="27"/>
        </w:trPr>
        <w:tc>
          <w:tcPr>
            <w:tcW w:w="9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3,842</w:t>
            </w:r>
          </w:p>
        </w:tc>
      </w:tr>
      <w:tr>
        <w:trPr>
          <w:trHeight w:val="27"/>
        </w:trPr>
        <w:tc>
          <w:tcPr>
            <w:tcW w:w="92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6,857</w:t>
            </w:r>
          </w:p>
        </w:tc>
      </w:tr>
      <w:tr>
        <w:trPr>
          <w:trHeight w:val="20"/>
        </w:trPr>
        <w:tc>
          <w:tcPr>
            <w:tcW w:w="9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00"/>
          </w:cols>
          <w:pgMar w:left="240" w:top="908"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Note 11 — Members' Equity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distributions paid on the Company's Class A, Class B, Class C and Class D units during the year ended December 31,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 2019</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Third Quarter 2019</w:t>
            </w: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Second Quarter 2019</w:t>
            </w:r>
          </w:p>
        </w:tc>
        <w:tc>
          <w:tcPr>
            <w:tcW w:w="14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First Quarter 2019</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per Class A and Class B units</w:t>
            </w: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0.20</w:t>
            </w:r>
          </w:p>
        </w:tc>
        <w:tc>
          <w:tcPr>
            <w:tcW w:w="58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Distributions per Class C and Class D units</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0.20</w:t>
            </w:r>
          </w:p>
        </w:tc>
        <w:tc>
          <w:tcPr>
            <w:tcW w:w="5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0.20</w:t>
            </w:r>
          </w:p>
        </w:tc>
      </w:tr>
    </w:tbl>
    <w:p>
      <w:pPr>
        <w:spacing w:after="0" w:line="39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February 18, 2020, the Company declared a quarterly distribution on its Class A, Class B, Class C and Class D units of $0.21 per share payable on March 16,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Distributions/Contributions to/from NRG in 2018</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During 2018 the Company acquired the Drop Down Assets from NRG, as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difference between the cash paid and historical value of the acquired Drop Down Assets was recorded as a distribution to/contribution from NRG with the offset contributed capital. As the projects were owned by NRG prior to the Drop Down Assets acquisitions, the pre-acquisition income (loss) of such projects were recorded as attributable to NRG's noncontrolling interest. Prior to the date of acquisition, certain of the projects made distributions to NRG and NRG made contributions into certain projects. These amounts are reflected within the Company’s statement of members' equity as changes in the contributed capital balance.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Reporting</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904" w:right="239" w:bottom="1440" w:gutter="0" w:footer="0" w:header="0"/>
        </w:sectPr>
      </w:pPr>
    </w:p>
    <w:bookmarkStart w:id="129" w:name="page130"/>
    <w:bookmarkEnd w:id="129"/>
    <w:p>
      <w:pPr>
        <w:ind w:left="660"/>
        <w:spacing w:after="0"/>
        <w:rPr>
          <w:sz w:val="20"/>
          <w:szCs w:val="20"/>
          <w:color w:val="auto"/>
        </w:rPr>
      </w:pPr>
      <w:r>
        <w:rPr>
          <w:rFonts w:ascii="Arial" w:cs="Arial" w:eastAsia="Arial" w:hAnsi="Arial"/>
          <w:sz w:val="16"/>
          <w:szCs w:val="16"/>
          <w:color w:val="auto"/>
        </w:rPr>
        <w:t>The Company generated more than 10% of its revenues from the following customers for the years ended December 31, 2019, 2018 and 2017: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b w:val="1"/>
                <w:bCs w:val="1"/>
                <w:color w:val="auto"/>
              </w:rPr>
              <w:t>Customer</w:t>
            </w:r>
          </w:p>
        </w:tc>
        <w:tc>
          <w:tcPr>
            <w:tcW w:w="14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Conventional (%)</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Renewables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Conventional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w w:val="93"/>
              </w:rPr>
              <w:t>Renewables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6"/>
          </w:tcPr>
          <w:p>
            <w:pPr>
              <w:ind w:left="80"/>
              <w:spacing w:after="0"/>
              <w:rPr>
                <w:sz w:val="20"/>
                <w:szCs w:val="20"/>
                <w:color w:val="auto"/>
              </w:rPr>
            </w:pPr>
            <w:r>
              <w:rPr>
                <w:rFonts w:ascii="Arial" w:cs="Arial" w:eastAsia="Arial" w:hAnsi="Arial"/>
                <w:sz w:val="14"/>
                <w:szCs w:val="14"/>
                <w:b w:val="1"/>
                <w:bCs w:val="1"/>
                <w:color w:val="auto"/>
              </w:rPr>
              <w:t>Conventional (%)</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Renewables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SCE</w:t>
            </w: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19%</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20%</w:t>
            </w: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center"/>
              <w:ind w:right="283"/>
              <w:spacing w:after="0"/>
              <w:rPr>
                <w:sz w:val="20"/>
                <w:szCs w:val="20"/>
                <w:color w:val="auto"/>
              </w:rPr>
            </w:pPr>
            <w:r>
              <w:rPr>
                <w:rFonts w:ascii="Arial" w:cs="Arial" w:eastAsia="Arial" w:hAnsi="Arial"/>
                <w:sz w:val="16"/>
                <w:szCs w:val="16"/>
                <w:color w:val="auto"/>
                <w:w w:val="93"/>
              </w:rPr>
              <w:t>20%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20%</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PG&amp;E</w:t>
            </w: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3"/>
              </w:rPr>
              <w:t>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ind w:right="303"/>
              <w:spacing w:after="0"/>
              <w:rPr>
                <w:sz w:val="20"/>
                <w:szCs w:val="20"/>
                <w:color w:val="auto"/>
              </w:rPr>
            </w:pPr>
            <w:r>
              <w:rPr>
                <w:rFonts w:ascii="Arial" w:cs="Arial" w:eastAsia="Arial" w:hAnsi="Arial"/>
                <w:sz w:val="16"/>
                <w:szCs w:val="16"/>
                <w:color w:val="auto"/>
                <w:w w:val="87"/>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4"/>
              </w:rPr>
              <w:t>Year ended December 31, 2019</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gridSpan w:val="5"/>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3"/>
                <w:szCs w:val="13"/>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gridSpan w:val="2"/>
            <w:vMerge w:val="continue"/>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w w:val="82"/>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6"/>
                <w:szCs w:val="16"/>
                <w:color w:val="auto"/>
              </w:rPr>
              <w:t>Cost of operations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gridSpan w:val="3"/>
          </w:tcPr>
          <w:p>
            <w:pPr>
              <w:jc w:val="right"/>
              <w:ind w:right="48"/>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3"/>
          </w:tcPr>
          <w:p>
            <w:pPr>
              <w:jc w:val="right"/>
              <w:ind w:right="28"/>
              <w:spacing w:after="0"/>
              <w:rPr>
                <w:sz w:val="20"/>
                <w:szCs w:val="20"/>
                <w:color w:val="auto"/>
              </w:rPr>
            </w:pPr>
            <w:r>
              <w:rPr>
                <w:rFonts w:ascii="Arial" w:cs="Arial" w:eastAsia="Arial" w:hAnsi="Arial"/>
                <w:sz w:val="16"/>
                <w:szCs w:val="16"/>
                <w:color w:val="auto"/>
                <w:w w:val="82"/>
              </w:rPr>
              <w:t>134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6"/>
                <w:szCs w:val="16"/>
                <w:color w:val="auto"/>
              </w:rPr>
              <w:t>Impairment losses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gridSpan w:val="3"/>
          </w:tcPr>
          <w:p>
            <w:pPr>
              <w:jc w:val="right"/>
              <w:ind w:right="48"/>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3"/>
          </w:tcPr>
          <w:p>
            <w:pPr>
              <w:jc w:val="right"/>
              <w:ind w:right="28"/>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gridSpan w:val="5"/>
          </w:tcPr>
          <w:p>
            <w:pPr>
              <w:ind w:left="160"/>
              <w:spacing w:after="0"/>
              <w:rPr>
                <w:sz w:val="20"/>
                <w:szCs w:val="20"/>
                <w:color w:val="auto"/>
              </w:rPr>
            </w:pPr>
            <w:r>
              <w:rPr>
                <w:rFonts w:ascii="Arial" w:cs="Arial" w:eastAsia="Arial" w:hAnsi="Arial"/>
                <w:sz w:val="16"/>
                <w:szCs w:val="16"/>
                <w:color w:val="auto"/>
              </w:rPr>
              <w:t>Acquisition-related transaction and integration costs</w:t>
            </w: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Development costs</w:t>
            </w: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gridSpan w:val="3"/>
          </w:tcPr>
          <w:p>
            <w:pPr>
              <w:jc w:val="right"/>
              <w:ind w:right="48"/>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w w:val="98"/>
              </w:rPr>
              <w:t>Equity in earnings of unconsolidated affiliates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6"/>
                <w:szCs w:val="16"/>
                <w:color w:val="auto"/>
              </w:rPr>
              <w:t>Other income, net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gridSpan w:val="3"/>
          </w:tcPr>
          <w:p>
            <w:pPr>
              <w:jc w:val="right"/>
              <w:ind w:right="48"/>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Loss on debt extinguishment</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6"/>
                <w:szCs w:val="16"/>
                <w:color w:val="auto"/>
              </w:rPr>
              <w:t>Interest expense, net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6"/>
                <w:szCs w:val="16"/>
                <w:color w:val="auto"/>
                <w:w w:val="90"/>
              </w:rPr>
              <w:t>(239)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w w:val="98"/>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0"/>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b w:val="1"/>
                <w:bCs w:val="1"/>
                <w:color w:val="auto"/>
              </w:rPr>
              <w:t>Net Income (Loss) Attributable to Clearway Energy LLC</w:t>
            </w:r>
          </w:p>
        </w:tc>
        <w:tc>
          <w:tcPr>
            <w:tcW w:w="46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center"/>
              <w:ind w:right="425"/>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Equity investment in affiliates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48"/>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4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w w:val="99"/>
              </w:rPr>
              <w:t>2,753</w:t>
            </w:r>
          </w:p>
        </w:tc>
        <w:tc>
          <w:tcPr>
            <w:tcW w:w="12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48"/>
              <w:spacing w:after="0"/>
              <w:rPr>
                <w:sz w:val="20"/>
                <w:szCs w:val="20"/>
                <w:color w:val="auto"/>
              </w:rPr>
            </w:pPr>
            <w:r>
              <w:rPr>
                <w:rFonts w:ascii="Arial" w:cs="Arial" w:eastAsia="Arial" w:hAnsi="Arial"/>
                <w:sz w:val="16"/>
                <w:szCs w:val="16"/>
                <w:color w:val="auto"/>
              </w:rPr>
              <w:t>6,186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340" w:type="dxa"/>
            <w:vAlign w:val="bottom"/>
            <w:gridSpan w:val="3"/>
          </w:tcPr>
          <w:p>
            <w:pPr>
              <w:jc w:val="right"/>
              <w:ind w:right="28"/>
              <w:spacing w:after="0"/>
              <w:rPr>
                <w:sz w:val="20"/>
                <w:szCs w:val="20"/>
                <w:color w:val="auto"/>
              </w:rPr>
            </w:pPr>
            <w:r>
              <w:rPr>
                <w:rFonts w:ascii="Arial" w:cs="Arial" w:eastAsia="Arial" w:hAnsi="Arial"/>
                <w:sz w:val="16"/>
                <w:szCs w:val="16"/>
                <w:color w:val="auto"/>
                <w:w w:val="82"/>
              </w:rPr>
              <w:t>633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9,605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200" w:type="dxa"/>
            <w:vAlign w:val="bottom"/>
            <w:tcBorders>
              <w:bottom w:val="single" w:sz="8" w:color="auto"/>
            </w:tcBorders>
            <w:gridSpan w:val="2"/>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40" w:type="dxa"/>
            <w:vAlign w:val="bottom"/>
            <w:gridSpan w:val="3"/>
          </w:tcPr>
          <w:p>
            <w:pPr>
              <w:spacing w:after="0"/>
              <w:rPr>
                <w:sz w:val="20"/>
                <w:szCs w:val="20"/>
                <w:color w:val="auto"/>
              </w:rPr>
            </w:pPr>
            <w:r>
              <w:rPr>
                <w:rFonts w:ascii="Arial" w:cs="Arial" w:eastAsia="Arial" w:hAnsi="Arial"/>
                <w:sz w:val="17"/>
                <w:szCs w:val="17"/>
                <w:color w:val="auto"/>
                <w:vertAlign w:val="superscript"/>
              </w:rPr>
              <w:t>(a)</w:t>
            </w:r>
            <w:r>
              <w:rPr>
                <w:rFonts w:ascii="Arial" w:cs="Arial" w:eastAsia="Arial" w:hAnsi="Arial"/>
                <w:sz w:val="14"/>
                <w:szCs w:val="14"/>
                <w:color w:val="auto"/>
              </w:rPr>
              <w:t xml:space="preserve"> Includes accruals.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4"/>
              </w:rPr>
              <w:t>Year ended December 31, 2018</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gridSpan w:val="5"/>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gridSpan w:val="2"/>
            <w:vMerge w:val="continue"/>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w w:val="82"/>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6"/>
                <w:szCs w:val="16"/>
                <w:color w:val="auto"/>
              </w:rPr>
              <w:t>Cost of operations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gridSpan w:val="3"/>
          </w:tcPr>
          <w:p>
            <w:pPr>
              <w:jc w:val="right"/>
              <w:ind w:right="48"/>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3"/>
          </w:tcPr>
          <w:p>
            <w:pPr>
              <w:jc w:val="right"/>
              <w:ind w:right="28"/>
              <w:spacing w:after="0"/>
              <w:rPr>
                <w:sz w:val="20"/>
                <w:szCs w:val="20"/>
                <w:color w:val="auto"/>
              </w:rPr>
            </w:pPr>
            <w:r>
              <w:rPr>
                <w:rFonts w:ascii="Arial" w:cs="Arial" w:eastAsia="Arial" w:hAnsi="Arial"/>
                <w:sz w:val="16"/>
                <w:szCs w:val="16"/>
                <w:color w:val="auto"/>
                <w:w w:val="82"/>
              </w:rPr>
              <w:t>127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6"/>
                <w:szCs w:val="16"/>
                <w:color w:val="auto"/>
              </w:rPr>
              <w:t>General and administrative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3"/>
          </w:tcPr>
          <w:p>
            <w:pPr>
              <w:jc w:val="right"/>
              <w:ind w:right="28"/>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780" w:type="dxa"/>
            <w:vAlign w:val="bottom"/>
            <w:gridSpan w:val="5"/>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6"/>
                <w:szCs w:val="16"/>
                <w:color w:val="auto"/>
              </w:rPr>
              <w:t>Acquisition-related transaction and integration costs</w:t>
            </w: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6"/>
                <w:szCs w:val="16"/>
                <w:color w:val="auto"/>
              </w:rPr>
              <w:t>Development costs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3"/>
          </w:tcPr>
          <w:p>
            <w:pPr>
              <w:jc w:val="right"/>
              <w:ind w:right="28"/>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gridSpan w:val="2"/>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6"/>
                <w:szCs w:val="16"/>
                <w:color w:val="auto"/>
                <w:w w:val="98"/>
              </w:rPr>
              <w:t>Equity in earnings of unconsolidated affiliates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gridSpan w:val="3"/>
          </w:tcPr>
          <w:p>
            <w:pPr>
              <w:jc w:val="right"/>
              <w:ind w:right="48"/>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Other income, net</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6"/>
                <w:szCs w:val="16"/>
                <w:color w:val="auto"/>
              </w:rPr>
              <w:t>Interest expense, net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6"/>
                <w:szCs w:val="16"/>
                <w:color w:val="auto"/>
                <w:w w:val="90"/>
              </w:rPr>
              <w:t>(154)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w w:val="98"/>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gridSpan w:val="2"/>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b w:val="1"/>
                <w:bCs w:val="1"/>
                <w:color w:val="auto"/>
              </w:rPr>
              <w:t>Net Income (Loss) Attributable to Clearway Energy LLC</w:t>
            </w:r>
          </w:p>
        </w:tc>
        <w:tc>
          <w:tcPr>
            <w:tcW w:w="46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center"/>
              <w:ind w:right="425"/>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gridSpan w:val="3"/>
          </w:tcPr>
          <w:p>
            <w:pPr>
              <w:jc w:val="right"/>
              <w:ind w:right="48"/>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Equity investments in affiliates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48"/>
              <w:spacing w:after="0"/>
              <w:rPr>
                <w:sz w:val="20"/>
                <w:szCs w:val="20"/>
                <w:color w:val="auto"/>
              </w:rPr>
            </w:pPr>
            <w:r>
              <w:rPr>
                <w:rFonts w:ascii="Arial" w:cs="Arial" w:eastAsia="Arial" w:hAnsi="Arial"/>
                <w:sz w:val="16"/>
                <w:szCs w:val="16"/>
                <w:color w:val="auto"/>
              </w:rPr>
              <w:t>1,074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4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w w:val="99"/>
              </w:rPr>
              <w:t>1,788</w:t>
            </w:r>
          </w:p>
        </w:tc>
        <w:tc>
          <w:tcPr>
            <w:tcW w:w="12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48"/>
              <w:spacing w:after="0"/>
              <w:rPr>
                <w:sz w:val="20"/>
                <w:szCs w:val="20"/>
                <w:color w:val="auto"/>
              </w:rPr>
            </w:pPr>
            <w:r>
              <w:rPr>
                <w:rFonts w:ascii="Arial" w:cs="Arial" w:eastAsia="Arial" w:hAnsi="Arial"/>
                <w:sz w:val="16"/>
                <w:szCs w:val="16"/>
                <w:color w:val="auto"/>
              </w:rPr>
              <w:t>5,836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340" w:type="dxa"/>
            <w:vAlign w:val="bottom"/>
            <w:gridSpan w:val="3"/>
          </w:tcPr>
          <w:p>
            <w:pPr>
              <w:jc w:val="right"/>
              <w:ind w:right="28"/>
              <w:spacing w:after="0"/>
              <w:rPr>
                <w:sz w:val="20"/>
                <w:szCs w:val="20"/>
                <w:color w:val="auto"/>
              </w:rPr>
            </w:pPr>
            <w:r>
              <w:rPr>
                <w:rFonts w:ascii="Arial" w:cs="Arial" w:eastAsia="Arial" w:hAnsi="Arial"/>
                <w:sz w:val="16"/>
                <w:szCs w:val="16"/>
                <w:color w:val="auto"/>
                <w:w w:val="82"/>
              </w:rPr>
              <w:t>516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3893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(a) </w:t>
      </w:r>
      <w:r>
        <w:rPr>
          <w:rFonts w:ascii="Arial" w:cs="Arial" w:eastAsia="Arial" w:hAnsi="Arial"/>
          <w:sz w:val="14"/>
          <w:szCs w:val="14"/>
          <w:color w:val="auto"/>
        </w:rPr>
        <w:t>Includes accruals.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909" w:right="239" w:bottom="1126"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2017</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Impairment losses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Loss on debt extinguishment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Clearway Energy LLC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1130" w:right="2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 and amounts due to the Company from CEG subsidiaries are recorded as accounts receivable - affiliate in the Company's balance sheet. The disclosures below summarize the Company's material related party transactions with CEG and its subsidiaries that are included in the Company's operating revenues and operating costs.</w:t>
      </w:r>
    </w:p>
    <w:p>
      <w:pPr>
        <w:spacing w:after="0" w:line="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As discussed in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on August 31, 2018, NRG sold 100% of its interest in CEG to GIP, and as a result, CEG and its subsidiaries are considered related parties during the year ended December 31, 2019 , and NRG and its subsidiaries were considered related parties during the first eight months of the year ended December 31,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CEG entities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Various wholly-owned subsidiaries of the Company in the Renewables segment are party to administrative services agreements with Clearway Renewable Operation &amp; Maintenance LLC (formerly NRG Renew Operation &amp; Maintenance LLC), or RENOM, a wholly-owned subsidiary of CEG, which provides operation and maintenance, or O&amp;M, services to these subsidiaries. The Company incurred total expenses for these services of $31 million for the year ended December 31, 2019. The Company incurred total expenses of $11 million for the period from September 1, 2018 to December 31, 2018. There was a balance of $7 million and $6 million due to RENOM as of December 31, 2019 and 2018,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Various wholly-owned subsidiaries of the Company are parties to administrative services agreements with Clearway Asset Services (formerly NRG Asset Services) and Clearway Solar Asset Management (formerly NRG Solar Asset Management), two wholly-owned subsidiaries of CEG, which provide various administrative services to the Company's subsidiaries. The Company incurred expenses under these agreements of $7 million for the year ended December 31, 2019. The Company incurred expenses under these agreements of $3 million for the period from September 1, 2018 to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Following the consummation of the GIP Transaction, Clearway Energy, Inc. along with Clearway Energy LLC and Clearway Energy Operating LLC entered into Master Services Agreements with CEG, pursuant to which CEG and certain of its affiliates or third party service providers began providing certain services to the Company, including operational and administrative services, which include human resources, information systems, external affairs, accounting, procurement and risk management services, and the Company began providing certain services to CEG, including accounting, internal audit, tax and treasury services, in exchange for the payment of fees in respect of such services. There was a balance of $1 million in accounts payable — affiliate due to CEG under the Master Services Agreement as of December 31, 2019, which was paid in January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NRG entities prior to the GIP Transaction</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NRG Renew Operation &amp; Maintenance LLC</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Various wholly-owned subsidiaries of the Company in the Renewables segment were party to administrative services agreements with NRG Renew Operation &amp; Maintenance LLC, or RENOM, formerly wholly-owned subsidiary of NRG, which provided O&amp;M, services to these subsidiaries. The Company incurred total expenses for these services of $29 million for the eight months ended August 31, 2018. The Company incurred total expenses of $23 million for the year ended December 31,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NRG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Various wholly-owned subsidiaries of the Company were parties to administrative services agreements with Clearway Asset Services (formerly NRG Asset Services) and Clearway Solar Asset Management (formerly NRG Solar Asset Management), two wholly-owned subsidiaries of CEG, which provided various administrative asset services to the Company's subsidiaries prior to GIP Transaction. The Company reimbursed costs under this agreement of $6 million for the eight months ended August 31, 2018. The Company reimbursed costs under this agreement of $6 million for the year ended December 31,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904"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Elbow Creek and Dover were parties to PPAs with NRG Power Marketing and generate revenue under the PPAs, which were recorded to operating revenues in the Company's consolidated statements of operations. For the eight months ended August 31, 2018, Elbow Creek and Dover, collectively, generated revenues of $8 million. For the year ended December 31, 2017, Elbow Creek and Dover, collectively, generated revenues of $12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Energy Center Dover LLC, Energy Center Minneapolis, Energy Center Phoenix LLC and Energy Center Paxton LLC, or Thermal entities, are parties to Energy Marketing Services Agreements with NRG Power Marketing, a wholly-owned subsidiary of NRG. Under the agreements, NRG Power Marketing procures fuel and fuel transportation for the operation of Thermal entities. For the eight months ended August 31, 2018, the Thermal entities purchased $7 million of natural gas from NRG Power Marketing. The Thermal entities purchased a total of $9 million of natural gas during the year ended December 31, 2017 .</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 and Maintenance (O&amp;M) Services Agreements by and between the Company's subsidiaries and NRG</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fees incurred under these agreements were $27 million for the eight months ended August 31, 2018 and $39 million for the year ended December 31,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GenConn incurs fees under two O&amp;M agreements with wholly-owned subsidiaries of NRG. For the eight months ended August 31, 2018, the aggregate fees incurred under the agreements were $4 million. The fees incurred under the agreements were $5 million for the year ended December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Marsh Landing is a party to an administrative services agreement with NRG West Coast LLC, a wholly owned subsidiary of NRG. The Company reimbursed costs under this agreement of $11 million for the eight months ended August 31, 2018. The Company reimbursed costs under this agreement of approximately $15 million for the year ended December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Administrative Services Agreement by and between ESEC and NRG West Coast LLC</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2018, ESEC, NRG West Coast LLC and NRG Power Marketing LLC, or PML, entered into confirmation agreements under the Project Administration Services Agreement between ESEC and NRG West Coast LLC, whereby PML purchased California Carbon Allowances which ESEC could subsequently purchase for the purposes of ESEC’s compliance with the California Cap-and-Trade Program. ESEC reimbursed costs under these agreements of $11 million for the eight months ended August 31,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Costs incurred under this agreement were $7 million for the eight months ended August 31, 2018. Costs incurred under this agreement were approximately $10 million for the year ended December 31, 2017. The costs incurred under the Management Services Agreement included certain direct expenses incurred by NRG on behalf of the Company in addition to the base management fee.</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On August 31, 2018, in connection with the consummation of the GIP Transaction, the Company entered into a Termination Agreement with Clearway Energy LLC, Clearway Energy Operating LLC and NRG terminating the Management Services Agreement, dated as of July 22, 2013, by and among the Company, Clearway Energy LLC, Clearway Energy Operating LLC and NRG. Concurrently with entering into the Termination Agreement on August 31, 2018, the Company entered into a Transition Services Agreement with NRG, as further described in Note 1, </w:t>
      </w:r>
      <w:r>
        <w:rPr>
          <w:rFonts w:ascii="Arial" w:cs="Arial" w:eastAsia="Arial" w:hAnsi="Arial"/>
          <w:sz w:val="17"/>
          <w:szCs w:val="17"/>
          <w:i w:val="1"/>
          <w:iCs w:val="1"/>
          <w:color w:val="auto"/>
        </w:rPr>
        <w:t>Nature of Business.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908" w:right="239" w:bottom="1440" w:gutter="0" w:footer="0" w:header="0"/>
        </w:sectPr>
      </w:pPr>
    </w:p>
    <w:bookmarkStart w:id="133" w:name="page134"/>
    <w:bookmarkEnd w:id="133"/>
    <w:p>
      <w:pPr>
        <w:jc w:val="both"/>
        <w:ind w:firstLine="648"/>
        <w:spacing w:after="0" w:line="259" w:lineRule="auto"/>
        <w:rPr>
          <w:sz w:val="20"/>
          <w:szCs w:val="20"/>
          <w:color w:val="auto"/>
        </w:rPr>
      </w:pPr>
      <w:r>
        <w:rPr>
          <w:rFonts w:ascii="Arial" w:cs="Arial" w:eastAsia="Arial" w:hAnsi="Arial"/>
          <w:sz w:val="18"/>
          <w:szCs w:val="18"/>
          <w:color w:val="auto"/>
        </w:rPr>
        <w:t>Subsequent to the GIP Transaction, the Company entered into a Transition Services Agreement with NRG, or the NRG TSA, pursuant to which NRG or certain of its affiliates began providing transitional services to the Company following the consummation of the GIP Transaction, in exchange for the payment of a fee in respect of such services. Expenses related to the NRG TSA are recorded in acquisition-related transaction and integration costs in the consolidated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EPC Agreement by and between ECP and NRG</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NRG Business Services LLC, a subsidiary of NRG, and Energy Center Pittsburgh LLC, or ECP, a wholly owned subsidiary of the Company, entered into an EPC agreement for the construction of a 73 MWt district energy system for ECP to provide 150 pph of steam, 6,750 tons of chilled water and 7.5 MW of emergency backup power service to UPMC Mercy. The initial term of the energy services agreement with UPMC Mercy will be for a period of twenty years from the service commencement date. On June 19, 2018, as discussed in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ECP purchased the UPMC Thermal Project assets from NRG Business Services LLC for cash consideration of $84 million, subject to working capital adjustments. The Company paid an additional $3 million to NRG upon final completion of the project in January 2019 pursuant to the EPC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and Transportation Commitments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has entered into contractual arrangements to procure power, fuel and associated transportation services. For the years ended December 31, 2019, 2018 and 2017, the Company purchased $38 million, $39 million and $34 million, respectively, under such arrangements. As further described in Note 13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these purchases include intercompany transactions through August 31, 2018 between certain Thermal entities and NRG Power Marketing under the Energy Marketing Services Agreements in the amount of $7 million for the eight months ended August 31, 2018 and $9 million during the year ended December 31, 2017.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80" w:type="dxa"/>
            <w:vAlign w:val="bottom"/>
          </w:tcPr>
          <w:p>
            <w:pPr>
              <w:ind w:left="220"/>
              <w:spacing w:after="0"/>
              <w:rPr>
                <w:sz w:val="20"/>
                <w:szCs w:val="20"/>
                <w:color w:val="auto"/>
              </w:rPr>
            </w:pPr>
            <w:r>
              <w:rPr>
                <w:rFonts w:ascii="Arial" w:cs="Arial" w:eastAsia="Arial" w:hAnsi="Arial"/>
                <w:sz w:val="18"/>
                <w:szCs w:val="18"/>
                <w:color w:val="auto"/>
                <w:w w:val="96"/>
              </w:rPr>
              <w:t>As of December 31, 2019, the Company's commitments under such outstanding agreements are estimated as follows:</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51"/>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24"/>
                <w:szCs w:val="24"/>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9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440" w:type="dxa"/>
            <w:vAlign w:val="bottom"/>
            <w:gridSpan w:val="2"/>
          </w:tcPr>
          <w:p>
            <w:pPr>
              <w:ind w:left="40"/>
              <w:spacing w:after="0"/>
              <w:rPr>
                <w:sz w:val="20"/>
                <w:szCs w:val="20"/>
                <w:color w:val="auto"/>
              </w:rPr>
            </w:pPr>
            <w:r>
              <w:rPr>
                <w:rFonts w:ascii="Arial" w:cs="Arial" w:eastAsia="Arial" w:hAnsi="Arial"/>
                <w:sz w:val="18"/>
                <w:szCs w:val="18"/>
                <w:color w:val="auto"/>
                <w:w w:val="94"/>
              </w:rPr>
              <w:t>2021</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2022</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440" w:type="dxa"/>
            <w:vAlign w:val="bottom"/>
            <w:gridSpan w:val="2"/>
          </w:tcPr>
          <w:p>
            <w:pPr>
              <w:ind w:left="40"/>
              <w:spacing w:after="0"/>
              <w:rPr>
                <w:sz w:val="20"/>
                <w:szCs w:val="20"/>
                <w:color w:val="auto"/>
              </w:rPr>
            </w:pPr>
            <w:r>
              <w:rPr>
                <w:rFonts w:ascii="Arial" w:cs="Arial" w:eastAsia="Arial" w:hAnsi="Arial"/>
                <w:sz w:val="18"/>
                <w:szCs w:val="18"/>
                <w:color w:val="auto"/>
                <w:w w:val="94"/>
              </w:rPr>
              <w:t>2023</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2024</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908" w:right="239" w:bottom="1440" w:gutter="0" w:footer="0" w:header="0"/>
        </w:sectPr>
      </w:pPr>
    </w:p>
    <w:bookmarkStart w:id="134" w:name="page135"/>
    <w:bookmarkEnd w:id="134"/>
    <w:p>
      <w:pPr>
        <w:jc w:val="both"/>
        <w:ind w:firstLine="648"/>
        <w:spacing w:after="0" w:line="269" w:lineRule="auto"/>
        <w:rPr>
          <w:sz w:val="20"/>
          <w:szCs w:val="20"/>
          <w:color w:val="auto"/>
        </w:rPr>
      </w:pPr>
      <w:r>
        <w:rPr>
          <w:rFonts w:ascii="Arial" w:cs="Arial" w:eastAsia="Arial" w:hAnsi="Arial"/>
          <w:sz w:val="17"/>
          <w:szCs w:val="17"/>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Additionally, Elkhorn Ridge was added as a third-party defendant to the litigation in the U.S. District Court. On September 23, 2019, NPPD filed amended complaints in the U.S. District Court, to which Laredo Ridge and Elkhorn Ridge responded on October 7, 2019. A motion for summary judgment was filed by the Company on December 19, 2019, which was opposed by NPPD on February 12, 2020. Judicial review is pending. The Company believes the allegations of NPPD are meritless and the Company is vigorously defending its rights under the PPAs.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Buckthorn Solar Litigation</w:t>
      </w:r>
    </w:p>
    <w:p>
      <w:pPr>
        <w:spacing w:after="0" w:line="18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908"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i w:val="1"/>
          <w:iCs w:val="1"/>
          <w:color w:val="auto"/>
        </w:rPr>
        <w:t xml:space="preserve">Note 15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Leases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Topic 842</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adopted ASU No. 2016-02, Leases (Topic 842), or Topic 842, on January 1, 2019 using the modified retrospective transition method and therefore, prior period financial information has not been adjusted and continues to be reflected in accordance with the Company’s historical accounting policy. Topic 842 requires the establishment of a lease liability and related right-of-use, or ROU, asset for all leases with a term longer than 12 months. The Company elected certain of the permitted practical expedients, including the expedient that permits the Company to retain its existing lease assessment and classification. The Company also elected to account for lease and non-lease components for specific asset classes as a single lease component.</w:t>
      </w:r>
    </w:p>
    <w:p>
      <w:pPr>
        <w:spacing w:after="0" w:line="1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adoption of the standard resulted in the recording of operating lease liabilities of $165 million and related ROU assets of $159 million. There was no impact to the Company’s consolidated statement of operations or cash flows. The Company utilized its incremental borrowing rate at adoption date, ranging from 4.04% - 4.67%, to determine the amount of the lease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evaluates each arrangement at inception to determine if it contains a lease. All of the Company’s leases are operating leases as of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104"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the year ended December 31, 2019 was comprised of the following:</w:t>
      </w:r>
    </w:p>
    <w:p>
      <w:pPr>
        <w:spacing w:after="0" w:line="351" w:lineRule="exact"/>
        <w:rPr>
          <w:sz w:val="20"/>
          <w:szCs w:val="20"/>
          <w:color w:val="auto"/>
        </w:rPr>
      </w:pPr>
    </w:p>
    <w:tbl>
      <w:tblPr>
        <w:tblLayout w:type="fixed"/>
        <w:tblInd w:w="2420" w:type="dxa"/>
        <w:tblCellMar>
          <w:top w:w="0" w:type="dxa"/>
          <w:left w:w="0" w:type="dxa"/>
          <w:bottom w:w="0" w:type="dxa"/>
          <w:right w:w="0" w:type="dxa"/>
        </w:tblCellMar>
      </w:tblPr>
      <w:tr>
        <w:trPr>
          <w:trHeight w:val="206"/>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 millions)</w:t>
            </w: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Variable lease cost</w:t>
            </w:r>
          </w:p>
        </w:tc>
        <w:tc>
          <w:tcPr>
            <w:tcW w:w="8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Total lease cost</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Lease expense under operating leases was $18 million and $17 million for the years ended December 31, 2018 and 2017,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904" w:right="2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color w:val="auto"/>
        </w:rPr>
        <w:t>Operating lease information as of December 31,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201295</wp:posOffset>
            </wp:positionV>
            <wp:extent cx="707517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3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millions, except term and rate)</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ROU Assets - operating leases,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707517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75170" cy="205740"/>
                    </a:xfrm>
                    <a:prstGeom prst="rect">
                      <a:avLst/>
                    </a:prstGeom>
                    <a:noFill/>
                  </pic:spPr>
                </pic:pic>
              </a:graphicData>
            </a:graphic>
          </wp:anchor>
        </w:drawing>
      </w:r>
    </w:p>
    <w:p>
      <w:pPr>
        <w:spacing w:after="0" w:line="3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Short-term lease liability - operating leases </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-17780</wp:posOffset>
            </wp:positionV>
            <wp:extent cx="707517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Long-term lease liability - operating leases</w:t>
      </w:r>
    </w:p>
    <w:p>
      <w:pPr>
        <w:spacing w:after="0" w:line="70"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Total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34290</wp:posOffset>
            </wp:positionV>
            <wp:extent cx="707517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75170" cy="222885"/>
                    </a:xfrm>
                    <a:prstGeom prst="rect">
                      <a:avLst/>
                    </a:prstGeom>
                    <a:noFill/>
                  </pic:spPr>
                </pic:pic>
              </a:graphicData>
            </a:graphic>
          </wp:anchor>
        </w:drawing>
      </w:r>
    </w:p>
    <w:p>
      <w:pPr>
        <w:spacing w:after="0" w:line="3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paid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707517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 average remaining lease term</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4147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223</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14147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7" w:lineRule="exact"/>
        <w:rPr>
          <w:sz w:val="20"/>
          <w:szCs w:val="20"/>
          <w:color w:val="auto"/>
        </w:rPr>
      </w:pPr>
    </w:p>
    <w:p>
      <w:pPr>
        <w:spacing w:after="0"/>
        <w:tabs>
          <w:tab w:leader="none" w:pos="1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46355</wp:posOffset>
            </wp:positionV>
            <wp:extent cx="14147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6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660" w:type="dxa"/>
            <w:vAlign w:val="bottom"/>
          </w:tcPr>
          <w:p>
            <w:pPr>
              <w:spacing w:after="0"/>
              <w:rPr>
                <w:sz w:val="23"/>
                <w:szCs w:val="23"/>
                <w:color w:val="auto"/>
              </w:rPr>
            </w:pP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ectPr>
          <w:pgSz w:w="11900" w:h="16838" w:orient="portrait"/>
          <w:cols w:equalWidth="0" w:num="2">
            <w:col w:w="8360" w:space="720"/>
            <w:col w:w="2100"/>
          </w:cols>
          <w:pgMar w:left="240" w:top="909" w:right="479" w:bottom="1440" w:gutter="0" w:footer="0" w:header="0"/>
        </w:sectPr>
      </w:pPr>
    </w:p>
    <w:p>
      <w:pPr>
        <w:spacing w:after="0" w:line="132" w:lineRule="exact"/>
        <w:rPr>
          <w:sz w:val="20"/>
          <w:szCs w:val="20"/>
          <w:color w:val="auto"/>
        </w:rPr>
      </w:pPr>
    </w:p>
    <w:p>
      <w:pPr>
        <w:ind w:left="220" w:hanging="131"/>
        <w:spacing w:after="0"/>
        <w:tabs>
          <w:tab w:leader="none" w:pos="220" w:val="left"/>
        </w:tabs>
        <w:numPr>
          <w:ilvl w:val="0"/>
          <w:numId w:val="73"/>
        </w:numPr>
        <w:rPr>
          <w:rFonts w:ascii="Arial" w:cs="Arial" w:eastAsia="Arial" w:hAnsi="Arial"/>
          <w:sz w:val="9"/>
          <w:szCs w:val="9"/>
          <w:color w:val="auto"/>
        </w:rPr>
      </w:pPr>
      <w:r>
        <w:rPr>
          <w:rFonts w:ascii="Arial" w:cs="Arial" w:eastAsia="Arial" w:hAnsi="Arial"/>
          <w:sz w:val="14"/>
          <w:szCs w:val="14"/>
          <w:color w:val="auto"/>
        </w:rPr>
        <w:t>Short-term lease liability balances are included within the accrued expenses and other current liabilities line item of the consolidated balance sheets as of December 31,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December 31,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07517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tcPr>
          <w:p>
            <w:pPr>
              <w:ind w:left="280"/>
              <w:spacing w:after="0"/>
              <w:rPr>
                <w:sz w:val="20"/>
                <w:szCs w:val="20"/>
                <w:color w:val="auto"/>
              </w:rPr>
            </w:pPr>
            <w:r>
              <w:rPr>
                <w:rFonts w:ascii="Arial" w:cs="Arial" w:eastAsia="Arial" w:hAnsi="Arial"/>
                <w:sz w:val="18"/>
                <w:szCs w:val="18"/>
                <w:color w:val="auto"/>
              </w:rPr>
              <w:t>2020</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920" w:type="dxa"/>
            <w:vAlign w:val="bottom"/>
          </w:tcPr>
          <w:p>
            <w:pPr>
              <w:ind w:left="280"/>
              <w:spacing w:after="0"/>
              <w:rPr>
                <w:sz w:val="20"/>
                <w:szCs w:val="20"/>
                <w:color w:val="auto"/>
              </w:rPr>
            </w:pPr>
            <w:r>
              <w:rPr>
                <w:rFonts w:ascii="Arial" w:cs="Arial" w:eastAsia="Arial" w:hAnsi="Arial"/>
                <w:sz w:val="18"/>
                <w:szCs w:val="18"/>
                <w:color w:val="auto"/>
              </w:rPr>
              <w:t>2022</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920" w:type="dxa"/>
            <w:vAlign w:val="bottom"/>
          </w:tcPr>
          <w:p>
            <w:pPr>
              <w:ind w:left="280"/>
              <w:spacing w:after="0"/>
              <w:rPr>
                <w:sz w:val="20"/>
                <w:szCs w:val="20"/>
                <w:color w:val="auto"/>
              </w:rPr>
            </w:pPr>
            <w:r>
              <w:rPr>
                <w:rFonts w:ascii="Arial" w:cs="Arial" w:eastAsia="Arial" w:hAnsi="Arial"/>
                <w:sz w:val="18"/>
                <w:szCs w:val="18"/>
                <w:color w:val="auto"/>
              </w:rPr>
              <w:t>2024</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7"/>
        </w:trPr>
        <w:tc>
          <w:tcPr>
            <w:tcW w:w="8920" w:type="dxa"/>
            <w:vAlign w:val="bottom"/>
          </w:tcPr>
          <w:p>
            <w:pPr>
              <w:ind w:left="280"/>
              <w:spacing w:after="0"/>
              <w:rPr>
                <w:sz w:val="20"/>
                <w:szCs w:val="20"/>
                <w:color w:val="auto"/>
              </w:rPr>
            </w:pPr>
            <w:r>
              <w:rPr>
                <w:rFonts w:ascii="Arial" w:cs="Arial" w:eastAsia="Arial" w:hAnsi="Arial"/>
                <w:sz w:val="18"/>
                <w:szCs w:val="18"/>
                <w:color w:val="auto"/>
              </w:rPr>
              <w:t>Total lease payments</w:t>
            </w:r>
          </w:p>
        </w:tc>
        <w:tc>
          <w:tcPr>
            <w:tcW w:w="9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Less imputed interest</w:t>
            </w:r>
          </w:p>
        </w:tc>
        <w:tc>
          <w:tcPr>
            <w:tcW w:w="9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7"/>
        </w:trPr>
        <w:tc>
          <w:tcPr>
            <w:tcW w:w="8920" w:type="dxa"/>
            <w:vAlign w:val="bottom"/>
          </w:tcPr>
          <w:p>
            <w:pPr>
              <w:ind w:left="280"/>
              <w:spacing w:after="0"/>
              <w:rPr>
                <w:sz w:val="20"/>
                <w:szCs w:val="20"/>
                <w:color w:val="auto"/>
              </w:rPr>
            </w:pPr>
            <w:r>
              <w:rPr>
                <w:rFonts w:ascii="Arial" w:cs="Arial" w:eastAsia="Arial" w:hAnsi="Arial"/>
                <w:sz w:val="18"/>
                <w:szCs w:val="18"/>
                <w:b w:val="1"/>
                <w:bCs w:val="1"/>
                <w:color w:val="auto"/>
              </w:rPr>
              <w:t>Total lease liability - operating leases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color w:val="auto"/>
              </w:rPr>
              <w:t>Maturities of operating lease liabilities as of December 31, 2018 under the ASC 840 were as follows:</w:t>
            </w: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8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 millions)</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280"/>
              <w:spacing w:after="0"/>
              <w:rPr>
                <w:sz w:val="20"/>
                <w:szCs w:val="20"/>
                <w:color w:val="auto"/>
              </w:rPr>
            </w:pPr>
            <w:r>
              <w:rPr>
                <w:rFonts w:ascii="Arial" w:cs="Arial" w:eastAsia="Arial" w:hAnsi="Arial"/>
                <w:sz w:val="18"/>
                <w:szCs w:val="18"/>
                <w:color w:val="auto"/>
              </w:rPr>
              <w:t>2019</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920" w:type="dxa"/>
            <w:vAlign w:val="bottom"/>
          </w:tcPr>
          <w:p>
            <w:pPr>
              <w:ind w:left="280"/>
              <w:spacing w:after="0"/>
              <w:rPr>
                <w:sz w:val="20"/>
                <w:szCs w:val="20"/>
                <w:color w:val="auto"/>
              </w:rPr>
            </w:pPr>
            <w:r>
              <w:rPr>
                <w:rFonts w:ascii="Arial" w:cs="Arial" w:eastAsia="Arial" w:hAnsi="Arial"/>
                <w:sz w:val="18"/>
                <w:szCs w:val="18"/>
                <w:color w:val="auto"/>
              </w:rPr>
              <w:t>2021</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920" w:type="dxa"/>
            <w:vAlign w:val="bottom"/>
          </w:tcPr>
          <w:p>
            <w:pPr>
              <w:ind w:left="280"/>
              <w:spacing w:after="0"/>
              <w:rPr>
                <w:sz w:val="20"/>
                <w:szCs w:val="20"/>
                <w:color w:val="auto"/>
              </w:rPr>
            </w:pPr>
            <w:r>
              <w:rPr>
                <w:rFonts w:ascii="Arial" w:cs="Arial" w:eastAsia="Arial" w:hAnsi="Arial"/>
                <w:sz w:val="18"/>
                <w:szCs w:val="18"/>
                <w:color w:val="auto"/>
              </w:rPr>
              <w:t>2023</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7"/>
        </w:trPr>
        <w:tc>
          <w:tcPr>
            <w:tcW w:w="8920" w:type="dxa"/>
            <w:vAlign w:val="bottom"/>
          </w:tcPr>
          <w:p>
            <w:pPr>
              <w:ind w:left="920"/>
              <w:spacing w:after="0"/>
              <w:rPr>
                <w:sz w:val="20"/>
                <w:szCs w:val="20"/>
                <w:color w:val="auto"/>
              </w:rPr>
            </w:pPr>
            <w:r>
              <w:rPr>
                <w:rFonts w:ascii="Arial" w:cs="Arial" w:eastAsia="Arial" w:hAnsi="Arial"/>
                <w:sz w:val="18"/>
                <w:szCs w:val="18"/>
                <w:b w:val="1"/>
                <w:bCs w:val="1"/>
                <w:color w:val="auto"/>
              </w:rPr>
              <w:t>Total lease payments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8920" w:type="dxa"/>
            <w:vAlign w:val="bottom"/>
            <w:vMerge w:val="restart"/>
          </w:tcPr>
          <w:p>
            <w:pPr>
              <w:ind w:left="5580"/>
              <w:spacing w:after="0"/>
              <w:rPr>
                <w:sz w:val="20"/>
                <w:szCs w:val="20"/>
                <w:color w:val="auto"/>
              </w:rPr>
            </w:pPr>
            <w:r>
              <w:rPr>
                <w:rFonts w:ascii="Arial" w:cs="Arial" w:eastAsia="Arial" w:hAnsi="Arial"/>
                <w:sz w:val="18"/>
                <w:szCs w:val="18"/>
                <w:color w:val="auto"/>
              </w:rPr>
              <w:t>135</w:t>
            </w: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909" w:right="47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b w:val="1"/>
          <w:bCs w:val="1"/>
          <w:i w:val="1"/>
          <w:iCs w:val="1"/>
          <w:color w:val="auto"/>
        </w:rPr>
        <w:t>Oahu Solar Lease Agreements</w:t>
      </w:r>
    </w:p>
    <w:p>
      <w:pPr>
        <w:spacing w:after="0" w:line="14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Oahu Solar projects are party to various land lease agreements with a wholly owned subsidiary of CEG. the projects are leasing the land for a period of 35 years, with the ability to renew the lease for two additional five year periods. the Company has a lease liability of $21 million and corresponding right-of-use asset of $19 million related to the leases as of December 31, 2019.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w:t>
      </w:r>
      <w:r>
        <w:rPr>
          <w:rFonts w:ascii="Arial" w:cs="Arial" w:eastAsia="Arial" w:hAnsi="Arial"/>
          <w:sz w:val="17"/>
          <w:szCs w:val="17"/>
          <w:i w:val="1"/>
          <w:iCs w:val="1"/>
          <w:color w:val="auto"/>
        </w:rPr>
        <w:t>Properties</w:t>
      </w:r>
      <w:r>
        <w:rPr>
          <w:rFonts w:ascii="Arial" w:cs="Arial" w:eastAsia="Arial" w:hAnsi="Arial"/>
          <w:sz w:val="17"/>
          <w:szCs w:val="17"/>
          <w:color w:val="auto"/>
        </w:rPr>
        <w:t xml:space="preserve"> of this Form 10-K. Many of the leases have renewal options at the end of the lease term. Termination may be allowed under specific circumstances in the lease arrangements, such as under an event of default. All of the Company’s leases are operating leases. Certain of these leases have both lease and non-lease components, and the Company allocates the transaction price to the components based on standalone selling prices. The following amounts of energy and capacity revenue are related to the Company’s leases: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Period ended December 31, 2019</w:t>
            </w: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6"/>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4"/>
                <w:szCs w:val="24"/>
                <w:color w:val="auto"/>
              </w:rPr>
            </w:pPr>
          </w:p>
        </w:tc>
        <w:tc>
          <w:tcPr>
            <w:tcW w:w="1960" w:type="dxa"/>
            <w:vAlign w:val="bottom"/>
            <w:gridSpan w:val="4"/>
          </w:tcPr>
          <w:p>
            <w:pPr>
              <w:ind w:left="40"/>
              <w:spacing w:after="0"/>
              <w:rPr>
                <w:sz w:val="20"/>
                <w:szCs w:val="20"/>
                <w:color w:val="auto"/>
              </w:rPr>
            </w:pPr>
            <w:r>
              <w:rPr>
                <w:rFonts w:ascii="Arial" w:cs="Arial" w:eastAsia="Arial" w:hAnsi="Arial"/>
                <w:sz w:val="16"/>
                <w:szCs w:val="16"/>
                <w:b w:val="1"/>
                <w:bCs w:val="1"/>
                <w:color w:val="auto"/>
                <w:w w:val="99"/>
              </w:rPr>
              <w:t>Conventional Generation</w:t>
            </w:r>
          </w:p>
        </w:tc>
        <w:tc>
          <w:tcPr>
            <w:tcW w:w="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Renewables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Thermal</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Total</w:t>
            </w:r>
          </w:p>
        </w:tc>
      </w:tr>
      <w:tr>
        <w:trPr>
          <w:trHeight w:val="236"/>
        </w:trPr>
        <w:tc>
          <w:tcPr>
            <w:tcW w:w="32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Energy revenue</w:t>
            </w:r>
          </w:p>
        </w:tc>
        <w:tc>
          <w:tcPr>
            <w:tcW w:w="860" w:type="dxa"/>
            <w:vAlign w:val="bottom"/>
            <w:tcBorders>
              <w:top w:val="single" w:sz="8" w:color="auto"/>
              <w:bottom w:val="single" w:sz="8" w:color="CCEEFF"/>
            </w:tcBorders>
            <w:gridSpan w:val="2"/>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gridSpan w:val="2"/>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509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gridSpan w:val="2"/>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516</w:t>
            </w:r>
          </w:p>
        </w:tc>
      </w:tr>
      <w:tr>
        <w:trPr>
          <w:trHeight w:val="237"/>
        </w:trPr>
        <w:tc>
          <w:tcPr>
            <w:tcW w:w="3200" w:type="dxa"/>
            <w:vAlign w:val="bottom"/>
          </w:tcPr>
          <w:p>
            <w:pPr>
              <w:ind w:left="280"/>
              <w:spacing w:after="0"/>
              <w:rPr>
                <w:sz w:val="20"/>
                <w:szCs w:val="20"/>
                <w:color w:val="auto"/>
              </w:rPr>
            </w:pPr>
            <w:r>
              <w:rPr>
                <w:rFonts w:ascii="Arial" w:cs="Arial" w:eastAsia="Arial" w:hAnsi="Arial"/>
                <w:sz w:val="16"/>
                <w:szCs w:val="16"/>
                <w:color w:val="auto"/>
              </w:rPr>
              <w:t>Capacity revenue</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348</w:t>
            </w:r>
          </w:p>
        </w:tc>
      </w:tr>
      <w:tr>
        <w:trPr>
          <w:trHeight w:val="33"/>
        </w:trPr>
        <w:tc>
          <w:tcPr>
            <w:tcW w:w="3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Operating revenue</w:t>
            </w:r>
          </w:p>
        </w:tc>
        <w:tc>
          <w:tcPr>
            <w:tcW w:w="860" w:type="dxa"/>
            <w:vAlign w:val="bottom"/>
            <w:tcBorders>
              <w:bottom w:val="single" w:sz="8" w:color="CCEEFF"/>
            </w:tcBorders>
            <w:gridSpan w:val="2"/>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509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864</w:t>
            </w:r>
          </w:p>
        </w:tc>
      </w:tr>
      <w:tr>
        <w:trPr>
          <w:trHeight w:val="555"/>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Period ended December 31, 2018</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6"/>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93"/>
              </w:rPr>
              <w:t>Conventional Generation</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Renewables</w:t>
            </w: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Thermal</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4"/>
                <w:szCs w:val="24"/>
                <w:color w:val="auto"/>
              </w:rPr>
            </w:pPr>
          </w:p>
        </w:tc>
      </w:tr>
      <w:tr>
        <w:trPr>
          <w:trHeight w:val="236"/>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Energy revenue</w:t>
            </w:r>
          </w:p>
        </w:tc>
        <w:tc>
          <w:tcPr>
            <w:tcW w:w="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534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0"/>
                <w:szCs w:val="20"/>
                <w:color w:val="auto"/>
              </w:rPr>
            </w:pPr>
          </w:p>
        </w:tc>
      </w:tr>
      <w:tr>
        <w:trPr>
          <w:trHeight w:val="237"/>
        </w:trPr>
        <w:tc>
          <w:tcPr>
            <w:tcW w:w="3200" w:type="dxa"/>
            <w:vAlign w:val="bottom"/>
          </w:tcPr>
          <w:p>
            <w:pPr>
              <w:ind w:left="280"/>
              <w:spacing w:after="0"/>
              <w:rPr>
                <w:sz w:val="20"/>
                <w:szCs w:val="20"/>
                <w:color w:val="auto"/>
              </w:rPr>
            </w:pPr>
            <w:r>
              <w:rPr>
                <w:rFonts w:ascii="Arial" w:cs="Arial" w:eastAsia="Arial" w:hAnsi="Arial"/>
                <w:sz w:val="16"/>
                <w:szCs w:val="16"/>
                <w:color w:val="auto"/>
              </w:rPr>
              <w:t>Capacity revenue</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0"/>
                <w:szCs w:val="20"/>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1"/>
        </w:trPr>
        <w:tc>
          <w:tcPr>
            <w:tcW w:w="3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revenue</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534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20"/>
                <w:szCs w:val="20"/>
                <w:color w:val="auto"/>
              </w:rPr>
            </w:pPr>
          </w:p>
        </w:tc>
      </w:tr>
      <w:tr>
        <w:trPr>
          <w:trHeight w:val="33"/>
        </w:trPr>
        <w:tc>
          <w:tcPr>
            <w:tcW w:w="3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908"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Minimum future rent payments for the remaining periods relate to the Conventional segment and were as follows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186690</wp:posOffset>
            </wp:positionV>
            <wp:extent cx="529971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300"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(In millions)</w:t>
      </w:r>
    </w:p>
    <w:p>
      <w:pPr>
        <w:spacing w:after="0" w:line="72"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439</w:t>
            </w:r>
          </w:p>
        </w:tc>
      </w:tr>
      <w:tr>
        <w:trPr>
          <w:trHeight w:val="27"/>
        </w:trPr>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w:t>
            </w:r>
          </w:p>
        </w:tc>
      </w:tr>
      <w:tr>
        <w:trPr>
          <w:trHeight w:val="257"/>
        </w:trPr>
        <w:tc>
          <w:tcPr>
            <w:tcW w:w="6660" w:type="dxa"/>
            <w:vAlign w:val="bottom"/>
          </w:tcPr>
          <w:p>
            <w:pPr>
              <w:ind w:left="480"/>
              <w:spacing w:after="0"/>
              <w:rPr>
                <w:sz w:val="20"/>
                <w:szCs w:val="20"/>
                <w:color w:val="auto"/>
              </w:rPr>
            </w:pPr>
            <w:r>
              <w:rPr>
                <w:rFonts w:ascii="Arial" w:cs="Arial" w:eastAsia="Arial" w:hAnsi="Arial"/>
                <w:sz w:val="18"/>
                <w:szCs w:val="18"/>
                <w:b w:val="1"/>
                <w:bCs w:val="1"/>
                <w:color w:val="auto"/>
              </w:rPr>
              <w:t>Total lease payments</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3,303</w:t>
            </w:r>
          </w:p>
        </w:tc>
      </w:tr>
      <w:tr>
        <w:trPr>
          <w:trHeight w:val="20"/>
        </w:trPr>
        <w:tc>
          <w:tcPr>
            <w:tcW w:w="6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related to the Company’s operating leases were as follows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186690</wp:posOffset>
            </wp:positionV>
            <wp:extent cx="529971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304"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(In millions)</w:t>
      </w:r>
    </w:p>
    <w:p>
      <w:pPr>
        <w:spacing w:after="0" w:line="68"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664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6,942</w:t>
            </w:r>
          </w:p>
        </w:tc>
      </w:tr>
      <w:tr>
        <w:trPr>
          <w:trHeight w:val="27"/>
        </w:trPr>
        <w:tc>
          <w:tcPr>
            <w:tcW w:w="6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44"/>
        </w:trPr>
        <w:tc>
          <w:tcPr>
            <w:tcW w:w="6640" w:type="dxa"/>
            <w:vAlign w:val="bottom"/>
          </w:tcPr>
          <w:p>
            <w:pPr>
              <w:ind w:left="20"/>
              <w:spacing w:after="0"/>
              <w:rPr>
                <w:sz w:val="20"/>
                <w:szCs w:val="20"/>
                <w:color w:val="auto"/>
              </w:rPr>
            </w:pPr>
            <w:r>
              <w:rPr>
                <w:rFonts w:ascii="Arial" w:cs="Arial" w:eastAsia="Arial" w:hAnsi="Arial"/>
                <w:sz w:val="16"/>
                <w:szCs w:val="16"/>
                <w:color w:val="auto"/>
              </w:rPr>
              <w:t>Net property, plant and equipment</w:t>
            </w: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6"/>
                <w:szCs w:val="16"/>
                <w:color w:val="auto"/>
              </w:rPr>
              <w:t>5,293</w:t>
            </w:r>
          </w:p>
        </w:tc>
      </w:tr>
      <w:tr>
        <w:trPr>
          <w:trHeight w:val="20"/>
        </w:trPr>
        <w:tc>
          <w:tcPr>
            <w:tcW w:w="6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Unaudited Quarterly Data</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summarized unaudited quarterly financial data for the periods ending December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left="743"/>
              <w:spacing w:after="0"/>
              <w:rPr>
                <w:sz w:val="20"/>
                <w:szCs w:val="20"/>
                <w:color w:val="auto"/>
              </w:rPr>
            </w:pPr>
            <w:r>
              <w:rPr>
                <w:rFonts w:ascii="Arial" w:cs="Arial" w:eastAsia="Arial" w:hAnsi="Arial"/>
                <w:sz w:val="14"/>
                <w:szCs w:val="14"/>
                <w:b w:val="1"/>
                <w:bCs w:val="1"/>
                <w:color w:val="auto"/>
                <w:w w:val="96"/>
              </w:rPr>
              <w:t>Quarter Ended</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w w:val="96"/>
              </w:rPr>
              <w:t>June 30,</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303"/>
              <w:spacing w:after="0"/>
              <w:rPr>
                <w:sz w:val="20"/>
                <w:szCs w:val="20"/>
                <w:color w:val="auto"/>
              </w:rPr>
            </w:pPr>
            <w:r>
              <w:rPr>
                <w:rFonts w:ascii="Arial" w:cs="Arial" w:eastAsia="Arial" w:hAnsi="Arial"/>
                <w:sz w:val="14"/>
                <w:szCs w:val="14"/>
                <w:b w:val="1"/>
                <w:bCs w:val="1"/>
                <w:color w:val="auto"/>
                <w:w w:val="89"/>
              </w:rPr>
              <w:t>2019</w:t>
            </w:r>
          </w:p>
        </w:tc>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2"/>
          </w:tcPr>
          <w:p>
            <w:pPr>
              <w:jc w:val="center"/>
              <w:ind w:left="723"/>
              <w:spacing w:after="0"/>
              <w:rPr>
                <w:sz w:val="20"/>
                <w:szCs w:val="20"/>
                <w:color w:val="auto"/>
              </w:rPr>
            </w:pPr>
            <w:r>
              <w:rPr>
                <w:rFonts w:ascii="Arial" w:cs="Arial" w:eastAsia="Arial" w:hAnsi="Arial"/>
                <w:sz w:val="14"/>
                <w:szCs w:val="14"/>
                <w:b w:val="1"/>
                <w:bCs w:val="1"/>
                <w:color w:val="auto"/>
                <w:w w:val="96"/>
              </w:rPr>
              <w:t>(In millions)</w:t>
            </w: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235</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66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284</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217</w:t>
            </w: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88</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6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33"/>
        </w:trPr>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left="600"/>
              <w:spacing w:after="0"/>
              <w:rPr>
                <w:sz w:val="20"/>
                <w:szCs w:val="20"/>
                <w:color w:val="auto"/>
              </w:rPr>
            </w:pPr>
            <w:r>
              <w:rPr>
                <w:rFonts w:ascii="Arial" w:cs="Arial" w:eastAsia="Arial" w:hAnsi="Arial"/>
                <w:sz w:val="14"/>
                <w:szCs w:val="14"/>
                <w:b w:val="1"/>
                <w:bCs w:val="1"/>
                <w:color w:val="auto"/>
                <w:w w:val="96"/>
              </w:rPr>
              <w:t>Quarter Ended</w:t>
            </w: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9"/>
              </w:rPr>
              <w:t>June 30,</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left="960"/>
              <w:spacing w:after="0"/>
              <w:rPr>
                <w:sz w:val="20"/>
                <w:szCs w:val="20"/>
                <w:color w:val="auto"/>
              </w:rPr>
            </w:pPr>
            <w:r>
              <w:rPr>
                <w:rFonts w:ascii="Arial" w:cs="Arial" w:eastAsia="Arial" w:hAnsi="Arial"/>
                <w:sz w:val="14"/>
                <w:szCs w:val="14"/>
                <w:b w:val="1"/>
                <w:bCs w:val="1"/>
                <w:color w:val="auto"/>
                <w:w w:val="96"/>
              </w:rPr>
              <w:t>2018</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gridSpan w:val="2"/>
          </w:tcPr>
          <w:p>
            <w:pPr>
              <w:jc w:val="center"/>
              <w:ind w:left="620"/>
              <w:spacing w:after="0"/>
              <w:rPr>
                <w:sz w:val="20"/>
                <w:szCs w:val="20"/>
                <w:color w:val="auto"/>
              </w:rPr>
            </w:pPr>
            <w:r>
              <w:rPr>
                <w:rFonts w:ascii="Arial" w:cs="Arial" w:eastAsia="Arial" w:hAnsi="Arial"/>
                <w:sz w:val="14"/>
                <w:szCs w:val="14"/>
                <w:b w:val="1"/>
                <w:bCs w:val="1"/>
                <w:color w:val="auto"/>
                <w:w w:val="96"/>
              </w:rPr>
              <w:t>(In millions)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229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292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r>
      <w:tr>
        <w:trPr>
          <w:trHeight w:val="284"/>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r>
      <w:tr>
        <w:trPr>
          <w:trHeight w:val="284"/>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Net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473"/>
        </w:trPr>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908"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Note 17 — Condensed Consolidating Financial Information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 of December 31, 2019, Clearway Energy Operating LLC had outstanding $88 million of the 2024 Senior Notes, $600 million of the 2025 Senior Notes , $350 million of the 2026 Senior Notes and $600 million of the 2028 Senior Notes, collectively Senior Notes, as further 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 These Senior Notes are guaranteed by the Company, as well as certain of the Company's subsidiaries, or guarantor subsidiaries. These guarantees</w:t>
      </w:r>
      <w:r>
        <w:rPr>
          <w:rFonts w:ascii="Arial" w:cs="Arial" w:eastAsia="Arial" w:hAnsi="Arial"/>
          <w:sz w:val="18"/>
          <w:szCs w:val="18"/>
          <w:i w:val="1"/>
          <w:iCs w:val="1"/>
          <w:color w:val="auto"/>
        </w:rPr>
        <w:t xml:space="preserve"> </w:t>
      </w:r>
      <w:r>
        <w:rPr>
          <w:rFonts w:ascii="Arial" w:cs="Arial" w:eastAsia="Arial" w:hAnsi="Arial"/>
          <w:sz w:val="18"/>
          <w:szCs w:val="18"/>
          <w:color w:val="auto"/>
        </w:rPr>
        <w:t>are both joint and several. The non-guarantor subsidiaries include the rest of the Company's subsidiaries, including the ones that are subject to project financing.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noted below, each of the following guarantor subsidiaries fully and unconditionally guaranteed the Senior Notes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Central CA Fuel Cell 1,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Clearway Energy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Clearway Energy Operating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Clearway Solar Star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ECP Uptown Campus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Center Caguas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Center Fajardo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Portfolio Solar 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Flagstaff One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Iguana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Las Vegas MB 1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Tabernacle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Asset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II-B,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Thermal Canada Infrastructure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Thermal Hawaii Development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Thermal Infrastructure Development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Clearway Energy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Clearway Energy Operating LLC's ability to receive funds from its subsidiaries. There are no restrictions on the ability of any of the guarantor subsidiaries to transfer funds to Clearway Energy Operating LLC. However, there may be restrictions for certain non-guarantor subsidiaries.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January 29, 2019, PG&amp;E filed for bankruptcy under Chapter 11 of the U.S. Bankruptcy Code. PG&amp;E is one of the Company's largest customers, representing approximately 22% of the Company's consolidated operating revenues during the year ended December 31, 2019 and 9% of total accounts receivable as of December 31, 2019. The PG&amp;E bankruptcy filing is an event of default under the related financing agreements which caused uncertainty around the timing of when certain project-level cash distributions will be available to the Company. As of December 31, 2019, all project level cash balances for these subsidiaries were classified as restricted cash. </w:t>
      </w:r>
      <w:r>
        <w:rPr>
          <w:rFonts w:ascii="Arial" w:cs="Arial" w:eastAsia="Arial" w:hAnsi="Arial"/>
          <w:sz w:val="18"/>
          <w:szCs w:val="18"/>
          <w:color w:val="231F20"/>
        </w:rPr>
        <w:t>None of the subsidiaries affected by the PG&amp;E bankruptcy are guarantors of the Senior Notes as of</w:t>
      </w:r>
      <w:r>
        <w:rPr>
          <w:rFonts w:ascii="Arial" w:cs="Arial" w:eastAsia="Arial" w:hAnsi="Arial"/>
          <w:sz w:val="18"/>
          <w:szCs w:val="18"/>
          <w:color w:val="auto"/>
        </w:rPr>
        <w:t xml:space="preserve"> </w:t>
      </w:r>
      <w:r>
        <w:rPr>
          <w:rFonts w:ascii="Arial" w:cs="Arial" w:eastAsia="Arial" w:hAnsi="Arial"/>
          <w:sz w:val="18"/>
          <w:szCs w:val="18"/>
          <w:color w:val="231F20"/>
        </w:rPr>
        <w:t>December 31, 2019.</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904" w:right="239" w:bottom="1440" w:gutter="0" w:footer="0" w:header="0"/>
        </w:sectPr>
      </w:pPr>
    </w:p>
    <w:bookmarkStart w:id="140" w:name="page141"/>
    <w:bookmarkEnd w:id="140"/>
    <w:p>
      <w:pPr>
        <w:jc w:val="both"/>
        <w:ind w:firstLine="648"/>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Clearway Energy LLC, Clearway Energy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this presentation, Clearway Energy LLC consists of parent company operations. Guarantor subsidiaries and non-guarantor subsidiaries of Clearway Energy LLC are reported on an equity basis. For companies acquired, the fair values of the assets and liabilities acquired have been presented on a push-down accounting basis.</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 described in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xml:space="preserve">, the Company completed Carlsbad Drop Down Asset acquisition on December 6, 2019. The Carlsbad acquisition is the result of the Company having elected its option to purchase Carlsbad pursuant to the ROFO agreement, as amended, by and among the Company, CEG and GIP. The transaction is reflected in the Company's Conventional segment. The assets transferred to the Company relate to interests under common control by GIP and were recorded at book value in accordance with ASC 805-50, </w:t>
      </w:r>
      <w:r>
        <w:rPr>
          <w:rFonts w:ascii="Arial" w:cs="Arial" w:eastAsia="Arial" w:hAnsi="Arial"/>
          <w:sz w:val="18"/>
          <w:szCs w:val="18"/>
          <w:i w:val="1"/>
          <w:iCs w:val="1"/>
          <w:color w:val="auto"/>
        </w:rPr>
        <w:t>Business Combinations - Related Issues</w:t>
      </w:r>
      <w:r>
        <w:rPr>
          <w:rFonts w:ascii="Arial" w:cs="Arial" w:eastAsia="Arial" w:hAnsi="Arial"/>
          <w:sz w:val="18"/>
          <w:szCs w:val="18"/>
          <w:color w:val="auto"/>
        </w:rPr>
        <w:t>. The difference between the purchase price and book value of the assets was recorded as a distribution to CEG and decreased the balance of its noncontrolling interest. The acquisition was determined to be an asset acquisition and not a business combination, therefore no recast of the historical financial information was deemed necessary.</w:t>
      </w:r>
    </w:p>
    <w:p>
      <w:pPr>
        <w:spacing w:after="0" w:line="1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addition, the condensed parent company financial statements are provided in accordance with Rule 12-04, Schedule I of Regulation S-X, as the restricted net assets of Clearway Energy LLC’s subsidiaries exceed 25 percent of the consolidated net assets of Clearway Energy LLC. These statements should be read in conjunction with the consolidated statements and notes thereto of Clearway Energy LLC. For a discussion of Clearway Energy LLC's long-term debt, see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For a discussion of Clearway Energy LLC's commitments and contingencies, see Note 14,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 discussion of Clearway Energy LLC's distributions to Clearway, Inc., CEG, see Note 11, </w:t>
      </w:r>
      <w:r>
        <w:rPr>
          <w:rFonts w:ascii="Arial" w:cs="Arial" w:eastAsia="Arial" w:hAnsi="Arial"/>
          <w:sz w:val="18"/>
          <w:szCs w:val="18"/>
          <w:i w:val="1"/>
          <w:iCs w:val="1"/>
          <w:color w:val="auto"/>
        </w:rPr>
        <w:t>Members' Equity</w:t>
      </w:r>
      <w:r>
        <w:rPr>
          <w:rFonts w:ascii="Arial" w:cs="Arial" w:eastAsia="Arial" w:hAnsi="Arial"/>
          <w:sz w:val="18"/>
          <w:szCs w:val="18"/>
          <w:color w:val="auto"/>
        </w:rPr>
        <w:t>.</w:t>
      </w:r>
    </w:p>
    <w:p>
      <w:pPr>
        <w:spacing w:after="0" w:line="17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addition, Clearway Energy LLC’s cash and cash equivalents represents corporate cash held in overnight investment accounts and is used for general corporate purposes for Clearway LLC and Clearway Operating LLC.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908"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Clearway Energy</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(Senior Notes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540" w:type="dxa"/>
            <w:vAlign w:val="bottom"/>
          </w:tcPr>
          <w:p>
            <w:pPr>
              <w:ind w:left="180"/>
              <w:spacing w:after="0"/>
              <w:rPr>
                <w:sz w:val="20"/>
                <w:szCs w:val="20"/>
                <w:color w:val="auto"/>
              </w:rPr>
            </w:pPr>
            <w:r>
              <w:rPr>
                <w:rFonts w:ascii="Arial" w:cs="Arial" w:eastAsia="Arial" w:hAnsi="Arial"/>
                <w:sz w:val="18"/>
                <w:szCs w:val="18"/>
                <w:color w:val="auto"/>
              </w:rPr>
              <w:t>Acquisition-related transaction and</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integration costs</w:t>
            </w: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Equity in (losses) earnings of consolidated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w w:val="92"/>
              </w:rPr>
              <w:t>Equity in earnings of unconsolidated affiliates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5"/>
        </w:trPr>
        <w:tc>
          <w:tcPr>
            <w:tcW w:w="354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2"/>
              </w:rPr>
              <w:t>Less: Net loss attributable to noncontrolling</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4"/>
              </w:rPr>
              <w:t>Net (Loss) Income Attributable to Clearway</w:t>
            </w:r>
          </w:p>
        </w:tc>
        <w:tc>
          <w:tcPr>
            <w:tcW w:w="2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Energy LLC</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200" w:hanging="138"/>
        <w:spacing w:after="0"/>
        <w:tabs>
          <w:tab w:leader="none" w:pos="200" w:val="left"/>
        </w:tabs>
        <w:numPr>
          <w:ilvl w:val="1"/>
          <w:numId w:val="74"/>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75"/>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905" w:right="239" w:bottom="1440" w:gutter="0" w:footer="0" w:header="0"/>
        </w:sectPr>
      </w:pPr>
    </w:p>
    <w:bookmarkStart w:id="142" w:name="page143"/>
    <w:bookmarkEnd w:id="142"/>
    <w:p>
      <w:pPr>
        <w:jc w:val="center"/>
        <w:spacing w:after="0" w:line="391" w:lineRule="auto"/>
        <w:rPr>
          <w:sz w:val="20"/>
          <w:szCs w:val="20"/>
          <w:color w:val="auto"/>
        </w:rPr>
      </w:pPr>
      <w:r>
        <w:rPr>
          <w:rFonts w:ascii="Arial" w:cs="Arial" w:eastAsia="Arial" w:hAnsi="Arial"/>
          <w:sz w:val="18"/>
          <w:szCs w:val="18"/>
          <w:b w:val="1"/>
          <w:bCs w:val="1"/>
          <w:color w:val="auto"/>
        </w:rPr>
        <w:t>CLEARWAY ENERGY LLC AND SUBSIDIARIES CONDENSED CONSOLIDATING STATEMENTS OF COMPREHENSIVE (LOSS) INCOME For the Year Ended December 31, 2019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Clearway Energy</w:t>
            </w: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Clearway Energy</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6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line="199" w:lineRule="exact"/>
              <w:rPr>
                <w:sz w:val="20"/>
                <w:szCs w:val="20"/>
                <w:color w:val="auto"/>
              </w:rPr>
            </w:pPr>
            <w:r>
              <w:rPr>
                <w:rFonts w:ascii="Arial" w:cs="Arial" w:eastAsia="Arial" w:hAnsi="Arial"/>
                <w:sz w:val="22"/>
                <w:szCs w:val="22"/>
                <w:b w:val="1"/>
                <w:bCs w:val="1"/>
                <w:color w:val="auto"/>
                <w:vertAlign w:val="subscript"/>
              </w:rPr>
              <w:t>LLC</w:t>
            </w:r>
            <w:r>
              <w:rPr>
                <w:rFonts w:ascii="Arial" w:cs="Arial" w:eastAsia="Arial" w:hAnsi="Arial"/>
                <w:sz w:val="8"/>
                <w:szCs w:val="8"/>
                <w:b w:val="1"/>
                <w:bCs w:val="1"/>
                <w:color w:val="auto"/>
              </w:rPr>
              <w:t xml:space="preserve"> (a)</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Unrealized gain on derivatives</w:t>
            </w: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Comprehensive income (loss)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noncontrolling interests</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5"/>
        </w:trPr>
        <w:tc>
          <w:tcPr>
            <w:tcW w:w="34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1"/>
              </w:rPr>
              <w:t>Comprehensive (Loss) Income Attributable</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6"/>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to Clearway Energy LLC</w:t>
            </w:r>
          </w:p>
        </w:tc>
        <w:tc>
          <w:tcPr>
            <w:tcW w:w="1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76"/>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77"/>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904"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w:t>
            </w:r>
          </w:p>
        </w:tc>
        <w:tc>
          <w:tcPr>
            <w:tcW w:w="140" w:type="dxa"/>
            <w:vAlign w:val="bottom"/>
          </w:tcPr>
          <w:p>
            <w:pPr>
              <w:spacing w:after="0"/>
              <w:rPr>
                <w:sz w:val="12"/>
                <w:szCs w:val="12"/>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(Senior Notes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14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6"/>
                <w:szCs w:val="16"/>
                <w:color w:val="auto"/>
              </w:rPr>
              <w:t>Accounts receivable — trade</w:t>
            </w:r>
          </w:p>
        </w:tc>
        <w:tc>
          <w:tcPr>
            <w:tcW w:w="1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Prepayments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344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1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6"/>
                <w:szCs w:val="16"/>
                <w:color w:val="auto"/>
              </w:rPr>
              <w:t>Investment in consolidated subsidiaries</w:t>
            </w:r>
          </w:p>
        </w:tc>
        <w:tc>
          <w:tcPr>
            <w:tcW w:w="1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1,824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3,492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investments in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Right-of-use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6"/>
                <w:szCs w:val="16"/>
                <w:color w:val="auto"/>
              </w:rPr>
              <w:t>Other non-current assets</w:t>
            </w:r>
          </w:p>
        </w:tc>
        <w:tc>
          <w:tcPr>
            <w:tcW w:w="1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244"/>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1,851</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8,791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3,860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(5,718)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5" w:lineRule="exact"/>
        <w:rPr>
          <w:sz w:val="20"/>
          <w:szCs w:val="20"/>
          <w:color w:val="auto"/>
        </w:rPr>
      </w:pPr>
    </w:p>
    <w:p>
      <w:pPr>
        <w:ind w:left="180" w:hanging="118"/>
        <w:spacing w:after="0"/>
        <w:tabs>
          <w:tab w:leader="none" w:pos="180" w:val="left"/>
        </w:tabs>
        <w:numPr>
          <w:ilvl w:val="0"/>
          <w:numId w:val="78"/>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80" w:hanging="118"/>
        <w:spacing w:after="0"/>
        <w:tabs>
          <w:tab w:leader="none" w:pos="180" w:val="left"/>
        </w:tabs>
        <w:numPr>
          <w:ilvl w:val="0"/>
          <w:numId w:val="78"/>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067" w:right="239" w:bottom="1440" w:gutter="0" w:footer="0" w:header="0"/>
        </w:sectPr>
      </w:pPr>
    </w:p>
    <w:bookmarkStart w:id="144" w:name="page145"/>
    <w:bookmarkEnd w:id="144"/>
    <w:p>
      <w:pPr>
        <w:ind w:left="37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Clearway</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w:t>
            </w:r>
          </w:p>
        </w:tc>
        <w:tc>
          <w:tcPr>
            <w:tcW w:w="14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9"/>
              </w:rPr>
              <w:t xml:space="preserve">Energy LLC </w:t>
            </w:r>
            <w:r>
              <w:rPr>
                <w:rFonts w:ascii="Arial" w:cs="Arial" w:eastAsia="Arial" w:hAnsi="Arial"/>
                <w:sz w:val="8"/>
                <w:szCs w:val="8"/>
                <w:b w:val="1"/>
                <w:bCs w:val="1"/>
                <w:color w:val="auto"/>
                <w:w w:val="99"/>
              </w:rPr>
              <w:t>(a)</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(Senior Notes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b w:val="1"/>
                <w:bCs w:val="1"/>
                <w:color w:val="auto"/>
              </w:rPr>
              <w:t>LIABILITIES AND MEMBERS' EQUITY</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2,058</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 external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4,956</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5,374</w:t>
            </w:r>
          </w:p>
        </w:tc>
        <w:tc>
          <w:tcPr>
            <w:tcW w:w="0" w:type="dxa"/>
            <w:vAlign w:val="bottom"/>
          </w:tcPr>
          <w:p>
            <w:pPr>
              <w:spacing w:after="0"/>
              <w:rPr>
                <w:sz w:val="1"/>
                <w:szCs w:val="1"/>
                <w:color w:val="auto"/>
              </w:rPr>
            </w:pPr>
          </w:p>
        </w:tc>
      </w:tr>
      <w:tr>
        <w:trPr>
          <w:trHeight w:val="217"/>
        </w:trPr>
        <w:tc>
          <w:tcPr>
            <w:tcW w:w="4000" w:type="dxa"/>
            <w:vAlign w:val="bottom"/>
          </w:tcPr>
          <w:p>
            <w:pPr>
              <w:ind w:left="18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5,712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1,711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7,432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Members' Equity</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Contributed capital</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1,882</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Retained earnings (accumulated deficit)</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Members' Equity</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Members’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1,851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8,791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3,860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(5,718)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197485</wp:posOffset>
            </wp:positionV>
            <wp:extent cx="14065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12" w:lineRule="exact"/>
        <w:rPr>
          <w:sz w:val="20"/>
          <w:szCs w:val="20"/>
          <w:color w:val="auto"/>
        </w:rPr>
      </w:pPr>
    </w:p>
    <w:p>
      <w:pPr>
        <w:ind w:left="140" w:hanging="132"/>
        <w:spacing w:after="0"/>
        <w:tabs>
          <w:tab w:leader="none" w:pos="140" w:val="left"/>
        </w:tabs>
        <w:numPr>
          <w:ilvl w:val="0"/>
          <w:numId w:val="79"/>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79"/>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1120" w:right="23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Clearway Energy</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 Guarantor</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8"/>
        </w:trPr>
        <w:tc>
          <w:tcPr>
            <w:tcW w:w="216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380"/>
              <w:spacing w:after="0" w:line="199" w:lineRule="exact"/>
              <w:rPr>
                <w:sz w:val="20"/>
                <w:szCs w:val="20"/>
                <w:color w:val="auto"/>
              </w:rPr>
            </w:pPr>
            <w:r>
              <w:rPr>
                <w:rFonts w:ascii="Arial" w:cs="Arial" w:eastAsia="Arial" w:hAnsi="Arial"/>
                <w:sz w:val="22"/>
                <w:szCs w:val="22"/>
                <w:b w:val="1"/>
                <w:bCs w:val="1"/>
                <w:color w:val="auto"/>
                <w:vertAlign w:val="subscript"/>
              </w:rPr>
              <w:t>LLC</w:t>
            </w:r>
            <w:r>
              <w:rPr>
                <w:rFonts w:ascii="Arial" w:cs="Arial" w:eastAsia="Arial" w:hAnsi="Arial"/>
                <w:sz w:val="8"/>
                <w:szCs w:val="8"/>
                <w:b w:val="1"/>
                <w:bCs w:val="1"/>
                <w:color w:val="auto"/>
              </w:rPr>
              <w:t xml:space="preserve"> (a)</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1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33"/>
        </w:trPr>
        <w:tc>
          <w:tcPr>
            <w:tcW w:w="21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Intercompany transactions between Clearway Energy LLC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subsidiaries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Acquisition of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Partnership interests acquisition</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Acquisition of Drop Down Assets,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Buyout of Wind TE Holdco non-controlling interest</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Return of investment from unconsolidated affiliates</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investments in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Proceeds from sale of HSD Solar Holdings, LLC assets</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33"/>
        </w:trPr>
        <w:tc>
          <w:tcPr>
            <w:tcW w:w="21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Transfer of funds under intercompany cash management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arrangement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contributions from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Proceeds from the issuance of Class C units</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(Payments of) proceeds from distributions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Proceeds from the revolving credit facility</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Payments for the 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Payments of debt issuance costs</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Payments for long-term debt — external</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Payments for long-term debt — affiliate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21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 Increase in Cash, Cash Equivalents and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Restricted Cash</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6"/>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Cash Equivalents and Restricted Cash at Beginning of</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26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33"/>
        </w:trPr>
        <w:tc>
          <w:tcPr>
            <w:tcW w:w="21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9"/>
              </w:rPr>
              <w:t>Cash, Cash Equivalents and Restricted Cash at End of Period</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16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80" w:hanging="118"/>
        <w:spacing w:after="0"/>
        <w:tabs>
          <w:tab w:leader="none" w:pos="180" w:val="left"/>
        </w:tabs>
        <w:numPr>
          <w:ilvl w:val="0"/>
          <w:numId w:val="80"/>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904" w:right="25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75"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Clearway</w:t>
      </w:r>
    </w:p>
    <w:tbl>
      <w:tblPr>
        <w:tblLayout w:type="fixed"/>
        <w:tblInd w:w="0" w:type="dxa"/>
        <w:tblCellMar>
          <w:top w:w="0" w:type="dxa"/>
          <w:left w:w="0" w:type="dxa"/>
          <w:bottom w:w="0" w:type="dxa"/>
          <w:right w:w="0" w:type="dxa"/>
        </w:tblCellMar>
      </w:tblPr>
      <w:tr>
        <w:trPr>
          <w:trHeight w:val="146"/>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Clearway</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00"/>
              <w:spacing w:after="0" w:line="146" w:lineRule="exact"/>
              <w:rPr>
                <w:sz w:val="20"/>
                <w:szCs w:val="20"/>
                <w:color w:val="auto"/>
              </w:rPr>
            </w:pPr>
            <w:r>
              <w:rPr>
                <w:rFonts w:ascii="Arial" w:cs="Arial" w:eastAsia="Arial" w:hAnsi="Arial"/>
                <w:sz w:val="14"/>
                <w:szCs w:val="14"/>
                <w:b w:val="1"/>
                <w:bCs w:val="1"/>
                <w:color w:val="auto"/>
                <w:w w:val="95"/>
              </w:rPr>
              <w:t xml:space="preserve">Energy </w:t>
            </w:r>
            <w:r>
              <w:rPr>
                <w:rFonts w:ascii="Arial" w:cs="Arial" w:eastAsia="Arial" w:hAnsi="Arial"/>
                <w:sz w:val="13"/>
                <w:szCs w:val="13"/>
                <w:b w:val="1"/>
                <w:bCs w:val="1"/>
                <w:color w:val="auto"/>
                <w:w w:val="95"/>
              </w:rPr>
              <w:t>Operating</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4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1"/>
              </w:rPr>
              <w:t>Other Guarantor</w:t>
            </w:r>
          </w:p>
        </w:tc>
        <w:tc>
          <w:tcPr>
            <w:tcW w:w="124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Non-Guarantor</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LLC</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40"/>
              <w:spacing w:after="0" w:line="199" w:lineRule="exact"/>
              <w:rPr>
                <w:sz w:val="20"/>
                <w:szCs w:val="20"/>
                <w:color w:val="auto"/>
              </w:rPr>
            </w:pPr>
            <w:r>
              <w:rPr>
                <w:rFonts w:ascii="Arial" w:cs="Arial" w:eastAsia="Arial" w:hAnsi="Arial"/>
                <w:sz w:val="14"/>
                <w:szCs w:val="14"/>
                <w:b w:val="1"/>
                <w:bCs w:val="1"/>
                <w:color w:val="auto"/>
                <w:w w:val="93"/>
              </w:rPr>
              <w:t xml:space="preserve">Energy </w:t>
            </w:r>
            <w:r>
              <w:rPr>
                <w:rFonts w:ascii="Arial" w:cs="Arial" w:eastAsia="Arial" w:hAnsi="Arial"/>
                <w:sz w:val="13"/>
                <w:szCs w:val="13"/>
                <w:b w:val="1"/>
                <w:bCs w:val="1"/>
                <w:color w:val="auto"/>
                <w:w w:val="93"/>
              </w:rPr>
              <w:t>LLC</w:t>
            </w:r>
            <w:r>
              <w:rPr>
                <w:rFonts w:ascii="Arial" w:cs="Arial" w:eastAsia="Arial" w:hAnsi="Arial"/>
                <w:sz w:val="14"/>
                <w:szCs w:val="14"/>
                <w:b w:val="1"/>
                <w:bCs w:val="1"/>
                <w:color w:val="auto"/>
                <w:w w:val="93"/>
              </w:rPr>
              <w:t xml:space="preserve"> </w:t>
            </w:r>
            <w:r>
              <w:rPr>
                <w:rFonts w:ascii="Arial" w:cs="Arial" w:eastAsia="Arial" w:hAnsi="Arial"/>
                <w:sz w:val="22"/>
                <w:szCs w:val="22"/>
                <w:b w:val="1"/>
                <w:bCs w:val="1"/>
                <w:color w:val="auto"/>
                <w:w w:val="93"/>
                <w:vertAlign w:val="superscript"/>
              </w:rPr>
              <w:t>(a)</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(Note Issuer)</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60"/>
              <w:spacing w:after="0" w:line="199" w:lineRule="exact"/>
              <w:rPr>
                <w:sz w:val="20"/>
                <w:szCs w:val="20"/>
                <w:color w:val="auto"/>
              </w:rPr>
            </w:pPr>
            <w:r>
              <w:rPr>
                <w:rFonts w:ascii="Arial" w:cs="Arial" w:eastAsia="Arial" w:hAnsi="Arial"/>
                <w:sz w:val="14"/>
                <w:szCs w:val="14"/>
                <w:b w:val="1"/>
                <w:bCs w:val="1"/>
                <w:color w:val="auto"/>
              </w:rPr>
              <w:t>Eliminations</w:t>
            </w:r>
            <w:r>
              <w:rPr>
                <w:rFonts w:ascii="Arial" w:cs="Arial" w:eastAsia="Arial" w:hAnsi="Arial"/>
                <w:sz w:val="22"/>
                <w:szCs w:val="22"/>
                <w:b w:val="1"/>
                <w:bCs w:val="1"/>
                <w:color w:val="auto"/>
                <w:vertAlign w:val="superscript"/>
              </w:rPr>
              <w:t>(b)</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244"/>
        </w:trPr>
        <w:tc>
          <w:tcPr>
            <w:tcW w:w="3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4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Acquisition-related transaction and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integration costs</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Development Costs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earnings (losses) of</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 affiliates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Equity in earnings of unconsolidated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9"/>
        </w:trPr>
        <w:tc>
          <w:tcPr>
            <w:tcW w:w="3340" w:type="dxa"/>
            <w:vAlign w:val="bottom"/>
          </w:tcPr>
          <w:p>
            <w:pPr>
              <w:ind w:left="40"/>
              <w:spacing w:after="0"/>
              <w:rPr>
                <w:sz w:val="20"/>
                <w:szCs w:val="20"/>
                <w:color w:val="auto"/>
              </w:rPr>
            </w:pPr>
            <w:r>
              <w:rPr>
                <w:rFonts w:ascii="Arial" w:cs="Arial" w:eastAsia="Arial" w:hAnsi="Arial"/>
                <w:sz w:val="18"/>
                <w:szCs w:val="18"/>
                <w:color w:val="auto"/>
                <w:w w:val="95"/>
              </w:rPr>
              <w:t>Less: Net loss attributable to noncontrolling</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interests</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Clearway</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Energy LLC</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81"/>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82"/>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904" w:right="239" w:bottom="1440" w:gutter="0" w:footer="0" w:header="0"/>
        </w:sectPr>
      </w:pPr>
    </w:p>
    <w:bookmarkStart w:id="147" w:name="page148"/>
    <w:bookmarkEnd w:id="147"/>
    <w:p>
      <w:pPr>
        <w:jc w:val="center"/>
        <w:ind w:left="260" w:right="2340"/>
        <w:spacing w:after="0" w:line="391" w:lineRule="auto"/>
        <w:rPr>
          <w:sz w:val="20"/>
          <w:szCs w:val="20"/>
          <w:color w:val="auto"/>
        </w:rPr>
      </w:pPr>
      <w:r>
        <w:rPr>
          <w:rFonts w:ascii="Arial" w:cs="Arial" w:eastAsia="Arial" w:hAnsi="Arial"/>
          <w:sz w:val="18"/>
          <w:szCs w:val="18"/>
          <w:b w:val="1"/>
          <w:bCs w:val="1"/>
          <w:color w:val="auto"/>
        </w:rPr>
        <w:t>CLEARWAY ENERGY LLC AND SUBSIDIARIES CONDENSED CONSOLIDATING STATEMENTS OF COMPREHENSIVE INCOME For the Year Ended December 31, 2018</w:t>
      </w:r>
    </w:p>
    <w:p>
      <w:pPr>
        <w:spacing w:after="0" w:line="200" w:lineRule="exact"/>
        <w:rPr>
          <w:sz w:val="20"/>
          <w:szCs w:val="20"/>
          <w:color w:val="auto"/>
        </w:rPr>
      </w:pPr>
    </w:p>
    <w:p>
      <w:pPr>
        <w:spacing w:after="0" w:line="243" w:lineRule="exact"/>
        <w:rPr>
          <w:sz w:val="20"/>
          <w:szCs w:val="20"/>
          <w:color w:val="auto"/>
        </w:rPr>
      </w:pPr>
    </w:p>
    <w:p>
      <w:pPr>
        <w:jc w:val="center"/>
        <w:ind w:left="4580"/>
        <w:spacing w:after="0"/>
        <w:rPr>
          <w:sz w:val="20"/>
          <w:szCs w:val="20"/>
          <w:color w:val="auto"/>
        </w:rPr>
      </w:pPr>
      <w:r>
        <w:rPr>
          <w:rFonts w:ascii="Arial" w:cs="Arial" w:eastAsia="Arial" w:hAnsi="Arial"/>
          <w:sz w:val="14"/>
          <w:szCs w:val="14"/>
          <w:b w:val="1"/>
          <w:bCs w:val="1"/>
          <w:color w:val="auto"/>
        </w:rPr>
        <w:t>Clearway</w:t>
      </w:r>
    </w:p>
    <w:p>
      <w:pPr>
        <w:ind w:left="7460"/>
        <w:spacing w:after="0"/>
        <w:rPr>
          <w:sz w:val="20"/>
          <w:szCs w:val="20"/>
          <w:color w:val="auto"/>
        </w:rPr>
      </w:pPr>
      <w:r>
        <w:rPr>
          <w:rFonts w:ascii="Arial" w:cs="Arial" w:eastAsia="Arial" w:hAnsi="Arial"/>
          <w:sz w:val="14"/>
          <w:szCs w:val="14"/>
          <w:b w:val="1"/>
          <w:bCs w:val="1"/>
          <w:color w:val="auto"/>
        </w:rPr>
        <w:t xml:space="preserve">Energy </w:t>
      </w:r>
      <w:r>
        <w:rPr>
          <w:rFonts w:ascii="Arial" w:cs="Arial" w:eastAsia="Arial" w:hAnsi="Arial"/>
          <w:sz w:val="13"/>
          <w:szCs w:val="13"/>
          <w:b w:val="1"/>
          <w:bCs w:val="1"/>
          <w:color w:val="auto"/>
        </w:rPr>
        <w:t>Operating</w:t>
      </w:r>
    </w:p>
    <w:tbl>
      <w:tblPr>
        <w:tblLayout w:type="fixed"/>
        <w:tblInd w:w="0" w:type="dxa"/>
        <w:tblCellMar>
          <w:top w:w="0" w:type="dxa"/>
          <w:left w:w="0" w:type="dxa"/>
          <w:bottom w:w="0" w:type="dxa"/>
          <w:right w:w="0" w:type="dxa"/>
        </w:tblCellMar>
      </w:tblPr>
      <w:tr>
        <w:trPr>
          <w:trHeight w:val="147"/>
        </w:trPr>
        <w:tc>
          <w:tcPr>
            <w:tcW w:w="3300" w:type="dxa"/>
            <w:vAlign w:val="bottom"/>
          </w:tcPr>
          <w:p>
            <w:pPr>
              <w:spacing w:after="0"/>
              <w:rPr>
                <w:sz w:val="12"/>
                <w:szCs w:val="12"/>
                <w:color w:val="auto"/>
              </w:rPr>
            </w:pPr>
          </w:p>
        </w:tc>
        <w:tc>
          <w:tcPr>
            <w:tcW w:w="15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 xml:space="preserve">Clearway Energy </w:t>
            </w:r>
            <w:r>
              <w:rPr>
                <w:rFonts w:ascii="Arial" w:cs="Arial" w:eastAsia="Arial" w:hAnsi="Arial"/>
                <w:sz w:val="13"/>
                <w:szCs w:val="13"/>
                <w:b w:val="1"/>
                <w:bCs w:val="1"/>
                <w:color w:val="auto"/>
              </w:rPr>
              <w:t>LLC</w:t>
            </w:r>
          </w:p>
        </w:tc>
        <w:tc>
          <w:tcPr>
            <w:tcW w:w="12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Other Guarantor</w:t>
            </w:r>
          </w:p>
        </w:tc>
        <w:tc>
          <w:tcPr>
            <w:tcW w:w="12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Non-Guarantor</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LLC</w:t>
            </w:r>
          </w:p>
        </w:tc>
        <w:tc>
          <w:tcPr>
            <w:tcW w:w="20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22"/>
                <w:szCs w:val="22"/>
                <w:b w:val="1"/>
                <w:bCs w:val="1"/>
                <w:color w:val="auto"/>
                <w:vertAlign w:val="superscript"/>
              </w:rPr>
              <w:t>(b)</w:t>
            </w:r>
          </w:p>
        </w:tc>
        <w:tc>
          <w:tcPr>
            <w:tcW w:w="160" w:type="dxa"/>
            <w:vAlign w:val="bottom"/>
          </w:tcPr>
          <w:p>
            <w:pPr>
              <w:spacing w:after="0"/>
              <w:rPr>
                <w:sz w:val="12"/>
                <w:szCs w:val="12"/>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80"/>
              <w:spacing w:after="0"/>
              <w:rPr>
                <w:sz w:val="20"/>
                <w:szCs w:val="20"/>
                <w:color w:val="auto"/>
              </w:rPr>
            </w:pPr>
            <w:r>
              <w:rPr>
                <w:rFonts w:ascii="Arial" w:cs="Arial" w:eastAsia="Arial" w:hAnsi="Arial"/>
                <w:sz w:val="11"/>
                <w:szCs w:val="11"/>
                <w:b w:val="1"/>
                <w:bCs w:val="1"/>
                <w:color w:val="auto"/>
              </w:rPr>
              <w:t>(a)</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4"/>
              </w:rPr>
              <w:t>Subsidiaries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6"/>
              </w:rPr>
              <w:t>(Note Issuer)</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Unrealized gain on derivatives</w:t>
            </w:r>
          </w:p>
        </w:tc>
        <w:tc>
          <w:tcPr>
            <w:tcW w:w="4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Less: Comprehensive loss attributable to</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5"/>
        </w:trPr>
        <w:tc>
          <w:tcPr>
            <w:tcW w:w="33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7"/>
              </w:rPr>
              <w:t>Comprehensive Income Attributable to</w:t>
            </w:r>
          </w:p>
        </w:tc>
        <w:tc>
          <w:tcPr>
            <w:tcW w:w="40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6"/>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Clearway Energy LLC</w:t>
            </w:r>
          </w:p>
        </w:tc>
        <w:tc>
          <w:tcPr>
            <w:tcW w:w="40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83"/>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84"/>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904"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Clearway</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Clearway Energy</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80" w:type="dxa"/>
            <w:vAlign w:val="bottom"/>
          </w:tcPr>
          <w:p>
            <w:pPr>
              <w:spacing w:after="0"/>
              <w:rPr>
                <w:sz w:val="12"/>
                <w:szCs w:val="12"/>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w:t>
            </w:r>
          </w:p>
        </w:tc>
        <w:tc>
          <w:tcPr>
            <w:tcW w:w="140" w:type="dxa"/>
            <w:vAlign w:val="bottom"/>
          </w:tcPr>
          <w:p>
            <w:pPr>
              <w:spacing w:after="0"/>
              <w:rPr>
                <w:sz w:val="12"/>
                <w:szCs w:val="12"/>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1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7"/>
              </w:rPr>
              <w:t xml:space="preserve">Energy LLC </w:t>
            </w:r>
            <w:r>
              <w:rPr>
                <w:rFonts w:ascii="Arial" w:cs="Arial" w:eastAsia="Arial" w:hAnsi="Arial"/>
                <w:sz w:val="8"/>
                <w:szCs w:val="8"/>
                <w:b w:val="1"/>
                <w:bCs w:val="1"/>
                <w:color w:val="auto"/>
                <w:w w:val="97"/>
              </w:rPr>
              <w:t>(a)</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48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Accounts receivable — trade</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5,245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consolidated subsidiaries</w:t>
            </w:r>
          </w:p>
        </w:tc>
        <w:tc>
          <w:tcPr>
            <w:tcW w:w="1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non-current assets</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2,442</w:t>
            </w:r>
          </w:p>
        </w:tc>
        <w:tc>
          <w:tcPr>
            <w:tcW w:w="0" w:type="dxa"/>
            <w:vAlign w:val="bottom"/>
          </w:tcPr>
          <w:p>
            <w:pPr>
              <w:spacing w:after="0"/>
              <w:rPr>
                <w:sz w:val="1"/>
                <w:szCs w:val="1"/>
                <w:color w:val="auto"/>
              </w:rPr>
            </w:pP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7,413</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3,627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8,448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5" w:lineRule="exact"/>
        <w:rPr>
          <w:sz w:val="20"/>
          <w:szCs w:val="20"/>
          <w:color w:val="auto"/>
        </w:rPr>
      </w:pPr>
    </w:p>
    <w:p>
      <w:pPr>
        <w:ind w:left="180" w:hanging="118"/>
        <w:spacing w:after="0"/>
        <w:tabs>
          <w:tab w:leader="none" w:pos="180" w:val="left"/>
        </w:tabs>
        <w:numPr>
          <w:ilvl w:val="1"/>
          <w:numId w:val="85"/>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86"/>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905" w:right="239" w:bottom="1440" w:gutter="0" w:footer="0" w:header="0"/>
        </w:sectPr>
      </w:pPr>
    </w:p>
    <w:bookmarkStart w:id="149" w:name="page150"/>
    <w:bookmarkEnd w:id="149"/>
    <w:p>
      <w:pPr>
        <w:ind w:left="37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Clearway</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Clearway</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 xml:space="preserve">Energy </w:t>
            </w:r>
            <w:r>
              <w:rPr>
                <w:rFonts w:ascii="Arial" w:cs="Arial" w:eastAsia="Arial" w:hAnsi="Arial"/>
                <w:sz w:val="13"/>
                <w:szCs w:val="13"/>
                <w:b w:val="1"/>
                <w:bCs w:val="1"/>
                <w:color w:val="auto"/>
                <w:w w:val="93"/>
              </w:rPr>
              <w:t>Operating</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 xml:space="preserve">Energy </w:t>
            </w:r>
            <w:r>
              <w:rPr>
                <w:rFonts w:ascii="Arial" w:cs="Arial" w:eastAsia="Arial" w:hAnsi="Arial"/>
                <w:sz w:val="13"/>
                <w:szCs w:val="13"/>
                <w:b w:val="1"/>
                <w:bCs w:val="1"/>
                <w:color w:val="auto"/>
                <w:w w:val="99"/>
              </w:rPr>
              <w:t>LLC</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40" w:type="dxa"/>
            <w:vAlign w:val="bottom"/>
          </w:tcPr>
          <w:p>
            <w:pPr>
              <w:spacing w:after="0"/>
              <w:rPr>
                <w:sz w:val="12"/>
                <w:szCs w:val="12"/>
                <w:color w:val="auto"/>
              </w:rPr>
            </w:pPr>
          </w:p>
        </w:tc>
        <w:tc>
          <w:tcPr>
            <w:tcW w:w="112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w w:val="92"/>
              </w:rPr>
              <w:t>Non-Guarantor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LLC</w:t>
            </w:r>
          </w:p>
        </w:tc>
        <w:tc>
          <w:tcPr>
            <w:tcW w:w="18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22"/>
                <w:szCs w:val="22"/>
                <w:b w:val="1"/>
                <w:bCs w:val="1"/>
                <w:color w:val="auto"/>
                <w:vertAlign w:val="superscript"/>
              </w:rPr>
              <w:t>(b)</w:t>
            </w:r>
          </w:p>
        </w:tc>
        <w:tc>
          <w:tcPr>
            <w:tcW w:w="140" w:type="dxa"/>
            <w:vAlign w:val="bottom"/>
          </w:tcPr>
          <w:p>
            <w:pPr>
              <w:spacing w:after="0"/>
              <w:rPr>
                <w:sz w:val="12"/>
                <w:szCs w:val="12"/>
                <w:color w:val="auto"/>
              </w:rPr>
            </w:pPr>
          </w:p>
        </w:tc>
        <w:tc>
          <w:tcPr>
            <w:tcW w:w="9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(a)</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4"/>
              </w:rPr>
              <w:t>Subsidiaries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6"/>
              </w:rPr>
              <w:t>(Note Issuer)</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314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31"/>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 external</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Long-term debt — affiliate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non-current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5,567</w:t>
            </w:r>
          </w:p>
        </w:tc>
        <w:tc>
          <w:tcPr>
            <w:tcW w:w="0" w:type="dxa"/>
            <w:vAlign w:val="bottom"/>
          </w:tcPr>
          <w:p>
            <w:pPr>
              <w:spacing w:after="0"/>
              <w:rPr>
                <w:sz w:val="1"/>
                <w:szCs w:val="1"/>
                <w:color w:val="auto"/>
              </w:rPr>
            </w:pPr>
          </w:p>
        </w:tc>
      </w:tr>
      <w:tr>
        <w:trPr>
          <w:trHeight w:val="217"/>
        </w:trPr>
        <w:tc>
          <w:tcPr>
            <w:tcW w:w="3660" w:type="dxa"/>
            <w:vAlign w:val="bottom"/>
          </w:tcPr>
          <w:p>
            <w:pPr>
              <w:ind w:left="18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4,526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6,266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Members' Equity</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Contributed capital</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1,940</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Retained earnings (accumulated deficit)</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Members’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7,413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3,627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8,448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3722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87"/>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87"/>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1053" w:right="239" w:bottom="1440" w:gutter="0" w:footer="0" w:header="0"/>
        </w:sectPr>
      </w:pPr>
    </w:p>
    <w:bookmarkStart w:id="150" w:name="page151"/>
    <w:bookmarkEnd w:id="150"/>
    <w:p>
      <w:pPr>
        <w:jc w:val="center"/>
        <w:ind w:right="-99"/>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Clearway</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Clearway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Other Guarantor</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Non-Guarantor</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 xml:space="preserve">Energy </w:t>
            </w:r>
            <w:r>
              <w:rPr>
                <w:rFonts w:ascii="Arial" w:cs="Arial" w:eastAsia="Arial" w:hAnsi="Arial"/>
                <w:sz w:val="13"/>
                <w:szCs w:val="13"/>
                <w:b w:val="1"/>
                <w:bCs w:val="1"/>
                <w:color w:val="2C2C2C"/>
                <w:w w:val="95"/>
              </w:rPr>
              <w:t>Operating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8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60"/>
              <w:spacing w:after="0" w:line="199" w:lineRule="exact"/>
              <w:rPr>
                <w:sz w:val="20"/>
                <w:szCs w:val="20"/>
                <w:color w:val="auto"/>
              </w:rPr>
            </w:pPr>
            <w:r>
              <w:rPr>
                <w:rFonts w:ascii="Arial" w:cs="Arial" w:eastAsia="Arial" w:hAnsi="Arial"/>
                <w:sz w:val="14"/>
                <w:szCs w:val="14"/>
                <w:b w:val="1"/>
                <w:bCs w:val="1"/>
                <w:color w:val="auto"/>
                <w:w w:val="93"/>
              </w:rPr>
              <w:t xml:space="preserve">Energy </w:t>
            </w:r>
            <w:r>
              <w:rPr>
                <w:rFonts w:ascii="Arial" w:cs="Arial" w:eastAsia="Arial" w:hAnsi="Arial"/>
                <w:sz w:val="13"/>
                <w:szCs w:val="13"/>
                <w:b w:val="1"/>
                <w:bCs w:val="1"/>
                <w:color w:val="auto"/>
                <w:w w:val="93"/>
              </w:rPr>
              <w:t>LLC</w:t>
            </w:r>
            <w:r>
              <w:rPr>
                <w:rFonts w:ascii="Arial" w:cs="Arial" w:eastAsia="Arial" w:hAnsi="Arial"/>
                <w:sz w:val="14"/>
                <w:szCs w:val="14"/>
                <w:b w:val="1"/>
                <w:bCs w:val="1"/>
                <w:color w:val="auto"/>
                <w:w w:val="93"/>
              </w:rPr>
              <w:t xml:space="preserve"> </w:t>
            </w:r>
            <w:r>
              <w:rPr>
                <w:rFonts w:ascii="Arial" w:cs="Arial" w:eastAsia="Arial" w:hAnsi="Arial"/>
                <w:sz w:val="22"/>
                <w:szCs w:val="22"/>
                <w:b w:val="1"/>
                <w:bCs w:val="1"/>
                <w:color w:val="auto"/>
                <w:w w:val="93"/>
                <w:vertAlign w:val="superscript"/>
              </w:rPr>
              <w:t>(a)</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4"/>
              </w:rPr>
              <w:t>Subsidiaries</w:t>
            </w: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2C2C2C"/>
                <w:w w:val="90"/>
              </w:rPr>
              <w:t>LLC (Note Issuer)</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277"/>
        </w:trPr>
        <w:tc>
          <w:tcPr>
            <w:tcW w:w="4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0"/>
                <w:szCs w:val="20"/>
                <w:color w:val="auto"/>
              </w:rPr>
            </w:pPr>
          </w:p>
        </w:tc>
        <w:tc>
          <w:tcPr>
            <w:tcW w:w="22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33"/>
        </w:trPr>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Acquisition of businesses, net of cash acquired</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investments in consolidated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Acquisition of Drop Down Assets</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Cash receipts from notes receivable</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Return of investment from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488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33"/>
        </w:trPr>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w w:val="93"/>
              </w:rPr>
              <w:t>Transfer of funds under intercompany cash management arrangement</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contributions from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20"/>
        </w:trPr>
        <w:tc>
          <w:tcPr>
            <w:tcW w:w="4880" w:type="dxa"/>
            <w:vAlign w:val="bottom"/>
          </w:tcPr>
          <w:p>
            <w:pPr>
              <w:ind w:left="180"/>
              <w:spacing w:after="0"/>
              <w:rPr>
                <w:sz w:val="20"/>
                <w:szCs w:val="20"/>
                <w:color w:val="auto"/>
              </w:rPr>
            </w:pPr>
            <w:r>
              <w:rPr>
                <w:rFonts w:ascii="Arial" w:cs="Arial" w:eastAsia="Arial" w:hAnsi="Arial"/>
                <w:sz w:val="16"/>
                <w:szCs w:val="16"/>
                <w:color w:val="auto"/>
                <w:w w:val="97"/>
              </w:rPr>
              <w:t>Net distributions and return of capital to NRG prior to the acquisition</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880" w:type="dxa"/>
            <w:vAlign w:val="bottom"/>
          </w:tcPr>
          <w:p>
            <w:pPr>
              <w:ind w:left="180"/>
              <w:spacing w:after="0"/>
              <w:rPr>
                <w:sz w:val="20"/>
                <w:szCs w:val="20"/>
                <w:color w:val="auto"/>
              </w:rPr>
            </w:pPr>
            <w:r>
              <w:rPr>
                <w:rFonts w:ascii="Arial" w:cs="Arial" w:eastAsia="Arial" w:hAnsi="Arial"/>
                <w:sz w:val="16"/>
                <w:szCs w:val="16"/>
                <w:color w:val="auto"/>
              </w:rPr>
              <w:t>of Drop Down Assets</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Class C units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(Payments of) proceeds from distributions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Payments for the revolving credit facility</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long-term debt - external</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 affiliate</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Payments for long-term debt — external</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for long-term debt — affiliate</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7"/>
        </w:trPr>
        <w:tc>
          <w:tcPr>
            <w:tcW w:w="48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6"/>
              </w:rPr>
              <w:t>Net (Decrease) Increase in Cash, Cash Equivalents and Restricted</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6"/>
                <w:szCs w:val="16"/>
                <w:b w:val="1"/>
                <w:bCs w:val="1"/>
                <w:color w:val="auto"/>
                <w:w w:val="93"/>
              </w:rPr>
              <w:t>Cash, Cash Equivalents and Restricted Cash at Beginning of Period</w:t>
            </w:r>
          </w:p>
        </w:tc>
        <w:tc>
          <w:tcPr>
            <w:tcW w:w="1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33"/>
        </w:trPr>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462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26" w:lineRule="exact"/>
        <w:rPr>
          <w:sz w:val="20"/>
          <w:szCs w:val="20"/>
          <w:color w:val="auto"/>
        </w:rPr>
      </w:pPr>
    </w:p>
    <w:p>
      <w:pPr>
        <w:ind w:left="180" w:hanging="118"/>
        <w:spacing w:after="0"/>
        <w:tabs>
          <w:tab w:leader="none" w:pos="180" w:val="left"/>
        </w:tabs>
        <w:numPr>
          <w:ilvl w:val="0"/>
          <w:numId w:val="88"/>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20"/>
          </w:cols>
          <w:pgMar w:left="240" w:top="904"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Clearway</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Clearway</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Non-Guarantor</w:t>
            </w: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 xml:space="preserve">Energy </w:t>
            </w:r>
            <w:r>
              <w:rPr>
                <w:rFonts w:ascii="Arial" w:cs="Arial" w:eastAsia="Arial" w:hAnsi="Arial"/>
                <w:sz w:val="13"/>
                <w:szCs w:val="13"/>
                <w:b w:val="1"/>
                <w:bCs w:val="1"/>
                <w:color w:val="auto"/>
                <w:w w:val="95"/>
              </w:rPr>
              <w:t>Operating</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line="199" w:lineRule="exact"/>
              <w:rPr>
                <w:sz w:val="20"/>
                <w:szCs w:val="20"/>
                <w:color w:val="auto"/>
              </w:rPr>
            </w:pPr>
            <w:r>
              <w:rPr>
                <w:rFonts w:ascii="Arial" w:cs="Arial" w:eastAsia="Arial" w:hAnsi="Arial"/>
                <w:sz w:val="14"/>
                <w:szCs w:val="14"/>
                <w:b w:val="1"/>
                <w:bCs w:val="1"/>
                <w:color w:val="auto"/>
                <w:w w:val="91"/>
              </w:rPr>
              <w:t xml:space="preserve">Energy </w:t>
            </w:r>
            <w:r>
              <w:rPr>
                <w:rFonts w:ascii="Arial" w:cs="Arial" w:eastAsia="Arial" w:hAnsi="Arial"/>
                <w:sz w:val="13"/>
                <w:szCs w:val="13"/>
                <w:b w:val="1"/>
                <w:bCs w:val="1"/>
                <w:color w:val="auto"/>
                <w:w w:val="91"/>
              </w:rPr>
              <w:t>LLC</w:t>
            </w:r>
            <w:r>
              <w:rPr>
                <w:rFonts w:ascii="Arial" w:cs="Arial" w:eastAsia="Arial" w:hAnsi="Arial"/>
                <w:sz w:val="14"/>
                <w:szCs w:val="14"/>
                <w:b w:val="1"/>
                <w:bCs w:val="1"/>
                <w:color w:val="auto"/>
                <w:w w:val="91"/>
              </w:rPr>
              <w:t xml:space="preserve"> </w:t>
            </w:r>
            <w:r>
              <w:rPr>
                <w:rFonts w:ascii="Arial" w:cs="Arial" w:eastAsia="Arial" w:hAnsi="Arial"/>
                <w:sz w:val="22"/>
                <w:szCs w:val="22"/>
                <w:b w:val="1"/>
                <w:bCs w:val="1"/>
                <w:color w:val="auto"/>
                <w:w w:val="91"/>
                <w:vertAlign w:val="superscript"/>
              </w:rPr>
              <w:t>(a)</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4"/>
              </w:rPr>
              <w:t>Subsidiaries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Subsidiaries</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LLC (Note Issuer)</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40"/>
              <w:spacing w:after="0" w:line="199" w:lineRule="exact"/>
              <w:rPr>
                <w:sz w:val="20"/>
                <w:szCs w:val="20"/>
                <w:color w:val="auto"/>
              </w:rPr>
            </w:pPr>
            <w:r>
              <w:rPr>
                <w:rFonts w:ascii="Arial" w:cs="Arial" w:eastAsia="Arial" w:hAnsi="Arial"/>
                <w:sz w:val="14"/>
                <w:szCs w:val="14"/>
                <w:b w:val="1"/>
                <w:bCs w:val="1"/>
                <w:color w:val="auto"/>
              </w:rPr>
              <w:t>Eliminations</w:t>
            </w:r>
            <w:r>
              <w:rPr>
                <w:rFonts w:ascii="Arial" w:cs="Arial" w:eastAsia="Arial" w:hAnsi="Arial"/>
                <w:sz w:val="22"/>
                <w:szCs w:val="22"/>
                <w:b w:val="1"/>
                <w:bCs w:val="1"/>
                <w:color w:val="auto"/>
                <w:vertAlign w:val="superscript"/>
              </w:rPr>
              <w:t>(b)</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w w:val="94"/>
              </w:rPr>
              <w:t>Acquisition-related transaction and integration</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Operating (Loss) Income</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Equity in earnings of consolidated affiliates</w:t>
            </w: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Equity in (losses) earnings of unconsolidated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loss attributable to noncontrolling</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5"/>
        </w:trPr>
        <w:tc>
          <w:tcPr>
            <w:tcW w:w="366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Net Income Attributable to Clearway Energy</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6"/>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LLC</w:t>
            </w:r>
          </w:p>
        </w:tc>
        <w:tc>
          <w:tcPr>
            <w:tcW w:w="1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89"/>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90"/>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904" w:right="239" w:bottom="1440" w:gutter="0" w:footer="0" w:header="0"/>
        </w:sectPr>
      </w:pPr>
    </w:p>
    <w:bookmarkStart w:id="152" w:name="page153"/>
    <w:bookmarkEnd w:id="152"/>
    <w:p>
      <w:pPr>
        <w:jc w:val="center"/>
        <w:ind w:left="260" w:right="2340"/>
        <w:spacing w:after="0" w:line="391" w:lineRule="auto"/>
        <w:rPr>
          <w:sz w:val="20"/>
          <w:szCs w:val="20"/>
          <w:color w:val="auto"/>
        </w:rPr>
      </w:pPr>
      <w:r>
        <w:rPr>
          <w:rFonts w:ascii="Arial" w:cs="Arial" w:eastAsia="Arial" w:hAnsi="Arial"/>
          <w:sz w:val="18"/>
          <w:szCs w:val="18"/>
          <w:b w:val="1"/>
          <w:bCs w:val="1"/>
          <w:color w:val="auto"/>
        </w:rPr>
        <w:t>CLEARWAY ENERGY LLC AND SUBSIDIARIES CONDENSED CONSOLIDATING STATEMENTS OF COMPREHENSIVE INCOME For the Year Ended December 31, 2017</w:t>
      </w:r>
    </w:p>
    <w:p>
      <w:pPr>
        <w:spacing w:after="0" w:line="200" w:lineRule="exact"/>
        <w:rPr>
          <w:sz w:val="20"/>
          <w:szCs w:val="20"/>
          <w:color w:val="auto"/>
        </w:rPr>
      </w:pPr>
    </w:p>
    <w:p>
      <w:pPr>
        <w:spacing w:after="0" w:line="243"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Clearway</w:t>
      </w:r>
    </w:p>
    <w:tbl>
      <w:tblPr>
        <w:tblLayout w:type="fixed"/>
        <w:tblInd w:w="0" w:type="dxa"/>
        <w:tblCellMar>
          <w:top w:w="0" w:type="dxa"/>
          <w:left w:w="0" w:type="dxa"/>
          <w:bottom w:w="0" w:type="dxa"/>
          <w:right w:w="0" w:type="dxa"/>
        </w:tblCellMar>
      </w:tblPr>
      <w:tr>
        <w:trPr>
          <w:trHeight w:val="146"/>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00"/>
              <w:spacing w:after="0" w:line="146" w:lineRule="exact"/>
              <w:rPr>
                <w:sz w:val="20"/>
                <w:szCs w:val="20"/>
                <w:color w:val="auto"/>
              </w:rPr>
            </w:pPr>
            <w:r>
              <w:rPr>
                <w:rFonts w:ascii="Arial" w:cs="Arial" w:eastAsia="Arial" w:hAnsi="Arial"/>
                <w:sz w:val="14"/>
                <w:szCs w:val="14"/>
                <w:b w:val="1"/>
                <w:bCs w:val="1"/>
                <w:color w:val="auto"/>
                <w:w w:val="95"/>
              </w:rPr>
              <w:t xml:space="preserve">Energy </w:t>
            </w:r>
            <w:r>
              <w:rPr>
                <w:rFonts w:ascii="Arial" w:cs="Arial" w:eastAsia="Arial" w:hAnsi="Arial"/>
                <w:sz w:val="13"/>
                <w:szCs w:val="13"/>
                <w:b w:val="1"/>
                <w:bCs w:val="1"/>
                <w:color w:val="auto"/>
                <w:w w:val="95"/>
              </w:rPr>
              <w:t>Operating</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Clearway</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LLC</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Guarantor</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Non-Guarantor</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85"/>
              </w:rPr>
              <w:t>(Senior Notes</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20" w:type="dxa"/>
            <w:vAlign w:val="bottom"/>
          </w:tcPr>
          <w:p>
            <w:pPr>
              <w:spacing w:after="0"/>
              <w:rPr>
                <w:sz w:val="17"/>
                <w:szCs w:val="17"/>
                <w:color w:val="auto"/>
              </w:rPr>
            </w:pPr>
          </w:p>
        </w:tc>
        <w:tc>
          <w:tcPr>
            <w:tcW w:w="1140" w:type="dxa"/>
            <w:vAlign w:val="bottom"/>
            <w:tcBorders>
              <w:bottom w:val="single" w:sz="8" w:color="auto"/>
            </w:tcBorders>
            <w:gridSpan w:val="3"/>
          </w:tcPr>
          <w:p>
            <w:pPr>
              <w:jc w:val="center"/>
              <w:ind w:right="100"/>
              <w:spacing w:after="0" w:line="199" w:lineRule="exact"/>
              <w:rPr>
                <w:sz w:val="20"/>
                <w:szCs w:val="20"/>
                <w:color w:val="auto"/>
              </w:rPr>
            </w:pPr>
            <w:r>
              <w:rPr>
                <w:rFonts w:ascii="Arial" w:cs="Arial" w:eastAsia="Arial" w:hAnsi="Arial"/>
                <w:sz w:val="14"/>
                <w:szCs w:val="14"/>
                <w:b w:val="1"/>
                <w:bCs w:val="1"/>
                <w:color w:val="auto"/>
                <w:w w:val="93"/>
              </w:rPr>
              <w:t xml:space="preserve">Energy </w:t>
            </w:r>
            <w:r>
              <w:rPr>
                <w:rFonts w:ascii="Arial" w:cs="Arial" w:eastAsia="Arial" w:hAnsi="Arial"/>
                <w:sz w:val="13"/>
                <w:szCs w:val="13"/>
                <w:b w:val="1"/>
                <w:bCs w:val="1"/>
                <w:color w:val="auto"/>
                <w:w w:val="93"/>
              </w:rPr>
              <w:t>LLC</w:t>
            </w:r>
            <w:r>
              <w:rPr>
                <w:rFonts w:ascii="Arial" w:cs="Arial" w:eastAsia="Arial" w:hAnsi="Arial"/>
                <w:sz w:val="14"/>
                <w:szCs w:val="14"/>
                <w:b w:val="1"/>
                <w:bCs w:val="1"/>
                <w:color w:val="auto"/>
                <w:w w:val="93"/>
              </w:rPr>
              <w:t xml:space="preserve"> </w:t>
            </w:r>
            <w:r>
              <w:rPr>
                <w:rFonts w:ascii="Arial" w:cs="Arial" w:eastAsia="Arial" w:hAnsi="Arial"/>
                <w:sz w:val="22"/>
                <w:szCs w:val="22"/>
                <w:b w:val="1"/>
                <w:bCs w:val="1"/>
                <w:color w:val="auto"/>
                <w:w w:val="93"/>
                <w:vertAlign w:val="superscript"/>
              </w:rPr>
              <w:t>(a)</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4"/>
              </w:rPr>
              <w:t>Subsidiaries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4"/>
              </w:rPr>
              <w:t>Subsidiaries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Issuer)</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80"/>
              <w:spacing w:after="0" w:line="199" w:lineRule="exact"/>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22"/>
                <w:szCs w:val="22"/>
                <w:b w:val="1"/>
                <w:bCs w:val="1"/>
                <w:color w:val="auto"/>
                <w:vertAlign w:val="superscript"/>
              </w:rPr>
              <w:t>(b)</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5"/>
          </w:tcPr>
          <w:p>
            <w:pPr>
              <w:ind w:left="11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Comprehensive loss attributable to</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5"/>
        </w:trPr>
        <w:tc>
          <w:tcPr>
            <w:tcW w:w="35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6"/>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Clearway Energy LLC</w:t>
            </w: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91"/>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92"/>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904" w:right="23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Clearway</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4"/>
        </w:trPr>
        <w:tc>
          <w:tcPr>
            <w:tcW w:w="4920" w:type="dxa"/>
            <w:vAlign w:val="bottom"/>
          </w:tcPr>
          <w:p>
            <w:pPr>
              <w:spacing w:after="0"/>
              <w:rPr>
                <w:sz w:val="13"/>
                <w:szCs w:val="13"/>
                <w:color w:val="auto"/>
              </w:rPr>
            </w:pPr>
          </w:p>
        </w:tc>
        <w:tc>
          <w:tcPr>
            <w:tcW w:w="128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Clearway Energy</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Other Guarantor</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Non-Guarantor</w:t>
            </w:r>
          </w:p>
        </w:tc>
        <w:tc>
          <w:tcPr>
            <w:tcW w:w="13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xml:space="preserve">Energy </w:t>
            </w:r>
            <w:r>
              <w:rPr>
                <w:rFonts w:ascii="Arial" w:cs="Arial" w:eastAsia="Arial" w:hAnsi="Arial"/>
                <w:sz w:val="13"/>
                <w:szCs w:val="13"/>
                <w:b w:val="1"/>
                <w:bCs w:val="1"/>
                <w:color w:val="2C2C2C"/>
                <w:w w:val="95"/>
              </w:rPr>
              <w:t>Operating</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3"/>
        </w:trPr>
        <w:tc>
          <w:tcPr>
            <w:tcW w:w="49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line="193" w:lineRule="exact"/>
              <w:rPr>
                <w:sz w:val="20"/>
                <w:szCs w:val="20"/>
                <w:color w:val="auto"/>
              </w:rPr>
            </w:pPr>
            <w:r>
              <w:rPr>
                <w:rFonts w:ascii="Arial" w:cs="Arial" w:eastAsia="Arial" w:hAnsi="Arial"/>
                <w:sz w:val="22"/>
                <w:szCs w:val="22"/>
                <w:b w:val="1"/>
                <w:bCs w:val="1"/>
                <w:color w:val="auto"/>
                <w:vertAlign w:val="subscript"/>
              </w:rPr>
              <w:t>LLC</w:t>
            </w:r>
            <w:r>
              <w:rPr>
                <w:rFonts w:ascii="Arial" w:cs="Arial" w:eastAsia="Arial" w:hAnsi="Arial"/>
                <w:sz w:val="10"/>
                <w:szCs w:val="10"/>
                <w:b w:val="1"/>
                <w:bCs w:val="1"/>
                <w:color w:val="auto"/>
              </w:rPr>
              <w:t xml:space="preserve"> (a)</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4"/>
              </w:rPr>
              <w:t>Subsidiaries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2C2C2C"/>
                <w:w w:val="90"/>
              </w:rPr>
              <w:t>LLC (Note Issuer)</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85"/>
              </w:rPr>
              <w:t>Consolidated</w:t>
            </w:r>
          </w:p>
        </w:tc>
      </w:tr>
      <w:tr>
        <w:trPr>
          <w:trHeight w:val="250"/>
        </w:trPr>
        <w:tc>
          <w:tcPr>
            <w:tcW w:w="4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20" w:type="dxa"/>
            <w:vAlign w:val="bottom"/>
          </w:tcPr>
          <w:p>
            <w:pPr>
              <w:jc w:val="right"/>
              <w:ind w:right="43"/>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0"/>
                <w:szCs w:val="20"/>
                <w:color w:val="auto"/>
              </w:rPr>
            </w:pPr>
          </w:p>
        </w:tc>
        <w:tc>
          <w:tcPr>
            <w:tcW w:w="22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517</w:t>
            </w: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Changes in investments in consolidated subsidiaries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Drop Down Assets,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receipts from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Return of investment from unconsolidated affiliates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3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4"/>
              </w:rPr>
              <w:t>Transfer of funds under intercompany cash management arrangement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Net contributions from noncontrolling interests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0"/>
        </w:trPr>
        <w:tc>
          <w:tcPr>
            <w:tcW w:w="49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Net distributions and return of capital to NRG prior to the acquisition of</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Drop Down Assets</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Proceeds from the issuance of Class C units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proceeds from distributions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Proceeds from the revolving credit facility</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55</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long-term debt — external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Payments for long-term debt — external</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6"/>
              </w:rPr>
              <w:t>Net (Decrease) Increase in Cash, Cash Equivalents and Restricted</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3"/>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w w:val="94"/>
              </w:rPr>
              <w:t>Cash, Cash Equivalents and Restricted Cash at Beginning of Period</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497</w:t>
            </w: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633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326" w:lineRule="exact"/>
        <w:rPr>
          <w:sz w:val="20"/>
          <w:szCs w:val="20"/>
          <w:color w:val="auto"/>
        </w:rPr>
      </w:pPr>
    </w:p>
    <w:p>
      <w:pPr>
        <w:ind w:left="180" w:hanging="118"/>
        <w:spacing w:after="0"/>
        <w:tabs>
          <w:tab w:leader="none" w:pos="180" w:val="left"/>
        </w:tabs>
        <w:numPr>
          <w:ilvl w:val="0"/>
          <w:numId w:val="93"/>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905" w:right="25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40" w:type="dxa"/>
            <w:vAlign w:val="bottom"/>
            <w:gridSpan w:val="9"/>
          </w:tcPr>
          <w:p>
            <w:pPr>
              <w:ind w:left="440"/>
              <w:spacing w:after="0"/>
              <w:rPr>
                <w:sz w:val="20"/>
                <w:szCs w:val="20"/>
                <w:color w:val="auto"/>
              </w:rPr>
            </w:pPr>
            <w:r>
              <w:rPr>
                <w:rFonts w:ascii="Arial" w:cs="Arial" w:eastAsia="Arial" w:hAnsi="Arial"/>
                <w:sz w:val="18"/>
                <w:szCs w:val="18"/>
                <w:b w:val="1"/>
                <w:bCs w:val="1"/>
                <w:color w:val="auto"/>
              </w:rPr>
              <w:t>EXHIBIT INDEX</w:t>
            </w:r>
          </w:p>
        </w:tc>
      </w:tr>
      <w:tr>
        <w:trPr>
          <w:trHeight w:val="426"/>
        </w:trPr>
        <w:tc>
          <w:tcPr>
            <w:tcW w:w="104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840" w:type="dxa"/>
            <w:vAlign w:val="bottom"/>
            <w:gridSpan w:val="13"/>
          </w:tcPr>
          <w:p>
            <w:pPr>
              <w:spacing w:after="0"/>
              <w:rPr>
                <w:sz w:val="20"/>
                <w:szCs w:val="20"/>
                <w:color w:val="auto"/>
              </w:rPr>
            </w:pPr>
            <w:r>
              <w:rPr>
                <w:rFonts w:ascii="Arial" w:cs="Arial" w:eastAsia="Arial" w:hAnsi="Arial"/>
                <w:sz w:val="16"/>
                <w:szCs w:val="16"/>
                <w:b w:val="1"/>
                <w:bCs w:val="1"/>
                <w:color w:val="auto"/>
              </w:rPr>
              <w:t>Description</w:t>
            </w:r>
          </w:p>
        </w:tc>
      </w:tr>
      <w:tr>
        <w:trPr>
          <w:trHeight w:val="222"/>
        </w:trPr>
        <w:tc>
          <w:tcPr>
            <w:tcW w:w="1040" w:type="dxa"/>
            <w:vAlign w:val="bottom"/>
          </w:tcPr>
          <w:p>
            <w:pPr>
              <w:spacing w:after="0"/>
              <w:rPr>
                <w:sz w:val="20"/>
                <w:szCs w:val="20"/>
                <w:color w:val="auto"/>
              </w:rPr>
            </w:pPr>
            <w:r>
              <w:rPr>
                <w:rFonts w:ascii="Arial" w:cs="Arial" w:eastAsia="Arial" w:hAnsi="Arial"/>
                <w:sz w:val="16"/>
                <w:szCs w:val="16"/>
                <w:color w:val="auto"/>
              </w:rPr>
              <w:t>2.1</w:t>
            </w:r>
          </w:p>
        </w:tc>
        <w:tc>
          <w:tcPr>
            <w:tcW w:w="5360" w:type="dxa"/>
            <w:vAlign w:val="bottom"/>
            <w:tcBorders>
              <w:bottom w:val="single" w:sz="8" w:color="0000FF"/>
            </w:tcBorders>
            <w:gridSpan w:val="7"/>
          </w:tcPr>
          <w:p>
            <w:pPr>
              <w:spacing w:after="0"/>
              <w:rPr>
                <w:rFonts w:ascii="Arial" w:cs="Arial" w:eastAsia="Arial" w:hAnsi="Arial"/>
                <w:sz w:val="16"/>
                <w:szCs w:val="16"/>
                <w:color w:val="0000FF"/>
                <w:w w:val="89"/>
              </w:rPr>
            </w:pPr>
            <w:hyperlink r:id="rId87">
              <w:r>
                <w:rPr>
                  <w:rFonts w:ascii="Arial" w:cs="Arial" w:eastAsia="Arial" w:hAnsi="Arial"/>
                  <w:sz w:val="16"/>
                  <w:szCs w:val="16"/>
                  <w:color w:val="0000FF"/>
                  <w:w w:val="89"/>
                </w:rPr>
                <w:t>Purchase and Sale Agreement, dated as of May 5, 2014, by and between NRG Gas</w:t>
              </w:r>
            </w:hyperlink>
          </w:p>
        </w:tc>
        <w:tc>
          <w:tcPr>
            <w:tcW w:w="480" w:type="dxa"/>
            <w:vAlign w:val="bottom"/>
            <w:gridSpan w:val="6"/>
          </w:tcPr>
          <w:p>
            <w:pPr>
              <w:spacing w:after="0"/>
              <w:rPr>
                <w:sz w:val="19"/>
                <w:szCs w:val="19"/>
                <w:color w:val="auto"/>
              </w:rPr>
            </w:pPr>
          </w:p>
        </w:tc>
      </w:tr>
      <w:tr>
        <w:trPr>
          <w:trHeight w:val="183"/>
        </w:trPr>
        <w:tc>
          <w:tcPr>
            <w:tcW w:w="1040" w:type="dxa"/>
            <w:vAlign w:val="bottom"/>
          </w:tcPr>
          <w:p>
            <w:pPr>
              <w:spacing w:after="0"/>
              <w:rPr>
                <w:sz w:val="15"/>
                <w:szCs w:val="15"/>
                <w:color w:val="auto"/>
              </w:rPr>
            </w:pPr>
          </w:p>
        </w:tc>
        <w:tc>
          <w:tcPr>
            <w:tcW w:w="4040" w:type="dxa"/>
            <w:vAlign w:val="bottom"/>
            <w:tcBorders>
              <w:bottom w:val="single" w:sz="8" w:color="0000FF"/>
            </w:tcBorders>
            <w:gridSpan w:val="5"/>
          </w:tcPr>
          <w:p>
            <w:pPr>
              <w:spacing w:after="0" w:line="183" w:lineRule="exact"/>
              <w:rPr>
                <w:rFonts w:ascii="Arial" w:cs="Arial" w:eastAsia="Arial" w:hAnsi="Arial"/>
                <w:sz w:val="16"/>
                <w:szCs w:val="16"/>
                <w:color w:val="0000FF"/>
                <w:w w:val="93"/>
              </w:rPr>
            </w:pPr>
            <w:hyperlink r:id="rId87">
              <w:r>
                <w:rPr>
                  <w:rFonts w:ascii="Arial" w:cs="Arial" w:eastAsia="Arial" w:hAnsi="Arial"/>
                  <w:sz w:val="16"/>
                  <w:szCs w:val="16"/>
                  <w:color w:val="0000FF"/>
                  <w:w w:val="93"/>
                </w:rPr>
                <w:t>Development Company, LLC and NRG Yield Operating LLC.</w:t>
              </w:r>
            </w:hyperlink>
          </w:p>
        </w:tc>
        <w:tc>
          <w:tcPr>
            <w:tcW w:w="1800" w:type="dxa"/>
            <w:vAlign w:val="bottom"/>
            <w:gridSpan w:val="8"/>
          </w:tcPr>
          <w:p>
            <w:pPr>
              <w:spacing w:after="0"/>
              <w:rPr>
                <w:sz w:val="15"/>
                <w:szCs w:val="15"/>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2.2</w:t>
            </w:r>
          </w:p>
        </w:tc>
        <w:tc>
          <w:tcPr>
            <w:tcW w:w="5700" w:type="dxa"/>
            <w:vAlign w:val="bottom"/>
            <w:tcBorders>
              <w:bottom w:val="single" w:sz="8" w:color="0000FF"/>
            </w:tcBorders>
            <w:gridSpan w:val="10"/>
          </w:tcPr>
          <w:p>
            <w:pPr>
              <w:spacing w:after="0"/>
              <w:rPr>
                <w:rFonts w:ascii="Arial" w:cs="Arial" w:eastAsia="Arial" w:hAnsi="Arial"/>
                <w:sz w:val="16"/>
                <w:szCs w:val="16"/>
                <w:color w:val="0000FF"/>
                <w:w w:val="90"/>
              </w:rPr>
            </w:pPr>
            <w:hyperlink r:id="rId88">
              <w:r>
                <w:rPr>
                  <w:rFonts w:ascii="Arial" w:cs="Arial" w:eastAsia="Arial" w:hAnsi="Arial"/>
                  <w:sz w:val="16"/>
                  <w:szCs w:val="16"/>
                  <w:color w:val="0000FF"/>
                  <w:w w:val="90"/>
                </w:rPr>
                <w:t>Purchase and Sale Agreement, dated as of May 5, 2014, by and between NRG Solar PV</w:t>
              </w:r>
            </w:hyperlink>
          </w:p>
        </w:tc>
        <w:tc>
          <w:tcPr>
            <w:tcW w:w="140" w:type="dxa"/>
            <w:vAlign w:val="bottom"/>
            <w:gridSpan w:val="3"/>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Arial" w:cs="Arial" w:eastAsia="Arial" w:hAnsi="Arial"/>
                <w:sz w:val="16"/>
                <w:szCs w:val="16"/>
                <w:color w:val="0000FF"/>
              </w:rPr>
            </w:pPr>
            <w:hyperlink r:id="rId88">
              <w:r>
                <w:rPr>
                  <w:rFonts w:ascii="Arial" w:cs="Arial" w:eastAsia="Arial" w:hAnsi="Arial"/>
                  <w:sz w:val="16"/>
                  <w:szCs w:val="16"/>
                  <w:color w:val="0000FF"/>
                </w:rPr>
                <w:t>LLC and NRG Yield Operating LLC.</w:t>
              </w:r>
            </w:hyperlink>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2.3</w:t>
            </w:r>
          </w:p>
        </w:tc>
        <w:tc>
          <w:tcPr>
            <w:tcW w:w="5700" w:type="dxa"/>
            <w:vAlign w:val="bottom"/>
            <w:tcBorders>
              <w:bottom w:val="single" w:sz="8" w:color="0000FF"/>
            </w:tcBorders>
            <w:gridSpan w:val="10"/>
          </w:tcPr>
          <w:p>
            <w:pPr>
              <w:spacing w:after="0"/>
              <w:rPr>
                <w:rFonts w:ascii="Arial" w:cs="Arial" w:eastAsia="Arial" w:hAnsi="Arial"/>
                <w:sz w:val="16"/>
                <w:szCs w:val="16"/>
                <w:color w:val="0000FF"/>
                <w:w w:val="90"/>
              </w:rPr>
            </w:pPr>
            <w:hyperlink r:id="rId89">
              <w:r>
                <w:rPr>
                  <w:rFonts w:ascii="Arial" w:cs="Arial" w:eastAsia="Arial" w:hAnsi="Arial"/>
                  <w:sz w:val="16"/>
                  <w:szCs w:val="16"/>
                  <w:color w:val="0000FF"/>
                  <w:w w:val="90"/>
                </w:rPr>
                <w:t>Purchase and Sale Agreement, dated as of May 5, 2014, by and between NRG Solar PV</w:t>
              </w:r>
            </w:hyperlink>
          </w:p>
        </w:tc>
        <w:tc>
          <w:tcPr>
            <w:tcW w:w="140" w:type="dxa"/>
            <w:vAlign w:val="bottom"/>
            <w:gridSpan w:val="3"/>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Arial" w:cs="Arial" w:eastAsia="Arial" w:hAnsi="Arial"/>
                <w:sz w:val="16"/>
                <w:szCs w:val="16"/>
                <w:color w:val="0000FF"/>
              </w:rPr>
            </w:pPr>
            <w:hyperlink r:id="rId89">
              <w:r>
                <w:rPr>
                  <w:rFonts w:ascii="Arial" w:cs="Arial" w:eastAsia="Arial" w:hAnsi="Arial"/>
                  <w:sz w:val="16"/>
                  <w:szCs w:val="16"/>
                  <w:color w:val="0000FF"/>
                </w:rPr>
                <w:t>LLC and NRG Yield Operating LLC.</w:t>
              </w:r>
            </w:hyperlink>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2.4</w:t>
            </w:r>
          </w:p>
        </w:tc>
        <w:tc>
          <w:tcPr>
            <w:tcW w:w="5760" w:type="dxa"/>
            <w:vAlign w:val="bottom"/>
            <w:tcBorders>
              <w:bottom w:val="single" w:sz="8" w:color="0000FF"/>
            </w:tcBorders>
            <w:gridSpan w:val="12"/>
          </w:tcPr>
          <w:p>
            <w:pPr>
              <w:spacing w:after="0"/>
              <w:rPr>
                <w:rFonts w:ascii="Arial" w:cs="Arial" w:eastAsia="Arial" w:hAnsi="Arial"/>
                <w:sz w:val="16"/>
                <w:szCs w:val="16"/>
                <w:color w:val="0000FF"/>
                <w:w w:val="90"/>
              </w:rPr>
            </w:pPr>
            <w:hyperlink r:id="rId90">
              <w:r>
                <w:rPr>
                  <w:rFonts w:ascii="Arial" w:cs="Arial" w:eastAsia="Arial" w:hAnsi="Arial"/>
                  <w:sz w:val="16"/>
                  <w:szCs w:val="16"/>
                  <w:color w:val="0000FF"/>
                  <w:w w:val="90"/>
                </w:rPr>
                <w:t>Purchase and Sale Agreement, dated June 3, 2014, by and among NRG Yield, Inc., NRG</w:t>
              </w:r>
            </w:hyperlink>
          </w:p>
        </w:tc>
        <w:tc>
          <w:tcPr>
            <w:tcW w:w="8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Arial" w:cs="Arial" w:eastAsia="Arial" w:hAnsi="Arial"/>
                <w:sz w:val="16"/>
                <w:szCs w:val="16"/>
                <w:color w:val="0000FF"/>
                <w:w w:val="96"/>
              </w:rPr>
            </w:pPr>
            <w:hyperlink r:id="rId90">
              <w:r>
                <w:rPr>
                  <w:rFonts w:ascii="Arial" w:cs="Arial" w:eastAsia="Arial" w:hAnsi="Arial"/>
                  <w:sz w:val="16"/>
                  <w:szCs w:val="16"/>
                  <w:color w:val="0000FF"/>
                  <w:w w:val="96"/>
                </w:rPr>
                <w:t>Yield Operating LLC, Terra-Gen Finance Company, LLC, NTD AWAM Holdings, LLC,</w:t>
              </w:r>
            </w:hyperlink>
          </w:p>
        </w:tc>
      </w:tr>
      <w:tr>
        <w:trPr>
          <w:trHeight w:val="183"/>
        </w:trPr>
        <w:tc>
          <w:tcPr>
            <w:tcW w:w="1040" w:type="dxa"/>
            <w:vAlign w:val="bottom"/>
          </w:tcPr>
          <w:p>
            <w:pPr>
              <w:spacing w:after="0"/>
              <w:rPr>
                <w:sz w:val="15"/>
                <w:szCs w:val="15"/>
                <w:color w:val="auto"/>
              </w:rPr>
            </w:pPr>
          </w:p>
        </w:tc>
        <w:tc>
          <w:tcPr>
            <w:tcW w:w="5220" w:type="dxa"/>
            <w:vAlign w:val="bottom"/>
            <w:tcBorders>
              <w:top w:val="single" w:sz="8" w:color="0000FF"/>
              <w:bottom w:val="single" w:sz="8" w:color="0000FF"/>
            </w:tcBorders>
            <w:gridSpan w:val="6"/>
          </w:tcPr>
          <w:p>
            <w:pPr>
              <w:spacing w:after="0" w:line="183" w:lineRule="exact"/>
              <w:rPr>
                <w:rFonts w:ascii="Arial" w:cs="Arial" w:eastAsia="Arial" w:hAnsi="Arial"/>
                <w:sz w:val="16"/>
                <w:szCs w:val="16"/>
                <w:color w:val="0000FF"/>
                <w:w w:val="95"/>
              </w:rPr>
            </w:pPr>
            <w:hyperlink r:id="rId90">
              <w:r>
                <w:rPr>
                  <w:rFonts w:ascii="Arial" w:cs="Arial" w:eastAsia="Arial" w:hAnsi="Arial"/>
                  <w:sz w:val="16"/>
                  <w:szCs w:val="16"/>
                  <w:color w:val="0000FF"/>
                  <w:w w:val="95"/>
                </w:rPr>
                <w:t>CHIPS Alta Wind X Holding Company, LLC and CHIPS Alta Wind XI Holding</w:t>
              </w:r>
            </w:hyperlink>
          </w:p>
        </w:tc>
        <w:tc>
          <w:tcPr>
            <w:tcW w:w="520" w:type="dxa"/>
            <w:vAlign w:val="bottom"/>
            <w:tcBorders>
              <w:top w:val="single" w:sz="8" w:color="0000FF"/>
            </w:tcBorders>
            <w:gridSpan w:val="5"/>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Arial" w:cs="Arial" w:eastAsia="Arial" w:hAnsi="Arial"/>
                <w:sz w:val="16"/>
                <w:szCs w:val="16"/>
                <w:color w:val="0000FF"/>
              </w:rPr>
            </w:pPr>
            <w:hyperlink r:id="rId90">
              <w:r>
                <w:rPr>
                  <w:rFonts w:ascii="Arial" w:cs="Arial" w:eastAsia="Arial" w:hAnsi="Arial"/>
                  <w:sz w:val="16"/>
                  <w:szCs w:val="16"/>
                  <w:color w:val="0000FF"/>
                </w:rPr>
                <w:t>Company, LLC.</w:t>
              </w:r>
            </w:hyperlink>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2.5</w:t>
            </w:r>
          </w:p>
        </w:tc>
        <w:tc>
          <w:tcPr>
            <w:tcW w:w="5840" w:type="dxa"/>
            <w:vAlign w:val="bottom"/>
            <w:tcBorders>
              <w:bottom w:val="single" w:sz="8" w:color="0000FF"/>
            </w:tcBorders>
            <w:gridSpan w:val="13"/>
          </w:tcPr>
          <w:p>
            <w:pPr>
              <w:spacing w:after="0"/>
              <w:rPr>
                <w:rFonts w:ascii="Arial" w:cs="Arial" w:eastAsia="Arial" w:hAnsi="Arial"/>
                <w:sz w:val="16"/>
                <w:szCs w:val="16"/>
                <w:color w:val="0000FF"/>
                <w:w w:val="90"/>
              </w:rPr>
            </w:pPr>
            <w:hyperlink r:id="rId91">
              <w:r>
                <w:rPr>
                  <w:rFonts w:ascii="Arial" w:cs="Arial" w:eastAsia="Arial" w:hAnsi="Arial"/>
                  <w:sz w:val="16"/>
                  <w:szCs w:val="16"/>
                  <w:color w:val="0000FF"/>
                  <w:w w:val="90"/>
                </w:rPr>
                <w:t>Purchase and Sale Agreement, dated as of November 4, 2014, by and between NRG Wind</w:t>
              </w:r>
            </w:hyperlink>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Arial" w:cs="Arial" w:eastAsia="Arial" w:hAnsi="Arial"/>
                <w:sz w:val="16"/>
                <w:szCs w:val="16"/>
                <w:color w:val="0000FF"/>
              </w:rPr>
            </w:pPr>
            <w:hyperlink r:id="rId91">
              <w:r>
                <w:rPr>
                  <w:rFonts w:ascii="Arial" w:cs="Arial" w:eastAsia="Arial" w:hAnsi="Arial"/>
                  <w:sz w:val="16"/>
                  <w:szCs w:val="16"/>
                  <w:color w:val="0000FF"/>
                </w:rPr>
                <w:t>LLC and NRG Yield Operating LLC.</w:t>
              </w:r>
            </w:hyperlink>
          </w:p>
        </w:tc>
      </w:tr>
      <w:tr>
        <w:trPr>
          <w:trHeight w:val="20"/>
        </w:trPr>
        <w:tc>
          <w:tcPr>
            <w:tcW w:w="104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Arial" w:cs="Arial" w:eastAsia="Arial" w:hAnsi="Arial"/>
                <w:sz w:val="16"/>
                <w:szCs w:val="16"/>
                <w:color w:val="auto"/>
              </w:rPr>
              <w:t>2.6</w:t>
            </w:r>
          </w:p>
        </w:tc>
        <w:tc>
          <w:tcPr>
            <w:tcW w:w="5840" w:type="dxa"/>
            <w:vAlign w:val="bottom"/>
            <w:gridSpan w:val="13"/>
          </w:tcPr>
          <w:p>
            <w:pPr>
              <w:spacing w:after="0"/>
              <w:rPr>
                <w:rFonts w:ascii="Arial" w:cs="Arial" w:eastAsia="Arial" w:hAnsi="Arial"/>
                <w:sz w:val="16"/>
                <w:szCs w:val="16"/>
                <w:color w:val="0000FF"/>
                <w:w w:val="96"/>
              </w:rPr>
            </w:pPr>
            <w:hyperlink r:id="rId92">
              <w:r>
                <w:rPr>
                  <w:rFonts w:ascii="Arial" w:cs="Arial" w:eastAsia="Arial" w:hAnsi="Arial"/>
                  <w:sz w:val="16"/>
                  <w:szCs w:val="16"/>
                  <w:color w:val="0000FF"/>
                  <w:w w:val="96"/>
                </w:rPr>
                <w:t>Purchase and Sale Agreement, dated as of November 4, 2014, by and between NRG</w:t>
              </w:r>
            </w:hyperlink>
          </w:p>
        </w:tc>
      </w:tr>
      <w:tr>
        <w:trPr>
          <w:trHeight w:val="183"/>
        </w:trPr>
        <w:tc>
          <w:tcPr>
            <w:tcW w:w="1040" w:type="dxa"/>
            <w:vAlign w:val="bottom"/>
          </w:tcPr>
          <w:p>
            <w:pPr>
              <w:spacing w:after="0"/>
              <w:rPr>
                <w:sz w:val="15"/>
                <w:szCs w:val="15"/>
                <w:color w:val="auto"/>
              </w:rPr>
            </w:pPr>
          </w:p>
        </w:tc>
        <w:tc>
          <w:tcPr>
            <w:tcW w:w="5440" w:type="dxa"/>
            <w:vAlign w:val="bottom"/>
            <w:tcBorders>
              <w:top w:val="single" w:sz="8" w:color="0000FF"/>
            </w:tcBorders>
            <w:gridSpan w:val="8"/>
          </w:tcPr>
          <w:p>
            <w:pPr>
              <w:spacing w:after="0" w:line="183" w:lineRule="exact"/>
              <w:rPr>
                <w:rFonts w:ascii="Arial" w:cs="Arial" w:eastAsia="Arial" w:hAnsi="Arial"/>
                <w:sz w:val="16"/>
                <w:szCs w:val="16"/>
                <w:color w:val="0000FF"/>
              </w:rPr>
            </w:pPr>
            <w:hyperlink r:id="rId92">
              <w:r>
                <w:rPr>
                  <w:rFonts w:ascii="Arial" w:cs="Arial" w:eastAsia="Arial" w:hAnsi="Arial"/>
                  <w:sz w:val="16"/>
                  <w:szCs w:val="16"/>
                  <w:color w:val="0000FF"/>
                </w:rPr>
                <w:t>Arroyo Nogales LLC and NRG Yield Operating LLC.</w:t>
              </w:r>
            </w:hyperlink>
          </w:p>
        </w:tc>
        <w:tc>
          <w:tcPr>
            <w:tcW w:w="400" w:type="dxa"/>
            <w:vAlign w:val="bottom"/>
            <w:gridSpan w:val="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Arial" w:cs="Arial" w:eastAsia="Arial" w:hAnsi="Arial"/>
                <w:sz w:val="16"/>
                <w:szCs w:val="16"/>
                <w:color w:val="auto"/>
              </w:rPr>
              <w:t>2.7*^</w:t>
            </w:r>
          </w:p>
        </w:tc>
        <w:tc>
          <w:tcPr>
            <w:tcW w:w="5840" w:type="dxa"/>
            <w:vAlign w:val="bottom"/>
            <w:gridSpan w:val="13"/>
          </w:tcPr>
          <w:p>
            <w:pPr>
              <w:spacing w:after="0"/>
              <w:rPr>
                <w:rFonts w:ascii="Arial" w:cs="Arial" w:eastAsia="Arial" w:hAnsi="Arial"/>
                <w:sz w:val="16"/>
                <w:szCs w:val="16"/>
                <w:color w:val="0000FF"/>
                <w:w w:val="93"/>
              </w:rPr>
            </w:pPr>
            <w:hyperlink r:id="rId93">
              <w:r>
                <w:rPr>
                  <w:rFonts w:ascii="Arial" w:cs="Arial" w:eastAsia="Arial" w:hAnsi="Arial"/>
                  <w:sz w:val="16"/>
                  <w:szCs w:val="16"/>
                  <w:color w:val="0000FF"/>
                  <w:w w:val="93"/>
                </w:rPr>
                <w:t>Purchase and Sale Agreement, dated as of June 17, 2015, by and between EFS Desert</w:t>
              </w:r>
            </w:hyperlink>
          </w:p>
        </w:tc>
      </w:tr>
      <w:tr>
        <w:trPr>
          <w:trHeight w:val="183"/>
        </w:trPr>
        <w:tc>
          <w:tcPr>
            <w:tcW w:w="1040" w:type="dxa"/>
            <w:vAlign w:val="bottom"/>
          </w:tcPr>
          <w:p>
            <w:pPr>
              <w:spacing w:after="0"/>
              <w:rPr>
                <w:sz w:val="15"/>
                <w:szCs w:val="15"/>
                <w:color w:val="auto"/>
              </w:rPr>
            </w:pPr>
          </w:p>
        </w:tc>
        <w:tc>
          <w:tcPr>
            <w:tcW w:w="276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w w:val="94"/>
              </w:rPr>
            </w:pPr>
            <w:hyperlink r:id="rId93">
              <w:r>
                <w:rPr>
                  <w:rFonts w:ascii="Arial" w:cs="Arial" w:eastAsia="Arial" w:hAnsi="Arial"/>
                  <w:sz w:val="16"/>
                  <w:szCs w:val="16"/>
                  <w:color w:val="0000FF"/>
                  <w:w w:val="94"/>
                </w:rPr>
                <w:t>Sun, LLC and NRG Yield Operating LLC.</w:t>
              </w:r>
            </w:hyperlink>
          </w:p>
        </w:tc>
        <w:tc>
          <w:tcPr>
            <w:tcW w:w="2780" w:type="dxa"/>
            <w:vAlign w:val="bottom"/>
            <w:tcBorders>
              <w:top w:val="single" w:sz="8" w:color="0000FF"/>
            </w:tcBorders>
            <w:gridSpan w:val="6"/>
          </w:tcPr>
          <w:p>
            <w:pPr>
              <w:spacing w:after="0"/>
              <w:rPr>
                <w:sz w:val="15"/>
                <w:szCs w:val="15"/>
                <w:color w:val="auto"/>
              </w:rPr>
            </w:pPr>
          </w:p>
        </w:tc>
        <w:tc>
          <w:tcPr>
            <w:tcW w:w="300" w:type="dxa"/>
            <w:vAlign w:val="bottom"/>
            <w:gridSpan w:val="4"/>
          </w:tcPr>
          <w:p>
            <w:pPr>
              <w:spacing w:after="0"/>
              <w:rPr>
                <w:sz w:val="15"/>
                <w:szCs w:val="15"/>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2.8</w:t>
            </w:r>
          </w:p>
        </w:tc>
        <w:tc>
          <w:tcPr>
            <w:tcW w:w="5540" w:type="dxa"/>
            <w:vAlign w:val="bottom"/>
            <w:gridSpan w:val="3"/>
            <w:vMerge w:val="restart"/>
          </w:tcPr>
          <w:p>
            <w:pPr>
              <w:spacing w:after="0"/>
              <w:rPr>
                <w:rFonts w:ascii="Arial" w:cs="Arial" w:eastAsia="Arial" w:hAnsi="Arial"/>
                <w:sz w:val="16"/>
                <w:szCs w:val="16"/>
                <w:color w:val="0000FF"/>
                <w:w w:val="89"/>
              </w:rPr>
            </w:pPr>
            <w:hyperlink r:id="rId94">
              <w:r>
                <w:rPr>
                  <w:rFonts w:ascii="Arial" w:cs="Arial" w:eastAsia="Arial" w:hAnsi="Arial"/>
                  <w:sz w:val="16"/>
                  <w:szCs w:val="16"/>
                  <w:color w:val="0000FF"/>
                  <w:w w:val="89"/>
                </w:rPr>
                <w:t>Purchase and Sale Agreement, dated as of September 17, 2015, by and between NRG</w:t>
              </w:r>
            </w:hyperlink>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540" w:type="dxa"/>
            <w:vAlign w:val="bottom"/>
            <w:tcBorders>
              <w:bottom w:val="single" w:sz="8" w:color="0000FF"/>
            </w:tcBorders>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gridSpan w:val="4"/>
          </w:tcPr>
          <w:p>
            <w:pPr>
              <w:spacing w:after="0" w:line="183" w:lineRule="exact"/>
              <w:rPr>
                <w:rFonts w:ascii="Arial" w:cs="Arial" w:eastAsia="Arial" w:hAnsi="Arial"/>
                <w:sz w:val="16"/>
                <w:szCs w:val="16"/>
                <w:color w:val="0000FF"/>
              </w:rPr>
            </w:pPr>
            <w:hyperlink r:id="rId94">
              <w:r>
                <w:rPr>
                  <w:rFonts w:ascii="Arial" w:cs="Arial" w:eastAsia="Arial" w:hAnsi="Arial"/>
                  <w:sz w:val="16"/>
                  <w:szCs w:val="16"/>
                  <w:color w:val="0000FF"/>
                </w:rPr>
                <w:t>Energy Gas &amp; Wind Holdings, Inc. and NRG Yield Operating LLC.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right"/>
              <w:ind w:right="759"/>
              <w:spacing w:after="0"/>
              <w:rPr>
                <w:sz w:val="20"/>
                <w:szCs w:val="20"/>
                <w:color w:val="auto"/>
              </w:rPr>
            </w:pPr>
            <w:r>
              <w:rPr>
                <w:rFonts w:ascii="Arial" w:cs="Arial" w:eastAsia="Arial" w:hAnsi="Arial"/>
                <w:sz w:val="16"/>
                <w:szCs w:val="16"/>
                <w:color w:val="auto"/>
                <w:w w:val="80"/>
              </w:rPr>
              <w:t>2.9</w:t>
            </w:r>
          </w:p>
        </w:tc>
        <w:tc>
          <w:tcPr>
            <w:tcW w:w="3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040" w:type="dxa"/>
            <w:vAlign w:val="bottom"/>
            <w:vMerge w:val="continue"/>
          </w:tcPr>
          <w:p>
            <w:pPr>
              <w:spacing w:after="0"/>
              <w:rPr>
                <w:sz w:val="24"/>
                <w:szCs w:val="24"/>
                <w:color w:val="auto"/>
              </w:rPr>
            </w:pPr>
          </w:p>
        </w:tc>
        <w:tc>
          <w:tcPr>
            <w:tcW w:w="5600" w:type="dxa"/>
            <w:vAlign w:val="bottom"/>
            <w:gridSpan w:val="4"/>
            <w:vMerge w:val="restart"/>
          </w:tcPr>
          <w:p>
            <w:pPr>
              <w:spacing w:after="0"/>
              <w:rPr>
                <w:rFonts w:ascii="Arial" w:cs="Arial" w:eastAsia="Arial" w:hAnsi="Arial"/>
                <w:sz w:val="16"/>
                <w:szCs w:val="16"/>
                <w:color w:val="0000FF"/>
                <w:w w:val="90"/>
              </w:rPr>
            </w:pPr>
            <w:hyperlink r:id="rId95">
              <w:r>
                <w:rPr>
                  <w:rFonts w:ascii="Arial" w:cs="Arial" w:eastAsia="Arial" w:hAnsi="Arial"/>
                  <w:sz w:val="16"/>
                  <w:szCs w:val="16"/>
                  <w:color w:val="0000FF"/>
                  <w:w w:val="90"/>
                </w:rPr>
                <w:t>Purchase and Sale Agreement, dated as of August 8, 2016, between NRG Solar CVSR</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600" w:type="dxa"/>
            <w:vAlign w:val="bottom"/>
            <w:tcBorders>
              <w:bottom w:val="single" w:sz="8" w:color="0000FF"/>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gridSpan w:val="4"/>
          </w:tcPr>
          <w:p>
            <w:pPr>
              <w:spacing w:after="0" w:line="183" w:lineRule="exact"/>
              <w:rPr>
                <w:rFonts w:ascii="Arial" w:cs="Arial" w:eastAsia="Arial" w:hAnsi="Arial"/>
                <w:sz w:val="16"/>
                <w:szCs w:val="16"/>
                <w:color w:val="0000FF"/>
              </w:rPr>
            </w:pPr>
            <w:hyperlink r:id="rId95">
              <w:r>
                <w:rPr>
                  <w:rFonts w:ascii="Arial" w:cs="Arial" w:eastAsia="Arial" w:hAnsi="Arial"/>
                  <w:sz w:val="16"/>
                  <w:szCs w:val="16"/>
                  <w:color w:val="0000FF"/>
                </w:rPr>
                <w:t>Holdings 2 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ind w:right="20"/>
        <w:spacing w:after="0" w:line="342" w:lineRule="auto"/>
        <w:rPr>
          <w:sz w:val="20"/>
          <w:szCs w:val="20"/>
          <w:color w:val="auto"/>
        </w:rPr>
      </w:pPr>
      <w:r>
        <w:rPr>
          <w:rFonts w:ascii="Arial" w:cs="Arial" w:eastAsia="Arial" w:hAnsi="Arial"/>
          <w:sz w:val="14"/>
          <w:szCs w:val="14"/>
          <w:color w:val="auto"/>
        </w:rPr>
        <w:t>Incorporated herein by reference to Exhibit 2.1 to Clearway Energy, Inc.’s Current Report on Form 8-K filed on May 9, 2014.</w:t>
      </w:r>
    </w:p>
    <w:p>
      <w:pPr>
        <w:ind w:right="20"/>
        <w:spacing w:after="0" w:line="342" w:lineRule="auto"/>
        <w:rPr>
          <w:sz w:val="20"/>
          <w:szCs w:val="20"/>
          <w:color w:val="auto"/>
        </w:rPr>
      </w:pPr>
      <w:r>
        <w:rPr>
          <w:rFonts w:ascii="Arial" w:cs="Arial" w:eastAsia="Arial" w:hAnsi="Arial"/>
          <w:sz w:val="14"/>
          <w:szCs w:val="14"/>
          <w:color w:val="auto"/>
        </w:rPr>
        <w:t>Incorporated herein by reference to Exhibit 2.2 to Clearway Energy, Inc.’s Current Report on Form 8-K filed on May 9, 2014.</w:t>
      </w:r>
    </w:p>
    <w:p>
      <w:pPr>
        <w:ind w:right="20"/>
        <w:spacing w:after="0" w:line="342" w:lineRule="auto"/>
        <w:rPr>
          <w:sz w:val="20"/>
          <w:szCs w:val="20"/>
          <w:color w:val="auto"/>
        </w:rPr>
      </w:pPr>
      <w:r>
        <w:rPr>
          <w:rFonts w:ascii="Arial" w:cs="Arial" w:eastAsia="Arial" w:hAnsi="Arial"/>
          <w:sz w:val="14"/>
          <w:szCs w:val="14"/>
          <w:color w:val="auto"/>
        </w:rPr>
        <w:t>Incorporated herein by reference to Exhibit 2.3 to Clearway Energy, Inc.’s Current Report on Form 8-K filed on May 9, 2014.</w:t>
      </w:r>
    </w:p>
    <w:p>
      <w:pPr>
        <w:ind w:right="20"/>
        <w:spacing w:after="0" w:line="369" w:lineRule="auto"/>
        <w:rPr>
          <w:sz w:val="20"/>
          <w:szCs w:val="20"/>
          <w:color w:val="auto"/>
        </w:rPr>
      </w:pPr>
      <w:r>
        <w:rPr>
          <w:rFonts w:ascii="Arial" w:cs="Arial" w:eastAsia="Arial" w:hAnsi="Arial"/>
          <w:sz w:val="14"/>
          <w:szCs w:val="14"/>
          <w:color w:val="auto"/>
        </w:rPr>
        <w:t>Incorporated herein by reference to Exhibit 10.1 to Clearway Energy, Inc.’s Current Report on Form 8-K filed on June 9, 2014.</w:t>
      </w:r>
    </w:p>
    <w:p>
      <w:pPr>
        <w:spacing w:after="0" w:line="36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Incorporated herein by reference to Exhibit 2.1 to Clearway Energy, Inc.’s Current Report on Form 8-K filed on November 7, 2014.</w:t>
      </w:r>
    </w:p>
    <w:p>
      <w:pPr>
        <w:spacing w:after="0" w:line="2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Incorporated herein by reference to Exhibit 2.2 to Clearway Energy, Inc.’s Current Report on Form 8-K filed on November 7, 2014.</w:t>
      </w:r>
    </w:p>
    <w:p>
      <w:pPr>
        <w:spacing w:after="0" w:line="2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Incorporated herein by reference to Exhibit 2.1 to Clearway Energy, Inc.’s Quarterly Report on Form 10-Q filed on August 4, 2015.</w:t>
      </w:r>
    </w:p>
    <w:p>
      <w:pPr>
        <w:spacing w:after="0" w:line="22"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Incorporated herein by reference to Exhibit 2.1 to Clearway Energy, Inc.’s Current Report on Form 8-K filed on September 21, 2015.</w:t>
      </w:r>
    </w:p>
    <w:p>
      <w:pPr>
        <w:spacing w:after="0" w:line="266"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Incorporated herein by reference to Exhibit 2.1 to Clearway Energy, Inc.'s Current Report on Form 8-K filed on August 9, 2016.</w:t>
      </w:r>
    </w:p>
    <w:p>
      <w:pPr>
        <w:spacing w:after="0" w:line="103" w:lineRule="exact"/>
        <w:rPr>
          <w:sz w:val="20"/>
          <w:szCs w:val="20"/>
          <w:color w:val="auto"/>
        </w:rPr>
      </w:pPr>
    </w:p>
    <w:p>
      <w:pPr>
        <w:sectPr>
          <w:pgSz w:w="11900" w:h="16838" w:orient="portrait"/>
          <w:cols w:equalWidth="0" w:num="2">
            <w:col w:w="6880" w:space="200"/>
            <w:col w:w="4260"/>
          </w:cols>
          <w:pgMar w:left="280" w:top="905" w:right="279" w:bottom="1440" w:gutter="0" w:footer="0" w:header="0"/>
        </w:sectPr>
      </w:pPr>
    </w:p>
    <w:p>
      <w:pPr>
        <w:spacing w:after="0"/>
        <w:rPr>
          <w:sz w:val="20"/>
          <w:szCs w:val="20"/>
          <w:color w:val="auto"/>
        </w:rPr>
      </w:pPr>
      <w:r>
        <w:rPr>
          <w:rFonts w:ascii="Arial" w:cs="Arial" w:eastAsia="Arial" w:hAnsi="Arial"/>
          <w:sz w:val="15"/>
          <w:szCs w:val="15"/>
          <w:color w:val="auto"/>
        </w:rPr>
        <w:t>2.10*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br w:type="column"/>
      </w:r>
    </w:p>
    <w:p>
      <w:pPr>
        <w:ind w:right="180"/>
        <w:spacing w:after="0" w:line="293" w:lineRule="auto"/>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Purchase and Sale Agreement, dated as of February 6, 2018, by and between NRG Gas</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Development Company, LLC and NRG Yield Operating LLC.</w:t>
        </w:r>
      </w:hyperlink>
    </w:p>
    <w:p>
      <w:pPr>
        <w:spacing w:after="0" w:line="375" w:lineRule="exact"/>
        <w:rPr>
          <w:sz w:val="20"/>
          <w:szCs w:val="20"/>
          <w:color w:val="auto"/>
        </w:rPr>
      </w:pPr>
    </w:p>
    <w:p>
      <w:pPr>
        <w:ind w:right="100"/>
        <w:spacing w:after="0" w:line="293" w:lineRule="auto"/>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Purchase and Sale Agreement, dated as of December 6, 2019, by and between Clearway</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Energy Operating LLC and GIP III Zephyr Carlsbad Holdings, LLC.</w:t>
        </w:r>
      </w:hyperlink>
    </w:p>
    <w:p>
      <w:pPr>
        <w:spacing w:after="0" w:line="200" w:lineRule="exact"/>
        <w:rPr>
          <w:sz w:val="20"/>
          <w:szCs w:val="20"/>
          <w:color w:val="auto"/>
        </w:rPr>
      </w:pP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Certificate of Formation of NRG Yield Operating LLC.</w:t>
        </w:r>
      </w:hyperlink>
    </w:p>
    <w:p>
      <w:pPr>
        <w:spacing w:after="0" w:line="200" w:lineRule="exact"/>
        <w:rPr>
          <w:sz w:val="20"/>
          <w:szCs w:val="20"/>
          <w:color w:val="auto"/>
        </w:rPr>
      </w:pPr>
    </w:p>
    <w:p>
      <w:pPr>
        <w:spacing w:after="0" w:line="359" w:lineRule="exact"/>
        <w:rPr>
          <w:sz w:val="20"/>
          <w:szCs w:val="20"/>
          <w:color w:val="auto"/>
        </w:rPr>
      </w:pPr>
    </w:p>
    <w:p>
      <w:pPr>
        <w:spacing w:after="0"/>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Certificate of Amendment of Certificate of Formation of NRG Yield Operating LLC.</w:t>
        </w:r>
      </w:hyperlink>
    </w:p>
    <w:p>
      <w:pPr>
        <w:spacing w:after="0" w:line="200" w:lineRule="exact"/>
        <w:rPr>
          <w:sz w:val="20"/>
          <w:szCs w:val="20"/>
          <w:color w:val="auto"/>
        </w:rPr>
      </w:pPr>
    </w:p>
    <w:p>
      <w:pPr>
        <w:spacing w:after="0" w:line="359" w:lineRule="exact"/>
        <w:rPr>
          <w:sz w:val="20"/>
          <w:szCs w:val="20"/>
          <w:color w:val="auto"/>
        </w:rPr>
      </w:pPr>
    </w:p>
    <w:p>
      <w:pPr>
        <w:spacing w:after="0" w:line="293" w:lineRule="auto"/>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Third Amended and Restated Limited Liability Company Agreement of Clearway Energy</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Operating LLC.</w:t>
        </w:r>
      </w:hyperlink>
    </w:p>
    <w:p>
      <w:pPr>
        <w:spacing w:after="0" w:line="172" w:lineRule="exact"/>
        <w:rPr>
          <w:sz w:val="20"/>
          <w:szCs w:val="20"/>
          <w:color w:val="auto"/>
        </w:rPr>
      </w:pPr>
    </w:p>
    <w:p>
      <w:pPr>
        <w:spacing w:after="0"/>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Certificate of Formation of NRG Yield LLC.</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Certificate of Amendment of Certificate of Formation of NRG Yield LLC.</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260"/>
        <w:spacing w:after="0" w:line="278" w:lineRule="auto"/>
        <w:rPr>
          <w:sz w:val="20"/>
          <w:szCs w:val="20"/>
          <w:color w:val="auto"/>
        </w:rPr>
      </w:pPr>
      <w:r>
        <w:rPr>
          <w:rFonts w:ascii="Arial" w:cs="Arial" w:eastAsia="Arial" w:hAnsi="Arial"/>
          <w:sz w:val="16"/>
          <w:szCs w:val="16"/>
          <w:color w:val="auto"/>
        </w:rPr>
        <w:t>Incorporated herein by reference to Exhibit 2.10 to Clearway Energy, Inc.'s Annual Report on Form 10-K filed on March 1, 2018.</w:t>
      </w:r>
    </w:p>
    <w:p>
      <w:pPr>
        <w:spacing w:after="0" w:line="184" w:lineRule="exact"/>
        <w:rPr>
          <w:sz w:val="20"/>
          <w:szCs w:val="20"/>
          <w:color w:val="auto"/>
        </w:rPr>
      </w:pPr>
    </w:p>
    <w:p>
      <w:pPr>
        <w:ind w:right="20"/>
        <w:spacing w:after="0" w:line="369" w:lineRule="auto"/>
        <w:rPr>
          <w:sz w:val="20"/>
          <w:szCs w:val="20"/>
          <w:color w:val="auto"/>
        </w:rPr>
      </w:pPr>
      <w:r>
        <w:rPr>
          <w:rFonts w:ascii="Arial" w:cs="Arial" w:eastAsia="Arial" w:hAnsi="Arial"/>
          <w:sz w:val="14"/>
          <w:szCs w:val="14"/>
          <w:color w:val="auto"/>
        </w:rPr>
        <w:t>Incorporated herein by reference to Exhibit 2.1 to the Registrant's Current Report on Form 8-K, filed on December 9, 2019.</w:t>
      </w:r>
    </w:p>
    <w:p>
      <w:pPr>
        <w:spacing w:after="0" w:line="200" w:lineRule="exact"/>
        <w:rPr>
          <w:sz w:val="20"/>
          <w:szCs w:val="20"/>
          <w:color w:val="auto"/>
        </w:rPr>
      </w:pPr>
    </w:p>
    <w:p>
      <w:pPr>
        <w:spacing w:after="0" w:line="21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3.01(a) to the Company's Registration Statement on Form S-4 filed on April 13, 2015.</w:t>
      </w:r>
    </w:p>
    <w:p>
      <w:pPr>
        <w:spacing w:after="0" w:line="10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3.01(b) to the Company's Registration Statement on Form S-4 filed on April 13, 2015.</w:t>
      </w:r>
    </w:p>
    <w:p>
      <w:pPr>
        <w:spacing w:after="0" w:line="184" w:lineRule="exact"/>
        <w:rPr>
          <w:sz w:val="20"/>
          <w:szCs w:val="20"/>
          <w:color w:val="auto"/>
        </w:rPr>
      </w:pPr>
    </w:p>
    <w:p>
      <w:pPr>
        <w:ind w:right="20"/>
        <w:spacing w:after="0" w:line="369" w:lineRule="auto"/>
        <w:rPr>
          <w:sz w:val="20"/>
          <w:szCs w:val="20"/>
          <w:color w:val="auto"/>
        </w:rPr>
      </w:pPr>
      <w:r>
        <w:rPr>
          <w:rFonts w:ascii="Arial" w:cs="Arial" w:eastAsia="Arial" w:hAnsi="Arial"/>
          <w:sz w:val="14"/>
          <w:szCs w:val="14"/>
          <w:color w:val="auto"/>
        </w:rPr>
        <w:t>Incorporated herein by reference to Exhibit 3.3. to the Company's Annual Report on Form 10-K filed on February 28, 2019.</w:t>
      </w:r>
    </w:p>
    <w:p>
      <w:pPr>
        <w:spacing w:after="0" w:line="12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3.03(a) to the Company's Registration Statement on Form S-4 filed on April 13, 2015.</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3.03(b) to the Company's Registration Statement on Form S-4 filed on April 13, 2015.</w:t>
      </w:r>
    </w:p>
    <w:p>
      <w:pPr>
        <w:spacing w:after="0" w:line="103" w:lineRule="exact"/>
        <w:rPr>
          <w:sz w:val="20"/>
          <w:szCs w:val="20"/>
          <w:color w:val="auto"/>
        </w:rPr>
      </w:pPr>
    </w:p>
    <w:p>
      <w:pPr>
        <w:sectPr>
          <w:pgSz w:w="11900" w:h="16838" w:orient="portrait"/>
          <w:cols w:equalWidth="0" w:num="3">
            <w:col w:w="360" w:space="680"/>
            <w:col w:w="5820" w:space="220"/>
            <w:col w:w="4260"/>
          </w:cols>
          <w:pgMar w:left="280" w:top="905" w:right="279" w:bottom="1440" w:gutter="0" w:footer="0" w:header="0"/>
          <w:type w:val="continuous"/>
        </w:sectPr>
      </w:pPr>
    </w:p>
    <w:p>
      <w:pP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760" w:type="dxa"/>
            <w:vAlign w:val="bottom"/>
            <w:gridSpan w:val="4"/>
          </w:tcPr>
          <w:p>
            <w:pPr>
              <w:spacing w:after="0"/>
              <w:rPr>
                <w:rFonts w:ascii="Arial" w:cs="Arial" w:eastAsia="Arial" w:hAnsi="Arial"/>
                <w:sz w:val="16"/>
                <w:szCs w:val="16"/>
                <w:color w:val="0000FF"/>
                <w:w w:val="97"/>
              </w:rPr>
            </w:pPr>
            <w:hyperlink r:id="rId103">
              <w:r>
                <w:rPr>
                  <w:rFonts w:ascii="Arial" w:cs="Arial" w:eastAsia="Arial" w:hAnsi="Arial"/>
                  <w:sz w:val="16"/>
                  <w:szCs w:val="16"/>
                  <w:color w:val="0000FF"/>
                  <w:w w:val="97"/>
                </w:rPr>
                <w:t>Fourth Amended and Restated Limited Liability Company Agreement of NRG Yield</w:t>
              </w:r>
            </w:hyperlink>
          </w:p>
        </w:tc>
        <w:tc>
          <w:tcPr>
            <w:tcW w:w="4480" w:type="dxa"/>
            <w:vAlign w:val="bottom"/>
          </w:tcPr>
          <w:p>
            <w:pPr>
              <w:ind w:left="280"/>
              <w:spacing w:after="0"/>
              <w:rPr>
                <w:sz w:val="20"/>
                <w:szCs w:val="20"/>
                <w:color w:val="auto"/>
              </w:rPr>
            </w:pPr>
            <w:r>
              <w:rPr>
                <w:rFonts w:ascii="Arial" w:cs="Arial" w:eastAsia="Arial" w:hAnsi="Arial"/>
                <w:sz w:val="16"/>
                <w:szCs w:val="16"/>
                <w:color w:val="auto"/>
                <w:w w:val="97"/>
              </w:rPr>
              <w:t>Incorporated herein by reference to Exhibit 10.6 to Clearway</w:t>
            </w:r>
          </w:p>
        </w:tc>
      </w:tr>
      <w:tr>
        <w:trPr>
          <w:trHeight w:val="183"/>
        </w:trPr>
        <w:tc>
          <w:tcPr>
            <w:tcW w:w="5500" w:type="dxa"/>
            <w:vAlign w:val="bottom"/>
            <w:tcBorders>
              <w:top w:val="single" w:sz="8" w:color="0000FF"/>
            </w:tcBorders>
            <w:gridSpan w:val="3"/>
          </w:tcPr>
          <w:p>
            <w:pPr>
              <w:spacing w:after="0" w:line="183" w:lineRule="exact"/>
              <w:rPr>
                <w:rFonts w:ascii="Arial" w:cs="Arial" w:eastAsia="Arial" w:hAnsi="Arial"/>
                <w:sz w:val="16"/>
                <w:szCs w:val="16"/>
                <w:color w:val="0000FF"/>
                <w:w w:val="97"/>
              </w:rPr>
            </w:pPr>
            <w:hyperlink r:id="rId103">
              <w:r>
                <w:rPr>
                  <w:rFonts w:ascii="Arial" w:cs="Arial" w:eastAsia="Arial" w:hAnsi="Arial"/>
                  <w:sz w:val="16"/>
                  <w:szCs w:val="16"/>
                  <w:color w:val="0000FF"/>
                  <w:w w:val="97"/>
                </w:rPr>
                <w:t>LLC, dated as of August 31, 2018, by and between NRG Yield, Inc. and Zephyr</w:t>
              </w:r>
            </w:hyperlink>
          </w:p>
        </w:tc>
        <w:tc>
          <w:tcPr>
            <w:tcW w:w="260" w:type="dxa"/>
            <w:vAlign w:val="bottom"/>
          </w:tcPr>
          <w:p>
            <w:pPr>
              <w:spacing w:after="0"/>
              <w:rPr>
                <w:sz w:val="15"/>
                <w:szCs w:val="15"/>
                <w:color w:val="auto"/>
              </w:rPr>
            </w:pPr>
          </w:p>
        </w:tc>
        <w:tc>
          <w:tcPr>
            <w:tcW w:w="4480" w:type="dxa"/>
            <w:vAlign w:val="bottom"/>
          </w:tcPr>
          <w:p>
            <w:pPr>
              <w:ind w:left="280"/>
              <w:spacing w:after="0" w:line="183" w:lineRule="exact"/>
              <w:rPr>
                <w:sz w:val="20"/>
                <w:szCs w:val="20"/>
                <w:color w:val="auto"/>
              </w:rPr>
            </w:pPr>
            <w:r>
              <w:rPr>
                <w:rFonts w:ascii="Arial" w:cs="Arial" w:eastAsia="Arial" w:hAnsi="Arial"/>
                <w:sz w:val="16"/>
                <w:szCs w:val="16"/>
                <w:color w:val="auto"/>
                <w:w w:val="91"/>
              </w:rPr>
              <w:t>Energy, Inc.'s Current Report on Form 8-K filed on September 5,</w:t>
            </w:r>
          </w:p>
        </w:tc>
      </w:tr>
      <w:tr>
        <w:trPr>
          <w:trHeight w:val="183"/>
        </w:trPr>
        <w:tc>
          <w:tcPr>
            <w:tcW w:w="5180" w:type="dxa"/>
            <w:vAlign w:val="bottom"/>
            <w:tcBorders>
              <w:top w:val="single" w:sz="8" w:color="0000FF"/>
            </w:tcBorders>
            <w:gridSpan w:val="2"/>
          </w:tcPr>
          <w:p>
            <w:pPr>
              <w:spacing w:after="0" w:line="183" w:lineRule="exact"/>
              <w:rPr>
                <w:rFonts w:ascii="Arial" w:cs="Arial" w:eastAsia="Arial" w:hAnsi="Arial"/>
                <w:sz w:val="16"/>
                <w:szCs w:val="16"/>
                <w:color w:val="0000FF"/>
              </w:rPr>
            </w:pPr>
            <w:hyperlink r:id="rId103">
              <w:r>
                <w:rPr>
                  <w:rFonts w:ascii="Arial" w:cs="Arial" w:eastAsia="Arial" w:hAnsi="Arial"/>
                  <w:sz w:val="16"/>
                  <w:szCs w:val="16"/>
                  <w:color w:val="0000FF"/>
                </w:rPr>
                <w:t>Renewables LLC.</w:t>
              </w:r>
            </w:hyperlink>
          </w:p>
        </w:tc>
        <w:tc>
          <w:tcPr>
            <w:tcW w:w="580" w:type="dxa"/>
            <w:vAlign w:val="bottom"/>
            <w:gridSpan w:val="2"/>
          </w:tcPr>
          <w:p>
            <w:pPr>
              <w:spacing w:after="0"/>
              <w:rPr>
                <w:sz w:val="15"/>
                <w:szCs w:val="15"/>
                <w:color w:val="auto"/>
              </w:rPr>
            </w:pPr>
          </w:p>
        </w:tc>
        <w:tc>
          <w:tcPr>
            <w:tcW w:w="4480" w:type="dxa"/>
            <w:vAlign w:val="bottom"/>
          </w:tcPr>
          <w:p>
            <w:pPr>
              <w:ind w:left="280"/>
              <w:spacing w:after="0" w:line="183" w:lineRule="exact"/>
              <w:rPr>
                <w:sz w:val="20"/>
                <w:szCs w:val="20"/>
                <w:color w:val="auto"/>
              </w:rPr>
            </w:pPr>
            <w:r>
              <w:rPr>
                <w:rFonts w:ascii="Arial" w:cs="Arial" w:eastAsia="Arial" w:hAnsi="Arial"/>
                <w:sz w:val="16"/>
                <w:szCs w:val="16"/>
                <w:color w:val="auto"/>
              </w:rPr>
              <w:t>2018.</w:t>
            </w:r>
          </w:p>
        </w:tc>
      </w:tr>
      <w:tr>
        <w:trPr>
          <w:trHeight w:val="20"/>
        </w:trPr>
        <w:tc>
          <w:tcPr>
            <w:tcW w:w="1160" w:type="dxa"/>
            <w:vAlign w:val="bottom"/>
            <w:shd w:val="clear" w:color="auto" w:fill="0000FF"/>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20" w:space="720"/>
            <w:col w:w="10300"/>
          </w:cols>
          <w:pgMar w:left="280" w:top="905" w:right="279" w:bottom="1440" w:gutter="0" w:footer="0" w:header="0"/>
          <w:type w:val="continuous"/>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1340"/>
          </w:cols>
          <w:pgMar w:left="280" w:top="905" w:right="27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4"/>
          <w:szCs w:val="14"/>
          <w:color w:val="auto"/>
        </w:rPr>
        <w:t>4.1</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br w:type="column"/>
      </w:r>
    </w:p>
    <w:p>
      <w:pPr>
        <w:ind w:right="140"/>
        <w:spacing w:after="0" w:line="293" w:lineRule="auto"/>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Indenture, dated August 5, 2014, among NRG Yield Operating LLC, the guarantors</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named therein and Law Debenture Trust Company of New York.</w:t>
        </w:r>
      </w:hyperlink>
    </w:p>
    <w:p>
      <w:pPr>
        <w:spacing w:after="0" w:line="213" w:lineRule="exact"/>
        <w:rPr>
          <w:sz w:val="20"/>
          <w:szCs w:val="20"/>
          <w:color w:val="auto"/>
        </w:rPr>
      </w:pPr>
    </w:p>
    <w:p>
      <w:pPr>
        <w:spacing w:after="0"/>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Form of 5.375% Senior Note due 2024.</w:t>
        </w:r>
      </w:hyperlink>
    </w:p>
    <w:p>
      <w:pPr>
        <w:spacing w:after="0" w:line="200" w:lineRule="exact"/>
        <w:rPr>
          <w:sz w:val="20"/>
          <w:szCs w:val="20"/>
          <w:color w:val="auto"/>
        </w:rPr>
      </w:pPr>
    </w:p>
    <w:p>
      <w:pPr>
        <w:spacing w:after="0" w:line="359" w:lineRule="exact"/>
        <w:rPr>
          <w:sz w:val="20"/>
          <w:szCs w:val="20"/>
          <w:color w:val="auto"/>
        </w:rPr>
      </w:pPr>
    </w:p>
    <w:p>
      <w:pPr>
        <w:jc w:val="both"/>
        <w:ind w:right="280"/>
        <w:spacing w:after="0" w:line="278" w:lineRule="auto"/>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Registration Rights Agreement, dated October 1, 2018, among Clearway Energy</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Operating LLC, the guarantors named therein and RBC Capital Markets, LLC, as</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representative of the initial purchasers.</w:t>
        </w:r>
      </w:hyperlink>
    </w:p>
    <w:p>
      <w:pPr>
        <w:spacing w:after="0" w:line="306" w:lineRule="exact"/>
        <w:rPr>
          <w:rFonts w:ascii="Arial" w:cs="Arial" w:eastAsia="Arial" w:hAnsi="Arial"/>
          <w:sz w:val="16"/>
          <w:szCs w:val="16"/>
          <w:u w:val="single" w:color="auto"/>
          <w:color w:val="0000FF"/>
        </w:rPr>
      </w:pPr>
    </w:p>
    <w:p>
      <w:pPr>
        <w:jc w:val="both"/>
        <w:spacing w:after="0" w:line="369" w:lineRule="auto"/>
        <w:rPr>
          <w:rFonts w:ascii="Arial" w:cs="Arial" w:eastAsia="Arial" w:hAnsi="Arial"/>
          <w:sz w:val="14"/>
          <w:szCs w:val="14"/>
          <w:u w:val="single" w:color="auto"/>
          <w:color w:val="0000FF"/>
        </w:rPr>
      </w:pPr>
      <w:hyperlink r:id="rId106">
        <w:r>
          <w:rPr>
            <w:rFonts w:ascii="Arial" w:cs="Arial" w:eastAsia="Arial" w:hAnsi="Arial"/>
            <w:sz w:val="14"/>
            <w:szCs w:val="14"/>
            <w:u w:val="single" w:color="auto"/>
            <w:color w:val="0000FF"/>
          </w:rPr>
          <w:t>Supplemental Indenture, dated as of November 7, 2014, among NRG Yield Operating</w:t>
        </w:r>
      </w:hyperlink>
      <w:r>
        <w:rPr>
          <w:rFonts w:ascii="Arial" w:cs="Arial" w:eastAsia="Arial" w:hAnsi="Arial"/>
          <w:sz w:val="14"/>
          <w:szCs w:val="14"/>
          <w:u w:val="single" w:color="auto"/>
          <w:color w:val="0000FF"/>
        </w:rPr>
        <w:t xml:space="preserve"> </w:t>
      </w:r>
      <w:hyperlink r:id="rId106">
        <w:r>
          <w:rPr>
            <w:rFonts w:ascii="Arial" w:cs="Arial" w:eastAsia="Arial" w:hAnsi="Arial"/>
            <w:sz w:val="14"/>
            <w:szCs w:val="14"/>
            <w:u w:val="single" w:color="auto"/>
            <w:color w:val="0000FF"/>
          </w:rPr>
          <w:t>LLC, the guarantors named therein and Law Debenture Trust Company of New York.</w:t>
        </w:r>
      </w:hyperlink>
    </w:p>
    <w:p>
      <w:pPr>
        <w:spacing w:after="0" w:line="167" w:lineRule="exact"/>
        <w:rPr>
          <w:sz w:val="20"/>
          <w:szCs w:val="20"/>
          <w:color w:val="auto"/>
        </w:rPr>
      </w:pPr>
    </w:p>
    <w:p>
      <w:pPr>
        <w:jc w:val="both"/>
        <w:spacing w:after="0" w:line="369" w:lineRule="auto"/>
        <w:rPr>
          <w:rFonts w:ascii="Arial" w:cs="Arial" w:eastAsia="Arial" w:hAnsi="Arial"/>
          <w:sz w:val="14"/>
          <w:szCs w:val="14"/>
          <w:u w:val="single" w:color="auto"/>
          <w:color w:val="0000FF"/>
        </w:rPr>
      </w:pPr>
      <w:hyperlink r:id="rId107">
        <w:r>
          <w:rPr>
            <w:rFonts w:ascii="Arial" w:cs="Arial" w:eastAsia="Arial" w:hAnsi="Arial"/>
            <w:sz w:val="14"/>
            <w:szCs w:val="14"/>
            <w:u w:val="single" w:color="auto"/>
            <w:color w:val="0000FF"/>
          </w:rPr>
          <w:t>Supplemental Indenture, dated as of February 25, 2015, among NRG Yield Operating</w:t>
        </w:r>
      </w:hyperlink>
      <w:r>
        <w:rPr>
          <w:rFonts w:ascii="Arial" w:cs="Arial" w:eastAsia="Arial" w:hAnsi="Arial"/>
          <w:sz w:val="14"/>
          <w:szCs w:val="14"/>
          <w:u w:val="single" w:color="auto"/>
          <w:color w:val="0000FF"/>
        </w:rPr>
        <w:t xml:space="preserve"> </w:t>
      </w:r>
      <w:hyperlink r:id="rId107">
        <w:r>
          <w:rPr>
            <w:rFonts w:ascii="Arial" w:cs="Arial" w:eastAsia="Arial" w:hAnsi="Arial"/>
            <w:sz w:val="14"/>
            <w:szCs w:val="14"/>
            <w:u w:val="single" w:color="auto"/>
            <w:color w:val="0000FF"/>
          </w:rPr>
          <w:t>LLC, the guarantors named therein and Law Debenture Trust Company of New York.</w:t>
        </w:r>
      </w:hyperlink>
    </w:p>
    <w:p>
      <w:pPr>
        <w:spacing w:after="0" w:line="20" w:lineRule="exact"/>
        <w:rPr>
          <w:sz w:val="20"/>
          <w:szCs w:val="20"/>
          <w:color w:val="auto"/>
        </w:rPr>
      </w:pPr>
      <w:r>
        <w:rPr>
          <w:sz w:val="20"/>
          <w:szCs w:val="20"/>
          <w:color w:val="auto"/>
        </w:rPr>
        <w:br w:type="column"/>
      </w:r>
    </w:p>
    <w:p>
      <w:pPr>
        <w:ind w:right="280"/>
        <w:spacing w:after="0" w:line="278"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August 5, 2014.</w:t>
      </w:r>
    </w:p>
    <w:p>
      <w:pPr>
        <w:spacing w:after="0" w:line="22"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Incorporated herein by reference to Exhibit 4.2 to Clearway Energy, Inc.'s Current Report on Form 8-K filed on August 5, 2014.</w:t>
      </w:r>
    </w:p>
    <w:p>
      <w:pPr>
        <w:spacing w:after="0" w:line="103" w:lineRule="exact"/>
        <w:rPr>
          <w:sz w:val="20"/>
          <w:szCs w:val="20"/>
          <w:color w:val="auto"/>
        </w:rPr>
      </w:pPr>
    </w:p>
    <w:p>
      <w:pPr>
        <w:ind w:right="60"/>
        <w:spacing w:after="0" w:line="369" w:lineRule="auto"/>
        <w:rPr>
          <w:sz w:val="20"/>
          <w:szCs w:val="20"/>
          <w:color w:val="auto"/>
        </w:rPr>
      </w:pPr>
      <w:r>
        <w:rPr>
          <w:rFonts w:ascii="Arial" w:cs="Arial" w:eastAsia="Arial" w:hAnsi="Arial"/>
          <w:sz w:val="14"/>
          <w:szCs w:val="14"/>
          <w:color w:val="auto"/>
        </w:rPr>
        <w:t>Incorporated herein by reference to Exhibit 4.3 to the Company's Current Report on Form 8-K filed on October 2, 2018.</w:t>
      </w:r>
    </w:p>
    <w:p>
      <w:pPr>
        <w:spacing w:after="0" w:line="200" w:lineRule="exact"/>
        <w:rPr>
          <w:sz w:val="20"/>
          <w:szCs w:val="20"/>
          <w:color w:val="auto"/>
        </w:rPr>
      </w:pPr>
    </w:p>
    <w:p>
      <w:pPr>
        <w:spacing w:after="0" w:line="250"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November 13, 2014.</w:t>
      </w:r>
    </w:p>
    <w:p>
      <w:pPr>
        <w:spacing w:after="0" w:line="103"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February 27, 2015.</w:t>
      </w:r>
    </w:p>
    <w:p>
      <w:pPr>
        <w:spacing w:after="0" w:line="103" w:lineRule="exact"/>
        <w:rPr>
          <w:sz w:val="20"/>
          <w:szCs w:val="20"/>
          <w:color w:val="auto"/>
        </w:rPr>
      </w:pPr>
    </w:p>
    <w:p>
      <w:pPr>
        <w:sectPr>
          <w:pgSz w:w="11900" w:h="16838" w:orient="portrait"/>
          <w:cols w:equalWidth="0" w:num="3">
            <w:col w:w="320" w:space="720"/>
            <w:col w:w="5560" w:space="480"/>
            <w:col w:w="4260"/>
          </w:cols>
          <w:pgMar w:left="280" w:top="1075" w:right="279" w:bottom="1005" w:gutter="0" w:footer="0" w:header="0"/>
        </w:sectPr>
      </w:pPr>
    </w:p>
    <w:p>
      <w:pPr>
        <w:spacing w:after="0"/>
        <w:rPr>
          <w:sz w:val="20"/>
          <w:szCs w:val="20"/>
          <w:color w:val="auto"/>
        </w:rPr>
      </w:pPr>
      <w:r>
        <w:rPr>
          <w:rFonts w:ascii="Arial" w:cs="Arial" w:eastAsia="Arial" w:hAnsi="Arial"/>
          <w:sz w:val="14"/>
          <w:szCs w:val="14"/>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0"/>
        <w:spacing w:after="0" w:line="278" w:lineRule="auto"/>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Third Supplemental Indenture, dated as of April 10, 2015, among NRG Yield Operating</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LLC, NRG Yield LLC, the other guarantors named therein and Law Debenture Trust</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Company of New York.</w:t>
        </w:r>
      </w:hyperlink>
    </w:p>
    <w:p>
      <w:pPr>
        <w:spacing w:after="0" w:line="184" w:lineRule="exact"/>
        <w:rPr>
          <w:rFonts w:ascii="Arial" w:cs="Arial" w:eastAsia="Arial" w:hAnsi="Arial"/>
          <w:sz w:val="16"/>
          <w:szCs w:val="16"/>
          <w:u w:val="single" w:color="auto"/>
          <w:color w:val="0000FF"/>
        </w:rPr>
      </w:pPr>
    </w:p>
    <w:p>
      <w:pPr>
        <w:ind w:right="120"/>
        <w:spacing w:after="0" w:line="369" w:lineRule="auto"/>
        <w:rPr>
          <w:rFonts w:ascii="Arial" w:cs="Arial" w:eastAsia="Arial" w:hAnsi="Arial"/>
          <w:sz w:val="14"/>
          <w:szCs w:val="14"/>
          <w:u w:val="single" w:color="auto"/>
          <w:color w:val="0000FF"/>
        </w:rPr>
      </w:pPr>
      <w:hyperlink r:id="rId109">
        <w:r>
          <w:rPr>
            <w:rFonts w:ascii="Arial" w:cs="Arial" w:eastAsia="Arial" w:hAnsi="Arial"/>
            <w:sz w:val="14"/>
            <w:szCs w:val="14"/>
            <w:u w:val="single" w:color="auto"/>
            <w:color w:val="0000FF"/>
          </w:rPr>
          <w:t>Fourth Supplemental Indenture, dated as of May 8, 2015, among NRG Yield Operating</w:t>
        </w:r>
      </w:hyperlink>
      <w:r>
        <w:rPr>
          <w:rFonts w:ascii="Arial" w:cs="Arial" w:eastAsia="Arial" w:hAnsi="Arial"/>
          <w:sz w:val="14"/>
          <w:szCs w:val="14"/>
          <w:u w:val="single" w:color="auto"/>
          <w:color w:val="0000FF"/>
        </w:rPr>
        <w:t xml:space="preserve"> </w:t>
      </w:r>
      <w:hyperlink r:id="rId109">
        <w:r>
          <w:rPr>
            <w:rFonts w:ascii="Arial" w:cs="Arial" w:eastAsia="Arial" w:hAnsi="Arial"/>
            <w:sz w:val="14"/>
            <w:szCs w:val="14"/>
            <w:u w:val="single" w:color="auto"/>
            <w:color w:val="0000FF"/>
          </w:rPr>
          <w:t>LLC, the guarantors named therein and Law Debenture Trust Company of New York.</w:t>
        </w:r>
      </w:hyperlink>
    </w:p>
    <w:p>
      <w:pPr>
        <w:spacing w:after="0" w:line="126" w:lineRule="exact"/>
        <w:rPr>
          <w:sz w:val="20"/>
          <w:szCs w:val="20"/>
          <w:color w:val="auto"/>
        </w:rPr>
      </w:pPr>
    </w:p>
    <w:p>
      <w:pPr>
        <w:jc w:val="both"/>
        <w:spacing w:after="0" w:line="369" w:lineRule="auto"/>
        <w:rPr>
          <w:rFonts w:ascii="Arial" w:cs="Arial" w:eastAsia="Arial" w:hAnsi="Arial"/>
          <w:sz w:val="14"/>
          <w:szCs w:val="14"/>
          <w:u w:val="single" w:color="auto"/>
          <w:color w:val="0000FF"/>
        </w:rPr>
      </w:pPr>
      <w:hyperlink r:id="rId110">
        <w:r>
          <w:rPr>
            <w:rFonts w:ascii="Arial" w:cs="Arial" w:eastAsia="Arial" w:hAnsi="Arial"/>
            <w:sz w:val="14"/>
            <w:szCs w:val="14"/>
            <w:u w:val="single" w:color="auto"/>
            <w:color w:val="0000FF"/>
          </w:rPr>
          <w:t>Indenture, dated June 29, 2015, among NRG Yield, Inc., NRG Yield Operating LLC and</w:t>
        </w:r>
      </w:hyperlink>
      <w:r>
        <w:rPr>
          <w:rFonts w:ascii="Arial" w:cs="Arial" w:eastAsia="Arial" w:hAnsi="Arial"/>
          <w:sz w:val="14"/>
          <w:szCs w:val="14"/>
          <w:u w:val="single" w:color="auto"/>
          <w:color w:val="0000FF"/>
        </w:rPr>
        <w:t xml:space="preserve"> </w:t>
      </w:r>
      <w:hyperlink r:id="rId110">
        <w:r>
          <w:rPr>
            <w:rFonts w:ascii="Arial" w:cs="Arial" w:eastAsia="Arial" w:hAnsi="Arial"/>
            <w:sz w:val="14"/>
            <w:szCs w:val="14"/>
            <w:u w:val="single" w:color="auto"/>
            <w:color w:val="0000FF"/>
          </w:rPr>
          <w:t>NRG Yield LLC, as Guarantors, and Wilmington Trust, National Association, as Trustee.</w:t>
        </w:r>
      </w:hyperlink>
    </w:p>
    <w:p>
      <w:pPr>
        <w:spacing w:after="0" w:line="329" w:lineRule="exact"/>
        <w:rPr>
          <w:sz w:val="20"/>
          <w:szCs w:val="20"/>
          <w:color w:val="auto"/>
        </w:rPr>
      </w:pPr>
    </w:p>
    <w:p>
      <w:pPr>
        <w:spacing w:after="0"/>
        <w:rPr>
          <w:rFonts w:ascii="Arial" w:cs="Arial" w:eastAsia="Arial" w:hAnsi="Arial"/>
          <w:sz w:val="16"/>
          <w:szCs w:val="16"/>
          <w:u w:val="single" w:color="auto"/>
          <w:color w:val="0000FF"/>
        </w:rPr>
      </w:pPr>
      <w:hyperlink r:id="rId110">
        <w:r>
          <w:rPr>
            <w:rFonts w:ascii="Arial" w:cs="Arial" w:eastAsia="Arial" w:hAnsi="Arial"/>
            <w:sz w:val="16"/>
            <w:szCs w:val="16"/>
            <w:u w:val="single" w:color="auto"/>
            <w:color w:val="0000FF"/>
          </w:rPr>
          <w:t>Form of 3.25% Convertible Senior Note due 2020.</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4.07 to the Company's Registration Statement on Form S-4 filed on April 13, 2015.</w:t>
      </w:r>
    </w:p>
    <w:p>
      <w:pPr>
        <w:spacing w:after="0" w:line="184"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Clearway Energy, Inc.'s Current Report on Form 8-K filed on May 8, 2015.</w:t>
      </w:r>
    </w:p>
    <w:p>
      <w:pPr>
        <w:spacing w:after="0" w:line="126" w:lineRule="exact"/>
        <w:rPr>
          <w:sz w:val="20"/>
          <w:szCs w:val="20"/>
          <w:color w:val="auto"/>
        </w:rPr>
      </w:pPr>
    </w:p>
    <w:p>
      <w:pPr>
        <w:jc w:val="both"/>
        <w:ind w:right="360"/>
        <w:spacing w:after="0" w:line="278"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June 29, 2015.</w:t>
      </w:r>
    </w:p>
    <w:p>
      <w:pPr>
        <w:spacing w:after="0" w:line="1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Incorporated herein by reference to Exhibit 4.2 to Clearway Energy, Inc.'s Current Report on Form 8-K filed on June 29, 2015.</w:t>
      </w:r>
    </w:p>
    <w:p>
      <w:pPr>
        <w:spacing w:after="0" w:line="105" w:lineRule="exact"/>
        <w:rPr>
          <w:sz w:val="20"/>
          <w:szCs w:val="20"/>
          <w:color w:val="auto"/>
        </w:rPr>
      </w:pPr>
    </w:p>
    <w:p>
      <w:pPr>
        <w:sectPr>
          <w:pgSz w:w="11900" w:h="16838" w:orient="portrait"/>
          <w:cols w:equalWidth="0" w:num="3">
            <w:col w:w="320" w:space="720"/>
            <w:col w:w="5780" w:space="260"/>
            <w:col w:w="4260"/>
          </w:cols>
          <w:pgMar w:left="280" w:top="1075" w:right="279" w:bottom="1005" w:gutter="0" w:footer="0" w:header="0"/>
          <w:type w:val="continuous"/>
        </w:sectPr>
      </w:pPr>
    </w:p>
    <w:p>
      <w:pPr>
        <w:spacing w:after="0"/>
        <w:rPr>
          <w:sz w:val="20"/>
          <w:szCs w:val="20"/>
          <w:color w:val="auto"/>
        </w:rPr>
      </w:pPr>
      <w:r>
        <w:rPr>
          <w:rFonts w:ascii="Arial" w:cs="Arial" w:eastAsia="Arial" w:hAnsi="Arial"/>
          <w:sz w:val="14"/>
          <w:szCs w:val="14"/>
          <w:color w:val="auto"/>
        </w:rPr>
        <w:t>4.10</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4.11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4.12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4.13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4.17</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Borders>
              <w:bottom w:val="single" w:sz="8" w:color="0000FF"/>
            </w:tcBorders>
            <w:gridSpan w:val="6"/>
          </w:tcPr>
          <w:p>
            <w:pPr>
              <w:spacing w:after="0"/>
              <w:rPr>
                <w:rFonts w:ascii="Arial" w:cs="Arial" w:eastAsia="Arial" w:hAnsi="Arial"/>
                <w:sz w:val="16"/>
                <w:szCs w:val="16"/>
                <w:color w:val="0000FF"/>
                <w:w w:val="91"/>
              </w:rPr>
            </w:pPr>
            <w:hyperlink r:id="rId111">
              <w:r>
                <w:rPr>
                  <w:rFonts w:ascii="Arial" w:cs="Arial" w:eastAsia="Arial" w:hAnsi="Arial"/>
                  <w:sz w:val="16"/>
                  <w:szCs w:val="16"/>
                  <w:color w:val="0000FF"/>
                  <w:w w:val="91"/>
                </w:rPr>
                <w:t>Indenture, dated August 18, 2016, among NRG Yield Operating LLC, the guarantors</w:t>
              </w:r>
            </w:hyperlink>
          </w:p>
        </w:tc>
        <w:tc>
          <w:tcPr>
            <w:tcW w:w="440" w:type="dxa"/>
            <w:vAlign w:val="bottom"/>
            <w:gridSpan w:val="8"/>
          </w:tcPr>
          <w:p>
            <w:pPr>
              <w:spacing w:after="0"/>
              <w:rPr>
                <w:sz w:val="16"/>
                <w:szCs w:val="16"/>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4.1 to the Registrant's</w:t>
            </w:r>
          </w:p>
        </w:tc>
      </w:tr>
      <w:tr>
        <w:trPr>
          <w:trHeight w:val="183"/>
        </w:trPr>
        <w:tc>
          <w:tcPr>
            <w:tcW w:w="5940" w:type="dxa"/>
            <w:vAlign w:val="bottom"/>
            <w:gridSpan w:val="14"/>
          </w:tcPr>
          <w:p>
            <w:pPr>
              <w:spacing w:after="0" w:line="183" w:lineRule="exact"/>
              <w:rPr>
                <w:rFonts w:ascii="Arial" w:cs="Arial" w:eastAsia="Arial" w:hAnsi="Arial"/>
                <w:sz w:val="16"/>
                <w:szCs w:val="16"/>
                <w:color w:val="0000FF"/>
              </w:rPr>
            </w:pPr>
            <w:hyperlink r:id="rId111">
              <w:r>
                <w:rPr>
                  <w:rFonts w:ascii="Arial" w:cs="Arial" w:eastAsia="Arial" w:hAnsi="Arial"/>
                  <w:sz w:val="16"/>
                  <w:szCs w:val="16"/>
                  <w:color w:val="0000FF"/>
                </w:rPr>
                <w:t>named therein and Law Debenture Trust Company of New York.</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August 18, 2016.</w:t>
            </w:r>
          </w:p>
        </w:tc>
      </w:tr>
      <w:tr>
        <w:trPr>
          <w:trHeight w:val="399"/>
        </w:trPr>
        <w:tc>
          <w:tcPr>
            <w:tcW w:w="4200" w:type="dxa"/>
            <w:vAlign w:val="bottom"/>
            <w:tcBorders>
              <w:top w:val="single" w:sz="8" w:color="0000FF"/>
            </w:tcBorders>
            <w:gridSpan w:val="5"/>
          </w:tcPr>
          <w:p>
            <w:pPr>
              <w:spacing w:after="0"/>
              <w:rPr>
                <w:rFonts w:ascii="Arial" w:cs="Arial" w:eastAsia="Arial" w:hAnsi="Arial"/>
                <w:sz w:val="16"/>
                <w:szCs w:val="16"/>
                <w:color w:val="0000FF"/>
              </w:rPr>
            </w:pPr>
            <w:hyperlink r:id="rId111">
              <w:r>
                <w:rPr>
                  <w:rFonts w:ascii="Arial" w:cs="Arial" w:eastAsia="Arial" w:hAnsi="Arial"/>
                  <w:sz w:val="16"/>
                  <w:szCs w:val="16"/>
                  <w:color w:val="0000FF"/>
                </w:rPr>
                <w:t>Form of 5.000% Senior Note due 2026.</w:t>
              </w:r>
            </w:hyperlink>
          </w:p>
        </w:tc>
        <w:tc>
          <w:tcPr>
            <w:tcW w:w="1740" w:type="dxa"/>
            <w:vAlign w:val="bottom"/>
            <w:gridSpan w:val="9"/>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4.2 to the Registrant's</w:t>
            </w:r>
          </w:p>
        </w:tc>
      </w:tr>
      <w:tr>
        <w:trPr>
          <w:trHeight w:val="217"/>
        </w:trPr>
        <w:tc>
          <w:tcPr>
            <w:tcW w:w="1380" w:type="dxa"/>
            <w:vAlign w:val="bottom"/>
            <w:tcBorders>
              <w:top w:val="single" w:sz="8" w:color="0000FF"/>
            </w:tcBorders>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rPr>
              <w:t>Current Report on Form 8-K, filed on August 18, 2016.</w:t>
            </w:r>
          </w:p>
        </w:tc>
      </w:tr>
      <w:tr>
        <w:trPr>
          <w:trHeight w:val="384"/>
        </w:trPr>
        <w:tc>
          <w:tcPr>
            <w:tcW w:w="5940" w:type="dxa"/>
            <w:vAlign w:val="bottom"/>
            <w:gridSpan w:val="14"/>
          </w:tcPr>
          <w:p>
            <w:pPr>
              <w:spacing w:after="0"/>
              <w:rPr>
                <w:rFonts w:ascii="Arial" w:cs="Arial" w:eastAsia="Arial" w:hAnsi="Arial"/>
                <w:sz w:val="16"/>
                <w:szCs w:val="16"/>
                <w:color w:val="0000FF"/>
                <w:w w:val="98"/>
              </w:rPr>
            </w:pPr>
            <w:hyperlink r:id="rId112">
              <w:r>
                <w:rPr>
                  <w:rFonts w:ascii="Arial" w:cs="Arial" w:eastAsia="Arial" w:hAnsi="Arial"/>
                  <w:sz w:val="16"/>
                  <w:szCs w:val="16"/>
                  <w:color w:val="0000FF"/>
                  <w:w w:val="98"/>
                </w:rPr>
                <w:t>Registration Rights Agreement, dated August 18, 2016, among NRG Yield Operating</w:t>
              </w:r>
            </w:hyperlink>
          </w:p>
        </w:tc>
        <w:tc>
          <w:tcPr>
            <w:tcW w:w="434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4.3 to the Registrant's</w:t>
            </w:r>
          </w:p>
        </w:tc>
      </w:tr>
      <w:tr>
        <w:trPr>
          <w:trHeight w:val="20"/>
        </w:trPr>
        <w:tc>
          <w:tcPr>
            <w:tcW w:w="13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83"/>
        </w:trPr>
        <w:tc>
          <w:tcPr>
            <w:tcW w:w="5720" w:type="dxa"/>
            <w:vAlign w:val="bottom"/>
            <w:tcBorders>
              <w:bottom w:val="single" w:sz="8" w:color="0000FF"/>
            </w:tcBorders>
            <w:gridSpan w:val="9"/>
          </w:tcPr>
          <w:p>
            <w:pPr>
              <w:spacing w:after="0" w:line="183" w:lineRule="exact"/>
              <w:rPr>
                <w:rFonts w:ascii="Arial" w:cs="Arial" w:eastAsia="Arial" w:hAnsi="Arial"/>
                <w:sz w:val="16"/>
                <w:szCs w:val="16"/>
                <w:color w:val="0000FF"/>
                <w:w w:val="90"/>
              </w:rPr>
            </w:pPr>
            <w:hyperlink r:id="rId112">
              <w:r>
                <w:rPr>
                  <w:rFonts w:ascii="Arial" w:cs="Arial" w:eastAsia="Arial" w:hAnsi="Arial"/>
                  <w:sz w:val="16"/>
                  <w:szCs w:val="16"/>
                  <w:color w:val="0000FF"/>
                  <w:w w:val="90"/>
                </w:rPr>
                <w:t>LLC, the guarantors named therein and J.P. Morgan Securities LLC, as representative of</w:t>
              </w:r>
            </w:hyperlink>
          </w:p>
        </w:tc>
        <w:tc>
          <w:tcPr>
            <w:tcW w:w="220" w:type="dxa"/>
            <w:vAlign w:val="bottom"/>
            <w:gridSpan w:val="5"/>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August 18, 2016.</w:t>
            </w:r>
          </w:p>
        </w:tc>
      </w:tr>
      <w:tr>
        <w:trPr>
          <w:trHeight w:val="183"/>
        </w:trPr>
        <w:tc>
          <w:tcPr>
            <w:tcW w:w="5940" w:type="dxa"/>
            <w:vAlign w:val="bottom"/>
            <w:gridSpan w:val="14"/>
          </w:tcPr>
          <w:p>
            <w:pPr>
              <w:spacing w:after="0" w:line="183" w:lineRule="exact"/>
              <w:rPr>
                <w:rFonts w:ascii="Arial" w:cs="Arial" w:eastAsia="Arial" w:hAnsi="Arial"/>
                <w:sz w:val="16"/>
                <w:szCs w:val="16"/>
                <w:color w:val="0000FF"/>
              </w:rPr>
            </w:pPr>
            <w:hyperlink r:id="rId112">
              <w:r>
                <w:rPr>
                  <w:rFonts w:ascii="Arial" w:cs="Arial" w:eastAsia="Arial" w:hAnsi="Arial"/>
                  <w:sz w:val="16"/>
                  <w:szCs w:val="16"/>
                  <w:color w:val="0000FF"/>
                </w:rPr>
                <w:t>the initial purchasers.</w:t>
              </w:r>
            </w:hyperlink>
          </w:p>
        </w:tc>
        <w:tc>
          <w:tcPr>
            <w:tcW w:w="4340" w:type="dxa"/>
            <w:vAlign w:val="bottom"/>
          </w:tcPr>
          <w:p>
            <w:pPr>
              <w:spacing w:after="0"/>
              <w:rPr>
                <w:sz w:val="15"/>
                <w:szCs w:val="15"/>
                <w:color w:val="auto"/>
              </w:rPr>
            </w:pPr>
          </w:p>
        </w:tc>
      </w:tr>
      <w:tr>
        <w:trPr>
          <w:trHeight w:val="20"/>
        </w:trPr>
        <w:tc>
          <w:tcPr>
            <w:tcW w:w="138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99"/>
        </w:trPr>
        <w:tc>
          <w:tcPr>
            <w:tcW w:w="5940" w:type="dxa"/>
            <w:vAlign w:val="bottom"/>
            <w:gridSpan w:val="14"/>
          </w:tcPr>
          <w:p>
            <w:pPr>
              <w:spacing w:after="0"/>
              <w:rPr>
                <w:rFonts w:ascii="Arial" w:cs="Arial" w:eastAsia="Arial" w:hAnsi="Arial"/>
                <w:sz w:val="16"/>
                <w:szCs w:val="16"/>
                <w:color w:val="0000FF"/>
                <w:w w:val="93"/>
              </w:rPr>
            </w:pPr>
            <w:hyperlink r:id="rId113">
              <w:r>
                <w:rPr>
                  <w:rFonts w:ascii="Arial" w:cs="Arial" w:eastAsia="Arial" w:hAnsi="Arial"/>
                  <w:sz w:val="16"/>
                  <w:szCs w:val="16"/>
                  <w:color w:val="0000FF"/>
                  <w:w w:val="93"/>
                </w:rPr>
                <w:t>Fifth Supplemental Indenture, dated as of January 29, 2018, among NRG Yield Operating</w:t>
              </w:r>
            </w:hyperlink>
          </w:p>
        </w:tc>
        <w:tc>
          <w:tcPr>
            <w:tcW w:w="434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4.1 to the Registrant's</w:t>
            </w:r>
          </w:p>
        </w:tc>
      </w:tr>
      <w:tr>
        <w:trPr>
          <w:trHeight w:val="20"/>
        </w:trPr>
        <w:tc>
          <w:tcPr>
            <w:tcW w:w="3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83"/>
        </w:trPr>
        <w:tc>
          <w:tcPr>
            <w:tcW w:w="5940" w:type="dxa"/>
            <w:vAlign w:val="bottom"/>
            <w:gridSpan w:val="14"/>
          </w:tcPr>
          <w:p>
            <w:pPr>
              <w:spacing w:after="0" w:line="183" w:lineRule="exact"/>
              <w:rPr>
                <w:rFonts w:ascii="Arial" w:cs="Arial" w:eastAsia="Arial" w:hAnsi="Arial"/>
                <w:sz w:val="16"/>
                <w:szCs w:val="16"/>
                <w:color w:val="0000FF"/>
                <w:w w:val="92"/>
              </w:rPr>
            </w:pPr>
            <w:hyperlink r:id="rId113">
              <w:r>
                <w:rPr>
                  <w:rFonts w:ascii="Arial" w:cs="Arial" w:eastAsia="Arial" w:hAnsi="Arial"/>
                  <w:sz w:val="16"/>
                  <w:szCs w:val="16"/>
                  <w:color w:val="0000FF"/>
                  <w:w w:val="92"/>
                </w:rPr>
                <w:t>LLC, the guarantors named therein and Delaware Trust Company (as successor in interest</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January 31, 2018.</w:t>
            </w:r>
          </w:p>
        </w:tc>
      </w:tr>
      <w:tr>
        <w:trPr>
          <w:trHeight w:val="183"/>
        </w:trPr>
        <w:tc>
          <w:tcPr>
            <w:tcW w:w="5820" w:type="dxa"/>
            <w:vAlign w:val="bottom"/>
            <w:tcBorders>
              <w:top w:val="single" w:sz="8" w:color="0000FF"/>
            </w:tcBorders>
            <w:gridSpan w:val="11"/>
          </w:tcPr>
          <w:p>
            <w:pPr>
              <w:spacing w:after="0" w:line="183" w:lineRule="exact"/>
              <w:rPr>
                <w:rFonts w:ascii="Arial" w:cs="Arial" w:eastAsia="Arial" w:hAnsi="Arial"/>
                <w:sz w:val="16"/>
                <w:szCs w:val="16"/>
                <w:color w:val="0000FF"/>
              </w:rPr>
            </w:pPr>
            <w:hyperlink r:id="rId113">
              <w:r>
                <w:rPr>
                  <w:rFonts w:ascii="Arial" w:cs="Arial" w:eastAsia="Arial" w:hAnsi="Arial"/>
                  <w:sz w:val="16"/>
                  <w:szCs w:val="16"/>
                  <w:color w:val="0000FF"/>
                </w:rPr>
                <w:t>to Law Debenture Trust Company of New York).</w:t>
              </w:r>
            </w:hyperlink>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3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99"/>
        </w:trPr>
        <w:tc>
          <w:tcPr>
            <w:tcW w:w="5940" w:type="dxa"/>
            <w:vAlign w:val="bottom"/>
            <w:gridSpan w:val="14"/>
          </w:tcPr>
          <w:p>
            <w:pPr>
              <w:spacing w:after="0"/>
              <w:rPr>
                <w:rFonts w:ascii="Arial" w:cs="Arial" w:eastAsia="Arial" w:hAnsi="Arial"/>
                <w:sz w:val="16"/>
                <w:szCs w:val="16"/>
                <w:color w:val="0000FF"/>
                <w:w w:val="96"/>
              </w:rPr>
            </w:pPr>
            <w:hyperlink r:id="rId114">
              <w:r>
                <w:rPr>
                  <w:rFonts w:ascii="Arial" w:cs="Arial" w:eastAsia="Arial" w:hAnsi="Arial"/>
                  <w:sz w:val="16"/>
                  <w:szCs w:val="16"/>
                  <w:color w:val="0000FF"/>
                  <w:w w:val="96"/>
                </w:rPr>
                <w:t>Sixth Supplemental Indenture, dated as of June 12, 2018, among NRG Yield Operating</w:t>
              </w:r>
            </w:hyperlink>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4.1 to the Company's</w:t>
            </w:r>
          </w:p>
        </w:tc>
      </w:tr>
      <w:tr>
        <w:trPr>
          <w:trHeight w:val="20"/>
        </w:trPr>
        <w:tc>
          <w:tcPr>
            <w:tcW w:w="3020" w:type="dxa"/>
            <w:vAlign w:val="bottom"/>
            <w:gridSpan w:val="3"/>
            <w:shd w:val="clear" w:color="auto" w:fill="0000FF"/>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83"/>
        </w:trPr>
        <w:tc>
          <w:tcPr>
            <w:tcW w:w="5940" w:type="dxa"/>
            <w:vAlign w:val="bottom"/>
            <w:gridSpan w:val="14"/>
          </w:tcPr>
          <w:p>
            <w:pPr>
              <w:spacing w:after="0" w:line="183" w:lineRule="exact"/>
              <w:rPr>
                <w:rFonts w:ascii="Arial" w:cs="Arial" w:eastAsia="Arial" w:hAnsi="Arial"/>
                <w:sz w:val="16"/>
                <w:szCs w:val="16"/>
                <w:color w:val="0000FF"/>
                <w:w w:val="92"/>
              </w:rPr>
            </w:pPr>
            <w:hyperlink r:id="rId114">
              <w:r>
                <w:rPr>
                  <w:rFonts w:ascii="Arial" w:cs="Arial" w:eastAsia="Arial" w:hAnsi="Arial"/>
                  <w:sz w:val="16"/>
                  <w:szCs w:val="16"/>
                  <w:color w:val="0000FF"/>
                  <w:w w:val="92"/>
                </w:rPr>
                <w:t>LLC, the guarantors named therein and Delaware Trust Company (as successor in interest</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June 12, 2018.</w:t>
            </w:r>
          </w:p>
        </w:tc>
      </w:tr>
      <w:tr>
        <w:trPr>
          <w:trHeight w:val="183"/>
        </w:trPr>
        <w:tc>
          <w:tcPr>
            <w:tcW w:w="5820" w:type="dxa"/>
            <w:vAlign w:val="bottom"/>
            <w:tcBorders>
              <w:top w:val="single" w:sz="8" w:color="0000FF"/>
            </w:tcBorders>
            <w:gridSpan w:val="11"/>
          </w:tcPr>
          <w:p>
            <w:pPr>
              <w:spacing w:after="0" w:line="183" w:lineRule="exact"/>
              <w:rPr>
                <w:rFonts w:ascii="Arial" w:cs="Arial" w:eastAsia="Arial" w:hAnsi="Arial"/>
                <w:sz w:val="16"/>
                <w:szCs w:val="16"/>
                <w:color w:val="0000FF"/>
              </w:rPr>
            </w:pPr>
            <w:hyperlink r:id="rId114">
              <w:r>
                <w:rPr>
                  <w:rFonts w:ascii="Arial" w:cs="Arial" w:eastAsia="Arial" w:hAnsi="Arial"/>
                  <w:sz w:val="16"/>
                  <w:szCs w:val="16"/>
                  <w:color w:val="0000FF"/>
                </w:rPr>
                <w:t>to Law Debenture Trust Company of New York).</w:t>
              </w:r>
            </w:hyperlink>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3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561"/>
        </w:trPr>
        <w:tc>
          <w:tcPr>
            <w:tcW w:w="5860" w:type="dxa"/>
            <w:vAlign w:val="bottom"/>
            <w:tcBorders>
              <w:bottom w:val="single" w:sz="8" w:color="0000FF"/>
            </w:tcBorders>
            <w:gridSpan w:val="13"/>
          </w:tcPr>
          <w:p>
            <w:pPr>
              <w:spacing w:after="0"/>
              <w:rPr>
                <w:rFonts w:ascii="Arial" w:cs="Arial" w:eastAsia="Arial" w:hAnsi="Arial"/>
                <w:sz w:val="16"/>
                <w:szCs w:val="16"/>
                <w:color w:val="0000FF"/>
                <w:w w:val="91"/>
              </w:rPr>
            </w:pPr>
            <w:hyperlink r:id="rId115">
              <w:r>
                <w:rPr>
                  <w:rFonts w:ascii="Arial" w:cs="Arial" w:eastAsia="Arial" w:hAnsi="Arial"/>
                  <w:sz w:val="16"/>
                  <w:szCs w:val="16"/>
                  <w:color w:val="0000FF"/>
                  <w:w w:val="91"/>
                </w:rPr>
                <w:t>Supplemental Indenture, dated as of January 29, 2018, among NRG Yield Operating LLC,</w:t>
              </w:r>
            </w:hyperlink>
          </w:p>
        </w:tc>
        <w:tc>
          <w:tcPr>
            <w:tcW w:w="80" w:type="dxa"/>
            <w:vAlign w:val="bottom"/>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4.2 to the Registrant's</w:t>
            </w:r>
          </w:p>
        </w:tc>
      </w:tr>
      <w:tr>
        <w:trPr>
          <w:trHeight w:val="183"/>
        </w:trPr>
        <w:tc>
          <w:tcPr>
            <w:tcW w:w="5940" w:type="dxa"/>
            <w:vAlign w:val="bottom"/>
            <w:gridSpan w:val="14"/>
          </w:tcPr>
          <w:p>
            <w:pPr>
              <w:spacing w:after="0" w:line="183" w:lineRule="exact"/>
              <w:rPr>
                <w:rFonts w:ascii="Arial" w:cs="Arial" w:eastAsia="Arial" w:hAnsi="Arial"/>
                <w:sz w:val="16"/>
                <w:szCs w:val="16"/>
                <w:color w:val="0000FF"/>
                <w:w w:val="91"/>
              </w:rPr>
            </w:pPr>
            <w:hyperlink r:id="rId115">
              <w:r>
                <w:rPr>
                  <w:rFonts w:ascii="Arial" w:cs="Arial" w:eastAsia="Arial" w:hAnsi="Arial"/>
                  <w:sz w:val="16"/>
                  <w:szCs w:val="16"/>
                  <w:color w:val="0000FF"/>
                  <w:w w:val="91"/>
                </w:rPr>
                <w:t>the guarantors named therein and the Delaware Trust Company (as successor in interest to</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January 31, 2018.</w:t>
            </w:r>
          </w:p>
        </w:tc>
      </w:tr>
      <w:tr>
        <w:trPr>
          <w:trHeight w:val="183"/>
        </w:trPr>
        <w:tc>
          <w:tcPr>
            <w:tcW w:w="302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w w:val="92"/>
              </w:rPr>
            </w:pPr>
            <w:hyperlink r:id="rId115">
              <w:r>
                <w:rPr>
                  <w:rFonts w:ascii="Arial" w:cs="Arial" w:eastAsia="Arial" w:hAnsi="Arial"/>
                  <w:sz w:val="16"/>
                  <w:szCs w:val="16"/>
                  <w:color w:val="0000FF"/>
                  <w:w w:val="92"/>
                </w:rPr>
                <w:t>Law Debenture Trust Company of New York).</w:t>
              </w:r>
            </w:hyperlink>
          </w:p>
        </w:tc>
        <w:tc>
          <w:tcPr>
            <w:tcW w:w="2820" w:type="dxa"/>
            <w:vAlign w:val="bottom"/>
            <w:tcBorders>
              <w:top w:val="single" w:sz="8" w:color="0000FF"/>
            </w:tcBorders>
            <w:gridSpan w:val="9"/>
          </w:tcPr>
          <w:p>
            <w:pPr>
              <w:spacing w:after="0"/>
              <w:rPr>
                <w:sz w:val="15"/>
                <w:szCs w:val="15"/>
                <w:color w:val="auto"/>
              </w:rPr>
            </w:pPr>
          </w:p>
        </w:tc>
        <w:tc>
          <w:tcPr>
            <w:tcW w:w="100" w:type="dxa"/>
            <w:vAlign w:val="bottom"/>
            <w:gridSpan w:val="2"/>
          </w:tcPr>
          <w:p>
            <w:pPr>
              <w:spacing w:after="0"/>
              <w:rPr>
                <w:sz w:val="15"/>
                <w:szCs w:val="15"/>
                <w:color w:val="auto"/>
              </w:rPr>
            </w:pPr>
          </w:p>
        </w:tc>
        <w:tc>
          <w:tcPr>
            <w:tcW w:w="4340" w:type="dxa"/>
            <w:vAlign w:val="bottom"/>
          </w:tcPr>
          <w:p>
            <w:pPr>
              <w:spacing w:after="0"/>
              <w:rPr>
                <w:sz w:val="15"/>
                <w:szCs w:val="15"/>
                <w:color w:val="auto"/>
              </w:rPr>
            </w:pPr>
          </w:p>
        </w:tc>
      </w:tr>
      <w:tr>
        <w:trPr>
          <w:trHeight w:val="561"/>
        </w:trPr>
        <w:tc>
          <w:tcPr>
            <w:tcW w:w="5780" w:type="dxa"/>
            <w:vAlign w:val="bottom"/>
            <w:tcBorders>
              <w:bottom w:val="single" w:sz="8" w:color="0000FF"/>
            </w:tcBorders>
            <w:gridSpan w:val="10"/>
          </w:tcPr>
          <w:p>
            <w:pPr>
              <w:spacing w:after="0"/>
              <w:rPr>
                <w:rFonts w:ascii="Arial" w:cs="Arial" w:eastAsia="Arial" w:hAnsi="Arial"/>
                <w:sz w:val="16"/>
                <w:szCs w:val="16"/>
                <w:color w:val="0000FF"/>
                <w:w w:val="90"/>
              </w:rPr>
            </w:pPr>
            <w:hyperlink r:id="rId116">
              <w:r>
                <w:rPr>
                  <w:rFonts w:ascii="Arial" w:cs="Arial" w:eastAsia="Arial" w:hAnsi="Arial"/>
                  <w:sz w:val="16"/>
                  <w:szCs w:val="16"/>
                  <w:color w:val="0000FF"/>
                  <w:w w:val="90"/>
                </w:rPr>
                <w:t>Second Supplemental Indenture, dated as of June 12, 2018, among NRG Yield Operating</w:t>
              </w:r>
            </w:hyperlink>
          </w:p>
        </w:tc>
        <w:tc>
          <w:tcPr>
            <w:tcW w:w="160" w:type="dxa"/>
            <w:vAlign w:val="bottom"/>
            <w:gridSpan w:val="4"/>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4.2 to the Company's</w:t>
            </w:r>
          </w:p>
        </w:tc>
      </w:tr>
      <w:tr>
        <w:trPr>
          <w:trHeight w:val="183"/>
        </w:trPr>
        <w:tc>
          <w:tcPr>
            <w:tcW w:w="5940" w:type="dxa"/>
            <w:vAlign w:val="bottom"/>
            <w:gridSpan w:val="14"/>
          </w:tcPr>
          <w:p>
            <w:pPr>
              <w:spacing w:after="0" w:line="183" w:lineRule="exact"/>
              <w:rPr>
                <w:rFonts w:ascii="Arial" w:cs="Arial" w:eastAsia="Arial" w:hAnsi="Arial"/>
                <w:sz w:val="16"/>
                <w:szCs w:val="16"/>
                <w:color w:val="0000FF"/>
                <w:w w:val="92"/>
              </w:rPr>
            </w:pPr>
            <w:hyperlink r:id="rId116">
              <w:r>
                <w:rPr>
                  <w:rFonts w:ascii="Arial" w:cs="Arial" w:eastAsia="Arial" w:hAnsi="Arial"/>
                  <w:sz w:val="16"/>
                  <w:szCs w:val="16"/>
                  <w:color w:val="0000FF"/>
                  <w:w w:val="92"/>
                </w:rPr>
                <w:t>LLC, the guarantors named therein and Delaware Trust Company (as successor in interest</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June 12, 2018.</w:t>
            </w:r>
          </w:p>
        </w:tc>
      </w:tr>
      <w:tr>
        <w:trPr>
          <w:trHeight w:val="183"/>
        </w:trPr>
        <w:tc>
          <w:tcPr>
            <w:tcW w:w="5820" w:type="dxa"/>
            <w:vAlign w:val="bottom"/>
            <w:tcBorders>
              <w:top w:val="single" w:sz="8" w:color="0000FF"/>
            </w:tcBorders>
            <w:gridSpan w:val="11"/>
          </w:tcPr>
          <w:p>
            <w:pPr>
              <w:spacing w:after="0" w:line="183" w:lineRule="exact"/>
              <w:rPr>
                <w:rFonts w:ascii="Arial" w:cs="Arial" w:eastAsia="Arial" w:hAnsi="Arial"/>
                <w:sz w:val="16"/>
                <w:szCs w:val="16"/>
                <w:color w:val="0000FF"/>
              </w:rPr>
            </w:pPr>
            <w:hyperlink r:id="rId116">
              <w:r>
                <w:rPr>
                  <w:rFonts w:ascii="Arial" w:cs="Arial" w:eastAsia="Arial" w:hAnsi="Arial"/>
                  <w:sz w:val="16"/>
                  <w:szCs w:val="16"/>
                  <w:color w:val="0000FF"/>
                </w:rPr>
                <w:t>to Law Debenture Trust Company of New York).</w:t>
              </w:r>
            </w:hyperlink>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3180" w:type="dxa"/>
            <w:vAlign w:val="bottom"/>
            <w:gridSpan w:val="4"/>
            <w:shd w:val="clear" w:color="auto" w:fill="0000FF"/>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561"/>
        </w:trPr>
        <w:tc>
          <w:tcPr>
            <w:tcW w:w="582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1"/>
              </w:rPr>
              <w:t>Seventh Supplemental Indenture, dated as of July 17, 2018, among NRG Yield Operating</w:t>
            </w:r>
          </w:p>
        </w:tc>
        <w:tc>
          <w:tcPr>
            <w:tcW w:w="120" w:type="dxa"/>
            <w:vAlign w:val="bottom"/>
            <w:gridSpan w:val="3"/>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4.3 to the Company's</w:t>
            </w:r>
          </w:p>
        </w:tc>
      </w:tr>
      <w:tr>
        <w:trPr>
          <w:trHeight w:val="183"/>
        </w:trPr>
        <w:tc>
          <w:tcPr>
            <w:tcW w:w="5940" w:type="dxa"/>
            <w:vAlign w:val="bottom"/>
            <w:gridSpan w:val="14"/>
          </w:tcPr>
          <w:p>
            <w:pPr>
              <w:spacing w:after="0" w:line="183" w:lineRule="exact"/>
              <w:rPr>
                <w:sz w:val="20"/>
                <w:szCs w:val="20"/>
                <w:color w:val="auto"/>
              </w:rPr>
            </w:pPr>
            <w:r>
              <w:rPr>
                <w:rFonts w:ascii="Arial" w:cs="Arial" w:eastAsia="Arial" w:hAnsi="Arial"/>
                <w:sz w:val="16"/>
                <w:szCs w:val="16"/>
                <w:color w:val="0000FF"/>
                <w:w w:val="92"/>
              </w:rPr>
              <w:t>LLC, the guarantors named therein and Delaware Trust Company (as successor in interest</w:t>
            </w: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Quarterly Report on Form 10-Q filed on August 2, 2018.</w:t>
            </w:r>
          </w:p>
        </w:tc>
      </w:tr>
      <w:tr>
        <w:trPr>
          <w:trHeight w:val="183"/>
        </w:trPr>
        <w:tc>
          <w:tcPr>
            <w:tcW w:w="5820" w:type="dxa"/>
            <w:vAlign w:val="bottom"/>
            <w:tcBorders>
              <w:top w:val="single" w:sz="8" w:color="0000FF"/>
            </w:tcBorders>
            <w:gridSpan w:val="11"/>
          </w:tcPr>
          <w:p>
            <w:pPr>
              <w:spacing w:after="0" w:line="183" w:lineRule="exact"/>
              <w:rPr>
                <w:sz w:val="20"/>
                <w:szCs w:val="20"/>
                <w:color w:val="auto"/>
              </w:rPr>
            </w:pPr>
            <w:r>
              <w:rPr>
                <w:rFonts w:ascii="Arial" w:cs="Arial" w:eastAsia="Arial" w:hAnsi="Arial"/>
                <w:sz w:val="16"/>
                <w:szCs w:val="16"/>
                <w:color w:val="0000FF"/>
              </w:rPr>
              <w:t>to Law Debenture Trust Company of New York).</w:t>
            </w:r>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13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154</w:t>
      </w:r>
    </w:p>
    <w:p>
      <w:pPr>
        <w:sectPr>
          <w:pgSz w:w="11900" w:h="16838" w:orient="portrait"/>
          <w:cols w:equalWidth="0" w:num="2">
            <w:col w:w="320" w:space="720"/>
            <w:col w:w="10300"/>
          </w:cols>
          <w:pgMar w:left="280" w:top="1075" w:right="279" w:bottom="1005" w:gutter="0" w:footer="0" w:header="0"/>
          <w:type w:val="continuous"/>
        </w:sectPr>
      </w:pPr>
    </w:p>
    <w:bookmarkStart w:id="156" w:name="page157"/>
    <w:bookmarkEnd w:id="156"/>
    <w:p>
      <w:pPr>
        <w:spacing w:after="0"/>
        <w:rPr>
          <w:sz w:val="20"/>
          <w:szCs w:val="20"/>
          <w:color w:val="auto"/>
        </w:rPr>
      </w:pPr>
      <w:r>
        <w:rPr>
          <w:rFonts w:ascii="Arial" w:cs="Arial" w:eastAsia="Arial" w:hAnsi="Arial"/>
          <w:sz w:val="14"/>
          <w:szCs w:val="14"/>
          <w:color w:val="auto"/>
        </w:rPr>
        <w:t>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4.27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4.28</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4.29</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4.30</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4.32</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Borders>
              <w:bottom w:val="single" w:sz="8" w:color="0000FF"/>
            </w:tcBorders>
            <w:gridSpan w:val="11"/>
          </w:tcPr>
          <w:p>
            <w:pPr>
              <w:spacing w:after="0"/>
              <w:rPr>
                <w:rFonts w:ascii="Arial" w:cs="Arial" w:eastAsia="Arial" w:hAnsi="Arial"/>
                <w:sz w:val="16"/>
                <w:szCs w:val="16"/>
                <w:color w:val="0000FF"/>
                <w:w w:val="91"/>
              </w:rPr>
            </w:pPr>
            <w:hyperlink r:id="rId117">
              <w:r>
                <w:rPr>
                  <w:rFonts w:ascii="Arial" w:cs="Arial" w:eastAsia="Arial" w:hAnsi="Arial"/>
                  <w:sz w:val="16"/>
                  <w:szCs w:val="16"/>
                  <w:color w:val="0000FF"/>
                  <w:w w:val="91"/>
                </w:rPr>
                <w:t>Third Supplemental Indenture, dated as of July 17, 2018, among NRG Yield Operating</w:t>
              </w:r>
            </w:hyperlink>
          </w:p>
        </w:tc>
        <w:tc>
          <w:tcPr>
            <w:tcW w:w="300" w:type="dxa"/>
            <w:vAlign w:val="bottom"/>
            <w:gridSpan w:val="9"/>
          </w:tcPr>
          <w:p>
            <w:pPr>
              <w:spacing w:after="0"/>
              <w:rPr>
                <w:sz w:val="16"/>
                <w:szCs w:val="16"/>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4.4 to the Company's</w:t>
            </w:r>
          </w:p>
        </w:tc>
      </w:tr>
      <w:tr>
        <w:trPr>
          <w:trHeight w:val="183"/>
        </w:trPr>
        <w:tc>
          <w:tcPr>
            <w:tcW w:w="5940" w:type="dxa"/>
            <w:vAlign w:val="bottom"/>
            <w:gridSpan w:val="20"/>
          </w:tcPr>
          <w:p>
            <w:pPr>
              <w:spacing w:after="0" w:line="183" w:lineRule="exact"/>
              <w:rPr>
                <w:rFonts w:ascii="Arial" w:cs="Arial" w:eastAsia="Arial" w:hAnsi="Arial"/>
                <w:sz w:val="16"/>
                <w:szCs w:val="16"/>
                <w:color w:val="0000FF"/>
                <w:w w:val="92"/>
              </w:rPr>
            </w:pPr>
            <w:hyperlink r:id="rId117">
              <w:r>
                <w:rPr>
                  <w:rFonts w:ascii="Arial" w:cs="Arial" w:eastAsia="Arial" w:hAnsi="Arial"/>
                  <w:sz w:val="16"/>
                  <w:szCs w:val="16"/>
                  <w:color w:val="0000FF"/>
                  <w:w w:val="92"/>
                </w:rPr>
                <w:t>LLC, the guarantors named therein and Delaware Trust Company (as successor in interest</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Quarterly Report on Form 10-Q filed on August 2, 2018.</w:t>
            </w:r>
          </w:p>
        </w:tc>
      </w:tr>
      <w:tr>
        <w:trPr>
          <w:trHeight w:val="183"/>
        </w:trPr>
        <w:tc>
          <w:tcPr>
            <w:tcW w:w="5820" w:type="dxa"/>
            <w:vAlign w:val="bottom"/>
            <w:tcBorders>
              <w:top w:val="single" w:sz="8" w:color="0000FF"/>
            </w:tcBorders>
            <w:gridSpan w:val="16"/>
          </w:tcPr>
          <w:p>
            <w:pPr>
              <w:spacing w:after="0" w:line="183" w:lineRule="exact"/>
              <w:rPr>
                <w:rFonts w:ascii="Arial" w:cs="Arial" w:eastAsia="Arial" w:hAnsi="Arial"/>
                <w:sz w:val="16"/>
                <w:szCs w:val="16"/>
                <w:color w:val="0000FF"/>
              </w:rPr>
            </w:pPr>
            <w:hyperlink r:id="rId117">
              <w:r>
                <w:rPr>
                  <w:rFonts w:ascii="Arial" w:cs="Arial" w:eastAsia="Arial" w:hAnsi="Arial"/>
                  <w:sz w:val="16"/>
                  <w:szCs w:val="16"/>
                  <w:color w:val="0000FF"/>
                </w:rPr>
                <w:t>to Law Debenture Trust Company of New York).</w:t>
              </w:r>
            </w:hyperlink>
          </w:p>
        </w:tc>
        <w:tc>
          <w:tcPr>
            <w:tcW w:w="120" w:type="dxa"/>
            <w:vAlign w:val="bottom"/>
            <w:gridSpan w:val="4"/>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2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561"/>
        </w:trPr>
        <w:tc>
          <w:tcPr>
            <w:tcW w:w="5220" w:type="dxa"/>
            <w:vAlign w:val="bottom"/>
            <w:tcBorders>
              <w:bottom w:val="single" w:sz="8" w:color="0000FF"/>
            </w:tcBorders>
            <w:gridSpan w:val="7"/>
          </w:tcPr>
          <w:p>
            <w:pPr>
              <w:spacing w:after="0"/>
              <w:rPr>
                <w:rFonts w:ascii="Arial" w:cs="Arial" w:eastAsia="Arial" w:hAnsi="Arial"/>
                <w:sz w:val="16"/>
                <w:szCs w:val="16"/>
                <w:color w:val="0000FF"/>
                <w:w w:val="91"/>
              </w:rPr>
            </w:pPr>
            <w:hyperlink r:id="rId118">
              <w:r>
                <w:rPr>
                  <w:rFonts w:ascii="Arial" w:cs="Arial" w:eastAsia="Arial" w:hAnsi="Arial"/>
                  <w:sz w:val="16"/>
                  <w:szCs w:val="16"/>
                  <w:color w:val="0000FF"/>
                  <w:w w:val="91"/>
                </w:rPr>
                <w:t>Eighth Supplemental Indenture, dated as of August 30, 2018, among NRG Yield</w:t>
              </w:r>
            </w:hyperlink>
          </w:p>
        </w:tc>
        <w:tc>
          <w:tcPr>
            <w:tcW w:w="720" w:type="dxa"/>
            <w:vAlign w:val="bottom"/>
            <w:gridSpan w:val="13"/>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4.1 to the Company's</w:t>
            </w:r>
          </w:p>
        </w:tc>
      </w:tr>
      <w:tr>
        <w:trPr>
          <w:trHeight w:val="183"/>
        </w:trPr>
        <w:tc>
          <w:tcPr>
            <w:tcW w:w="5840" w:type="dxa"/>
            <w:vAlign w:val="bottom"/>
            <w:tcBorders>
              <w:bottom w:val="single" w:sz="8" w:color="0000FF"/>
            </w:tcBorders>
            <w:gridSpan w:val="17"/>
          </w:tcPr>
          <w:p>
            <w:pPr>
              <w:spacing w:after="0" w:line="183" w:lineRule="exact"/>
              <w:rPr>
                <w:rFonts w:ascii="Arial" w:cs="Arial" w:eastAsia="Arial" w:hAnsi="Arial"/>
                <w:sz w:val="16"/>
                <w:szCs w:val="16"/>
                <w:color w:val="0000FF"/>
                <w:w w:val="90"/>
              </w:rPr>
            </w:pPr>
            <w:hyperlink r:id="rId118">
              <w:r>
                <w:rPr>
                  <w:rFonts w:ascii="Arial" w:cs="Arial" w:eastAsia="Arial" w:hAnsi="Arial"/>
                  <w:sz w:val="16"/>
                  <w:szCs w:val="16"/>
                  <w:color w:val="0000FF"/>
                  <w:w w:val="90"/>
                </w:rPr>
                <w:t>Operating LLC, the guarantors named therein and Delaware Trust Company (as successor</w:t>
              </w:r>
            </w:hyperlink>
          </w:p>
        </w:tc>
        <w:tc>
          <w:tcPr>
            <w:tcW w:w="100" w:type="dxa"/>
            <w:vAlign w:val="bottom"/>
            <w:gridSpan w:val="3"/>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September 6, 2018.</w:t>
            </w:r>
          </w:p>
        </w:tc>
      </w:tr>
      <w:tr>
        <w:trPr>
          <w:trHeight w:val="183"/>
        </w:trPr>
        <w:tc>
          <w:tcPr>
            <w:tcW w:w="388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118">
              <w:r>
                <w:rPr>
                  <w:rFonts w:ascii="Arial" w:cs="Arial" w:eastAsia="Arial" w:hAnsi="Arial"/>
                  <w:sz w:val="16"/>
                  <w:szCs w:val="16"/>
                  <w:color w:val="0000FF"/>
                  <w:w w:val="92"/>
                </w:rPr>
                <w:t>in interest to Law Debenture Trust Company of New York).</w:t>
              </w:r>
            </w:hyperlink>
          </w:p>
        </w:tc>
        <w:tc>
          <w:tcPr>
            <w:tcW w:w="2060" w:type="dxa"/>
            <w:vAlign w:val="bottom"/>
            <w:gridSpan w:val="16"/>
          </w:tcPr>
          <w:p>
            <w:pPr>
              <w:spacing w:after="0"/>
              <w:rPr>
                <w:sz w:val="15"/>
                <w:szCs w:val="15"/>
                <w:color w:val="auto"/>
              </w:rPr>
            </w:pPr>
          </w:p>
        </w:tc>
        <w:tc>
          <w:tcPr>
            <w:tcW w:w="4340" w:type="dxa"/>
            <w:vAlign w:val="bottom"/>
          </w:tcPr>
          <w:p>
            <w:pPr>
              <w:spacing w:after="0"/>
              <w:rPr>
                <w:sz w:val="15"/>
                <w:szCs w:val="15"/>
                <w:color w:val="auto"/>
              </w:rPr>
            </w:pPr>
          </w:p>
        </w:tc>
      </w:tr>
      <w:tr>
        <w:trPr>
          <w:trHeight w:val="561"/>
        </w:trPr>
        <w:tc>
          <w:tcPr>
            <w:tcW w:w="5220" w:type="dxa"/>
            <w:vAlign w:val="bottom"/>
            <w:tcBorders>
              <w:bottom w:val="single" w:sz="8" w:color="0000FF"/>
            </w:tcBorders>
            <w:gridSpan w:val="7"/>
          </w:tcPr>
          <w:p>
            <w:pPr>
              <w:spacing w:after="0"/>
              <w:rPr>
                <w:rFonts w:ascii="Arial" w:cs="Arial" w:eastAsia="Arial" w:hAnsi="Arial"/>
                <w:sz w:val="16"/>
                <w:szCs w:val="16"/>
                <w:color w:val="0000FF"/>
                <w:w w:val="91"/>
              </w:rPr>
            </w:pPr>
            <w:hyperlink r:id="rId119">
              <w:r>
                <w:rPr>
                  <w:rFonts w:ascii="Arial" w:cs="Arial" w:eastAsia="Arial" w:hAnsi="Arial"/>
                  <w:sz w:val="16"/>
                  <w:szCs w:val="16"/>
                  <w:color w:val="0000FF"/>
                  <w:w w:val="91"/>
                </w:rPr>
                <w:t>Fourth Supplemental Indenture, dated as of August 30, 2018, among NRG Yield</w:t>
              </w:r>
            </w:hyperlink>
          </w:p>
        </w:tc>
        <w:tc>
          <w:tcPr>
            <w:tcW w:w="720" w:type="dxa"/>
            <w:vAlign w:val="bottom"/>
            <w:gridSpan w:val="13"/>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4.2 to the Company's</w:t>
            </w:r>
          </w:p>
        </w:tc>
      </w:tr>
      <w:tr>
        <w:trPr>
          <w:trHeight w:val="183"/>
        </w:trPr>
        <w:tc>
          <w:tcPr>
            <w:tcW w:w="5840" w:type="dxa"/>
            <w:vAlign w:val="bottom"/>
            <w:tcBorders>
              <w:bottom w:val="single" w:sz="8" w:color="0000FF"/>
            </w:tcBorders>
            <w:gridSpan w:val="17"/>
          </w:tcPr>
          <w:p>
            <w:pPr>
              <w:spacing w:after="0" w:line="183" w:lineRule="exact"/>
              <w:rPr>
                <w:rFonts w:ascii="Arial" w:cs="Arial" w:eastAsia="Arial" w:hAnsi="Arial"/>
                <w:sz w:val="16"/>
                <w:szCs w:val="16"/>
                <w:color w:val="0000FF"/>
                <w:w w:val="90"/>
              </w:rPr>
            </w:pPr>
            <w:hyperlink r:id="rId119">
              <w:r>
                <w:rPr>
                  <w:rFonts w:ascii="Arial" w:cs="Arial" w:eastAsia="Arial" w:hAnsi="Arial"/>
                  <w:sz w:val="16"/>
                  <w:szCs w:val="16"/>
                  <w:color w:val="0000FF"/>
                  <w:w w:val="90"/>
                </w:rPr>
                <w:t>Operating LLC, the guarantors named therein and Delaware Trust Company (as successor</w:t>
              </w:r>
            </w:hyperlink>
          </w:p>
        </w:tc>
        <w:tc>
          <w:tcPr>
            <w:tcW w:w="100" w:type="dxa"/>
            <w:vAlign w:val="bottom"/>
            <w:gridSpan w:val="3"/>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September 6, 2018.</w:t>
            </w:r>
          </w:p>
        </w:tc>
      </w:tr>
      <w:tr>
        <w:trPr>
          <w:trHeight w:val="183"/>
        </w:trPr>
        <w:tc>
          <w:tcPr>
            <w:tcW w:w="388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119">
              <w:r>
                <w:rPr>
                  <w:rFonts w:ascii="Arial" w:cs="Arial" w:eastAsia="Arial" w:hAnsi="Arial"/>
                  <w:sz w:val="16"/>
                  <w:szCs w:val="16"/>
                  <w:color w:val="0000FF"/>
                  <w:w w:val="92"/>
                </w:rPr>
                <w:t>in interest to Law Debenture Trust Company of New York).</w:t>
              </w:r>
            </w:hyperlink>
          </w:p>
        </w:tc>
        <w:tc>
          <w:tcPr>
            <w:tcW w:w="2060" w:type="dxa"/>
            <w:vAlign w:val="bottom"/>
            <w:gridSpan w:val="16"/>
          </w:tcPr>
          <w:p>
            <w:pPr>
              <w:spacing w:after="0"/>
              <w:rPr>
                <w:sz w:val="15"/>
                <w:szCs w:val="15"/>
                <w:color w:val="auto"/>
              </w:rPr>
            </w:pPr>
          </w:p>
        </w:tc>
        <w:tc>
          <w:tcPr>
            <w:tcW w:w="4340" w:type="dxa"/>
            <w:vAlign w:val="bottom"/>
          </w:tcPr>
          <w:p>
            <w:pPr>
              <w:spacing w:after="0"/>
              <w:rPr>
                <w:sz w:val="15"/>
                <w:szCs w:val="15"/>
                <w:color w:val="auto"/>
              </w:rPr>
            </w:pPr>
          </w:p>
        </w:tc>
      </w:tr>
      <w:tr>
        <w:trPr>
          <w:trHeight w:val="561"/>
        </w:trPr>
        <w:tc>
          <w:tcPr>
            <w:tcW w:w="5880" w:type="dxa"/>
            <w:vAlign w:val="bottom"/>
            <w:tcBorders>
              <w:bottom w:val="single" w:sz="8" w:color="0000FF"/>
            </w:tcBorders>
            <w:gridSpan w:val="19"/>
          </w:tcPr>
          <w:p>
            <w:pPr>
              <w:spacing w:after="0"/>
              <w:rPr>
                <w:rFonts w:ascii="Arial" w:cs="Arial" w:eastAsia="Arial" w:hAnsi="Arial"/>
                <w:sz w:val="16"/>
                <w:szCs w:val="16"/>
                <w:color w:val="0000FF"/>
                <w:w w:val="91"/>
              </w:rPr>
            </w:pPr>
            <w:hyperlink r:id="rId120">
              <w:r>
                <w:rPr>
                  <w:rFonts w:ascii="Arial" w:cs="Arial" w:eastAsia="Arial" w:hAnsi="Arial"/>
                  <w:sz w:val="16"/>
                  <w:szCs w:val="16"/>
                  <w:color w:val="0000FF"/>
                  <w:w w:val="91"/>
                </w:rPr>
                <w:t>Indenture, dated October 1, 2018, among Clearway Energy Operating LLC, the guarantors</w:t>
              </w:r>
            </w:hyperlink>
          </w:p>
        </w:tc>
        <w:tc>
          <w:tcPr>
            <w:tcW w:w="60" w:type="dxa"/>
            <w:vAlign w:val="bottom"/>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4.1 to the Company's</w:t>
            </w:r>
          </w:p>
        </w:tc>
      </w:tr>
      <w:tr>
        <w:trPr>
          <w:trHeight w:val="183"/>
        </w:trPr>
        <w:tc>
          <w:tcPr>
            <w:tcW w:w="3620" w:type="dxa"/>
            <w:vAlign w:val="bottom"/>
            <w:tcBorders>
              <w:bottom w:val="single" w:sz="8" w:color="0000FF"/>
            </w:tcBorders>
            <w:gridSpan w:val="3"/>
          </w:tcPr>
          <w:p>
            <w:pPr>
              <w:spacing w:after="0" w:line="183" w:lineRule="exact"/>
              <w:rPr>
                <w:rFonts w:ascii="Arial" w:cs="Arial" w:eastAsia="Arial" w:hAnsi="Arial"/>
                <w:sz w:val="16"/>
                <w:szCs w:val="16"/>
                <w:color w:val="0000FF"/>
                <w:w w:val="89"/>
              </w:rPr>
            </w:pPr>
            <w:hyperlink r:id="rId120">
              <w:r>
                <w:rPr>
                  <w:rFonts w:ascii="Arial" w:cs="Arial" w:eastAsia="Arial" w:hAnsi="Arial"/>
                  <w:sz w:val="16"/>
                  <w:szCs w:val="16"/>
                  <w:color w:val="0000FF"/>
                  <w:w w:val="89"/>
                </w:rPr>
                <w:t>named therein and Delaware Trust Company, as trustee.</w:t>
              </w:r>
            </w:hyperlink>
          </w:p>
        </w:tc>
        <w:tc>
          <w:tcPr>
            <w:tcW w:w="2320" w:type="dxa"/>
            <w:vAlign w:val="bottom"/>
            <w:gridSpan w:val="17"/>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October 2, 2018.</w:t>
            </w:r>
          </w:p>
        </w:tc>
      </w:tr>
      <w:tr>
        <w:trPr>
          <w:trHeight w:val="763"/>
        </w:trPr>
        <w:tc>
          <w:tcPr>
            <w:tcW w:w="5940" w:type="dxa"/>
            <w:vAlign w:val="bottom"/>
            <w:gridSpan w:val="20"/>
          </w:tcPr>
          <w:p>
            <w:pPr>
              <w:spacing w:after="0"/>
              <w:rPr>
                <w:rFonts w:ascii="Arial" w:cs="Arial" w:eastAsia="Arial" w:hAnsi="Arial"/>
                <w:sz w:val="16"/>
                <w:szCs w:val="16"/>
                <w:color w:val="0000FF"/>
              </w:rPr>
            </w:pPr>
            <w:hyperlink r:id="rId120">
              <w:r>
                <w:rPr>
                  <w:rFonts w:ascii="Arial" w:cs="Arial" w:eastAsia="Arial" w:hAnsi="Arial"/>
                  <w:sz w:val="16"/>
                  <w:szCs w:val="16"/>
                  <w:color w:val="0000FF"/>
                </w:rPr>
                <w:t>Form of 5.750% Senior Notes due 2025</w:t>
              </w:r>
            </w:hyperlink>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4.2 to the Company's</w:t>
            </w:r>
          </w:p>
        </w:tc>
      </w:tr>
      <w:tr>
        <w:trPr>
          <w:trHeight w:val="217"/>
        </w:trPr>
        <w:tc>
          <w:tcPr>
            <w:tcW w:w="258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rPr>
              <w:t>Current Report on Form 8-K filed on October 2, 2018.</w:t>
            </w:r>
          </w:p>
        </w:tc>
      </w:tr>
      <w:tr>
        <w:trPr>
          <w:trHeight w:val="749"/>
        </w:trPr>
        <w:tc>
          <w:tcPr>
            <w:tcW w:w="5600" w:type="dxa"/>
            <w:vAlign w:val="bottom"/>
            <w:tcBorders>
              <w:bottom w:val="single" w:sz="8" w:color="0000FF"/>
            </w:tcBorders>
            <w:gridSpan w:val="10"/>
          </w:tcPr>
          <w:p>
            <w:pPr>
              <w:spacing w:after="0"/>
              <w:rPr>
                <w:rFonts w:ascii="Arial" w:cs="Arial" w:eastAsia="Arial" w:hAnsi="Arial"/>
                <w:sz w:val="16"/>
                <w:szCs w:val="16"/>
                <w:color w:val="0000FF"/>
                <w:w w:val="91"/>
              </w:rPr>
            </w:pPr>
            <w:hyperlink r:id="rId121">
              <w:r>
                <w:rPr>
                  <w:rFonts w:ascii="Arial" w:cs="Arial" w:eastAsia="Arial" w:hAnsi="Arial"/>
                  <w:sz w:val="16"/>
                  <w:szCs w:val="16"/>
                  <w:color w:val="0000FF"/>
                  <w:w w:val="91"/>
                </w:rPr>
                <w:t>Ninth Supplemental Indenture, dated as of October 25, 2018, among Clearway Energy</w:t>
              </w:r>
            </w:hyperlink>
          </w:p>
        </w:tc>
        <w:tc>
          <w:tcPr>
            <w:tcW w:w="340" w:type="dxa"/>
            <w:vAlign w:val="bottom"/>
            <w:gridSpan w:val="10"/>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4.1 to the Company's</w:t>
            </w:r>
          </w:p>
        </w:tc>
      </w:tr>
      <w:tr>
        <w:trPr>
          <w:trHeight w:val="183"/>
        </w:trPr>
        <w:tc>
          <w:tcPr>
            <w:tcW w:w="5840" w:type="dxa"/>
            <w:vAlign w:val="bottom"/>
            <w:tcBorders>
              <w:bottom w:val="single" w:sz="8" w:color="0000FF"/>
            </w:tcBorders>
            <w:gridSpan w:val="17"/>
          </w:tcPr>
          <w:p>
            <w:pPr>
              <w:spacing w:after="0" w:line="183" w:lineRule="exact"/>
              <w:rPr>
                <w:rFonts w:ascii="Arial" w:cs="Arial" w:eastAsia="Arial" w:hAnsi="Arial"/>
                <w:sz w:val="16"/>
                <w:szCs w:val="16"/>
                <w:color w:val="0000FF"/>
                <w:w w:val="90"/>
              </w:rPr>
            </w:pPr>
            <w:hyperlink r:id="rId121">
              <w:r>
                <w:rPr>
                  <w:rFonts w:ascii="Arial" w:cs="Arial" w:eastAsia="Arial" w:hAnsi="Arial"/>
                  <w:sz w:val="16"/>
                  <w:szCs w:val="16"/>
                  <w:color w:val="0000FF"/>
                  <w:w w:val="90"/>
                </w:rPr>
                <w:t>Operating LLC, the guarantors named therein and Delaware Trust Company (as successor</w:t>
              </w:r>
            </w:hyperlink>
          </w:p>
        </w:tc>
        <w:tc>
          <w:tcPr>
            <w:tcW w:w="100" w:type="dxa"/>
            <w:vAlign w:val="bottom"/>
            <w:gridSpan w:val="3"/>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October 31, 2018.</w:t>
            </w:r>
          </w:p>
        </w:tc>
      </w:tr>
      <w:tr>
        <w:trPr>
          <w:trHeight w:val="183"/>
        </w:trPr>
        <w:tc>
          <w:tcPr>
            <w:tcW w:w="388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121">
              <w:r>
                <w:rPr>
                  <w:rFonts w:ascii="Arial" w:cs="Arial" w:eastAsia="Arial" w:hAnsi="Arial"/>
                  <w:sz w:val="16"/>
                  <w:szCs w:val="16"/>
                  <w:color w:val="0000FF"/>
                  <w:w w:val="92"/>
                </w:rPr>
                <w:t>in interest to Law Debenture Trust Company of New York).</w:t>
              </w:r>
            </w:hyperlink>
          </w:p>
        </w:tc>
        <w:tc>
          <w:tcPr>
            <w:tcW w:w="2060" w:type="dxa"/>
            <w:vAlign w:val="bottom"/>
            <w:gridSpan w:val="16"/>
          </w:tcPr>
          <w:p>
            <w:pPr>
              <w:spacing w:after="0"/>
              <w:rPr>
                <w:sz w:val="15"/>
                <w:szCs w:val="15"/>
                <w:color w:val="auto"/>
              </w:rPr>
            </w:pPr>
          </w:p>
        </w:tc>
        <w:tc>
          <w:tcPr>
            <w:tcW w:w="4340" w:type="dxa"/>
            <w:vAlign w:val="bottom"/>
          </w:tcPr>
          <w:p>
            <w:pPr>
              <w:spacing w:after="0"/>
              <w:rPr>
                <w:sz w:val="15"/>
                <w:szCs w:val="15"/>
                <w:color w:val="auto"/>
              </w:rPr>
            </w:pPr>
          </w:p>
        </w:tc>
      </w:tr>
      <w:tr>
        <w:trPr>
          <w:trHeight w:val="561"/>
        </w:trPr>
        <w:tc>
          <w:tcPr>
            <w:tcW w:w="5940" w:type="dxa"/>
            <w:vAlign w:val="bottom"/>
            <w:gridSpan w:val="20"/>
          </w:tcPr>
          <w:p>
            <w:pPr>
              <w:spacing w:after="0"/>
              <w:rPr>
                <w:rFonts w:ascii="Arial" w:cs="Arial" w:eastAsia="Arial" w:hAnsi="Arial"/>
                <w:sz w:val="16"/>
                <w:szCs w:val="16"/>
                <w:color w:val="0000FF"/>
                <w:w w:val="97"/>
              </w:rPr>
            </w:pPr>
            <w:hyperlink r:id="rId122">
              <w:r>
                <w:rPr>
                  <w:rFonts w:ascii="Arial" w:cs="Arial" w:eastAsia="Arial" w:hAnsi="Arial"/>
                  <w:sz w:val="16"/>
                  <w:szCs w:val="16"/>
                  <w:color w:val="0000FF"/>
                  <w:w w:val="97"/>
                </w:rPr>
                <w:t>Fifth Supplemental Indenture, dated as of October 25, 2018, among Clearway Energy</w:t>
              </w:r>
            </w:hyperlink>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4.2 to the Company's</w:t>
            </w:r>
          </w:p>
        </w:tc>
      </w:tr>
      <w:tr>
        <w:trPr>
          <w:trHeight w:val="20"/>
        </w:trPr>
        <w:tc>
          <w:tcPr>
            <w:tcW w:w="454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83"/>
        </w:trPr>
        <w:tc>
          <w:tcPr>
            <w:tcW w:w="5840" w:type="dxa"/>
            <w:vAlign w:val="bottom"/>
            <w:tcBorders>
              <w:bottom w:val="single" w:sz="8" w:color="0000FF"/>
            </w:tcBorders>
            <w:gridSpan w:val="17"/>
          </w:tcPr>
          <w:p>
            <w:pPr>
              <w:spacing w:after="0" w:line="183" w:lineRule="exact"/>
              <w:rPr>
                <w:rFonts w:ascii="Arial" w:cs="Arial" w:eastAsia="Arial" w:hAnsi="Arial"/>
                <w:sz w:val="16"/>
                <w:szCs w:val="16"/>
                <w:color w:val="0000FF"/>
                <w:w w:val="90"/>
              </w:rPr>
            </w:pPr>
            <w:hyperlink r:id="rId122">
              <w:r>
                <w:rPr>
                  <w:rFonts w:ascii="Arial" w:cs="Arial" w:eastAsia="Arial" w:hAnsi="Arial"/>
                  <w:sz w:val="16"/>
                  <w:szCs w:val="16"/>
                  <w:color w:val="0000FF"/>
                  <w:w w:val="90"/>
                </w:rPr>
                <w:t>Operating LLC, the guarantors named therein and Delaware Trust Company (as successor</w:t>
              </w:r>
            </w:hyperlink>
          </w:p>
        </w:tc>
        <w:tc>
          <w:tcPr>
            <w:tcW w:w="100" w:type="dxa"/>
            <w:vAlign w:val="bottom"/>
            <w:gridSpan w:val="3"/>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October 31, 2018.</w:t>
            </w:r>
          </w:p>
        </w:tc>
      </w:tr>
      <w:tr>
        <w:trPr>
          <w:trHeight w:val="183"/>
        </w:trPr>
        <w:tc>
          <w:tcPr>
            <w:tcW w:w="388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122">
              <w:r>
                <w:rPr>
                  <w:rFonts w:ascii="Arial" w:cs="Arial" w:eastAsia="Arial" w:hAnsi="Arial"/>
                  <w:sz w:val="16"/>
                  <w:szCs w:val="16"/>
                  <w:color w:val="0000FF"/>
                  <w:w w:val="92"/>
                </w:rPr>
                <w:t>in interest to Law Debenture Trust Company of New York).</w:t>
              </w:r>
            </w:hyperlink>
          </w:p>
        </w:tc>
        <w:tc>
          <w:tcPr>
            <w:tcW w:w="2060" w:type="dxa"/>
            <w:vAlign w:val="bottom"/>
            <w:gridSpan w:val="16"/>
          </w:tcPr>
          <w:p>
            <w:pPr>
              <w:spacing w:after="0"/>
              <w:rPr>
                <w:sz w:val="15"/>
                <w:szCs w:val="15"/>
                <w:color w:val="auto"/>
              </w:rPr>
            </w:pPr>
          </w:p>
        </w:tc>
        <w:tc>
          <w:tcPr>
            <w:tcW w:w="4340" w:type="dxa"/>
            <w:vAlign w:val="bottom"/>
          </w:tcPr>
          <w:p>
            <w:pPr>
              <w:spacing w:after="0"/>
              <w:rPr>
                <w:sz w:val="15"/>
                <w:szCs w:val="15"/>
                <w:color w:val="auto"/>
              </w:rPr>
            </w:pPr>
          </w:p>
        </w:tc>
      </w:tr>
      <w:tr>
        <w:trPr>
          <w:trHeight w:val="561"/>
        </w:trPr>
        <w:tc>
          <w:tcPr>
            <w:tcW w:w="5940" w:type="dxa"/>
            <w:vAlign w:val="bottom"/>
            <w:gridSpan w:val="20"/>
          </w:tcPr>
          <w:p>
            <w:pPr>
              <w:spacing w:after="0"/>
              <w:rPr>
                <w:rFonts w:ascii="Arial" w:cs="Arial" w:eastAsia="Arial" w:hAnsi="Arial"/>
                <w:sz w:val="16"/>
                <w:szCs w:val="16"/>
                <w:color w:val="0000FF"/>
                <w:w w:val="97"/>
              </w:rPr>
            </w:pPr>
            <w:hyperlink r:id="rId123">
              <w:r>
                <w:rPr>
                  <w:rFonts w:ascii="Arial" w:cs="Arial" w:eastAsia="Arial" w:hAnsi="Arial"/>
                  <w:sz w:val="16"/>
                  <w:szCs w:val="16"/>
                  <w:color w:val="0000FF"/>
                  <w:w w:val="97"/>
                </w:rPr>
                <w:t>First Supplemental Indenture, dated as of October 25, 2018, among Clearway Energy</w:t>
              </w:r>
            </w:hyperlink>
          </w:p>
        </w:tc>
        <w:tc>
          <w:tcPr>
            <w:tcW w:w="434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4.3 to the Registrant's</w:t>
            </w:r>
          </w:p>
        </w:tc>
      </w:tr>
      <w:tr>
        <w:trPr>
          <w:trHeight w:val="183"/>
        </w:trPr>
        <w:tc>
          <w:tcPr>
            <w:tcW w:w="5540" w:type="dxa"/>
            <w:vAlign w:val="bottom"/>
            <w:tcBorders>
              <w:top w:val="single" w:sz="8" w:color="0000FF"/>
            </w:tcBorders>
            <w:gridSpan w:val="9"/>
          </w:tcPr>
          <w:p>
            <w:pPr>
              <w:spacing w:after="0" w:line="183" w:lineRule="exact"/>
              <w:rPr>
                <w:rFonts w:ascii="Arial" w:cs="Arial" w:eastAsia="Arial" w:hAnsi="Arial"/>
                <w:sz w:val="16"/>
                <w:szCs w:val="16"/>
                <w:color w:val="0000FF"/>
              </w:rPr>
            </w:pPr>
            <w:hyperlink r:id="rId123">
              <w:r>
                <w:rPr>
                  <w:rFonts w:ascii="Arial" w:cs="Arial" w:eastAsia="Arial" w:hAnsi="Arial"/>
                  <w:sz w:val="16"/>
                  <w:szCs w:val="16"/>
                  <w:color w:val="0000FF"/>
                </w:rPr>
                <w:t>Operating LLC, the guarantors named therein and Delaware Trust Company.</w:t>
              </w:r>
            </w:hyperlink>
          </w:p>
        </w:tc>
        <w:tc>
          <w:tcPr>
            <w:tcW w:w="400" w:type="dxa"/>
            <w:vAlign w:val="bottom"/>
            <w:gridSpan w:val="11"/>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October 31, 2018.</w:t>
            </w:r>
          </w:p>
        </w:tc>
      </w:tr>
      <w:tr>
        <w:trPr>
          <w:trHeight w:val="20"/>
        </w:trPr>
        <w:tc>
          <w:tcPr>
            <w:tcW w:w="454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763"/>
        </w:trPr>
        <w:tc>
          <w:tcPr>
            <w:tcW w:w="5660" w:type="dxa"/>
            <w:vAlign w:val="bottom"/>
            <w:tcBorders>
              <w:bottom w:val="single" w:sz="8" w:color="0000FF"/>
            </w:tcBorders>
            <w:gridSpan w:val="12"/>
          </w:tcPr>
          <w:p>
            <w:pPr>
              <w:spacing w:after="0"/>
              <w:rPr>
                <w:rFonts w:ascii="Arial" w:cs="Arial" w:eastAsia="Arial" w:hAnsi="Arial"/>
                <w:sz w:val="16"/>
                <w:szCs w:val="16"/>
                <w:color w:val="0000FF"/>
                <w:w w:val="90"/>
              </w:rPr>
            </w:pPr>
            <w:hyperlink r:id="rId124">
              <w:r>
                <w:rPr>
                  <w:rFonts w:ascii="Arial" w:cs="Arial" w:eastAsia="Arial" w:hAnsi="Arial"/>
                  <w:sz w:val="16"/>
                  <w:szCs w:val="16"/>
                  <w:color w:val="0000FF"/>
                  <w:w w:val="90"/>
                </w:rPr>
                <w:t>Tenth Supplemental Indenture, dated as of December 7, 2018, among Clearway Energy</w:t>
              </w:r>
            </w:hyperlink>
          </w:p>
        </w:tc>
        <w:tc>
          <w:tcPr>
            <w:tcW w:w="280" w:type="dxa"/>
            <w:vAlign w:val="bottom"/>
            <w:gridSpan w:val="8"/>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4.1 to the Company's</w:t>
            </w:r>
          </w:p>
        </w:tc>
      </w:tr>
      <w:tr>
        <w:trPr>
          <w:trHeight w:val="183"/>
        </w:trPr>
        <w:tc>
          <w:tcPr>
            <w:tcW w:w="5840" w:type="dxa"/>
            <w:vAlign w:val="bottom"/>
            <w:tcBorders>
              <w:bottom w:val="single" w:sz="8" w:color="0000FF"/>
            </w:tcBorders>
            <w:gridSpan w:val="17"/>
          </w:tcPr>
          <w:p>
            <w:pPr>
              <w:spacing w:after="0" w:line="183" w:lineRule="exact"/>
              <w:rPr>
                <w:rFonts w:ascii="Arial" w:cs="Arial" w:eastAsia="Arial" w:hAnsi="Arial"/>
                <w:sz w:val="16"/>
                <w:szCs w:val="16"/>
                <w:color w:val="0000FF"/>
                <w:w w:val="90"/>
              </w:rPr>
            </w:pPr>
            <w:hyperlink r:id="rId124">
              <w:r>
                <w:rPr>
                  <w:rFonts w:ascii="Arial" w:cs="Arial" w:eastAsia="Arial" w:hAnsi="Arial"/>
                  <w:sz w:val="16"/>
                  <w:szCs w:val="16"/>
                  <w:color w:val="0000FF"/>
                  <w:w w:val="90"/>
                </w:rPr>
                <w:t>Operating LLC, the guarantors named therein and Delaware Trust Company (as successor</w:t>
              </w:r>
            </w:hyperlink>
          </w:p>
        </w:tc>
        <w:tc>
          <w:tcPr>
            <w:tcW w:w="100" w:type="dxa"/>
            <w:vAlign w:val="bottom"/>
            <w:gridSpan w:val="3"/>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December 12, 2018.</w:t>
            </w:r>
          </w:p>
        </w:tc>
      </w:tr>
      <w:tr>
        <w:trPr>
          <w:trHeight w:val="183"/>
        </w:trPr>
        <w:tc>
          <w:tcPr>
            <w:tcW w:w="388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124">
              <w:r>
                <w:rPr>
                  <w:rFonts w:ascii="Arial" w:cs="Arial" w:eastAsia="Arial" w:hAnsi="Arial"/>
                  <w:sz w:val="16"/>
                  <w:szCs w:val="16"/>
                  <w:color w:val="0000FF"/>
                  <w:w w:val="92"/>
                </w:rPr>
                <w:t>in interest to Law Debenture Trust Company of New York).</w:t>
              </w:r>
            </w:hyperlink>
          </w:p>
        </w:tc>
        <w:tc>
          <w:tcPr>
            <w:tcW w:w="2060" w:type="dxa"/>
            <w:vAlign w:val="bottom"/>
            <w:gridSpan w:val="16"/>
          </w:tcPr>
          <w:p>
            <w:pPr>
              <w:spacing w:after="0"/>
              <w:rPr>
                <w:sz w:val="15"/>
                <w:szCs w:val="15"/>
                <w:color w:val="auto"/>
              </w:rPr>
            </w:pPr>
          </w:p>
        </w:tc>
        <w:tc>
          <w:tcPr>
            <w:tcW w:w="4340" w:type="dxa"/>
            <w:vAlign w:val="bottom"/>
          </w:tcPr>
          <w:p>
            <w:pPr>
              <w:spacing w:after="0"/>
              <w:rPr>
                <w:sz w:val="15"/>
                <w:szCs w:val="15"/>
                <w:color w:val="auto"/>
              </w:rPr>
            </w:pPr>
          </w:p>
        </w:tc>
      </w:tr>
      <w:tr>
        <w:trPr>
          <w:trHeight w:val="399"/>
        </w:trPr>
        <w:tc>
          <w:tcPr>
            <w:tcW w:w="5640" w:type="dxa"/>
            <w:vAlign w:val="bottom"/>
            <w:tcBorders>
              <w:bottom w:val="single" w:sz="8" w:color="0000FF"/>
            </w:tcBorders>
            <w:gridSpan w:val="11"/>
          </w:tcPr>
          <w:p>
            <w:pPr>
              <w:spacing w:after="0"/>
              <w:rPr>
                <w:rFonts w:ascii="Arial" w:cs="Arial" w:eastAsia="Arial" w:hAnsi="Arial"/>
                <w:sz w:val="16"/>
                <w:szCs w:val="16"/>
                <w:color w:val="0000FF"/>
                <w:w w:val="90"/>
              </w:rPr>
            </w:pPr>
            <w:hyperlink r:id="rId125">
              <w:r>
                <w:rPr>
                  <w:rFonts w:ascii="Arial" w:cs="Arial" w:eastAsia="Arial" w:hAnsi="Arial"/>
                  <w:sz w:val="16"/>
                  <w:szCs w:val="16"/>
                  <w:color w:val="0000FF"/>
                  <w:w w:val="90"/>
                </w:rPr>
                <w:t>Sixth Supplemental Indenture, dated as of December 7, 2018, among Clearway Energy</w:t>
              </w:r>
            </w:hyperlink>
          </w:p>
        </w:tc>
        <w:tc>
          <w:tcPr>
            <w:tcW w:w="300" w:type="dxa"/>
            <w:vAlign w:val="bottom"/>
            <w:gridSpan w:val="9"/>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4.2 to the Company's</w:t>
            </w:r>
          </w:p>
        </w:tc>
      </w:tr>
      <w:tr>
        <w:trPr>
          <w:trHeight w:val="183"/>
        </w:trPr>
        <w:tc>
          <w:tcPr>
            <w:tcW w:w="5840" w:type="dxa"/>
            <w:vAlign w:val="bottom"/>
            <w:tcBorders>
              <w:bottom w:val="single" w:sz="8" w:color="0000FF"/>
            </w:tcBorders>
            <w:gridSpan w:val="17"/>
          </w:tcPr>
          <w:p>
            <w:pPr>
              <w:spacing w:after="0" w:line="183" w:lineRule="exact"/>
              <w:rPr>
                <w:rFonts w:ascii="Arial" w:cs="Arial" w:eastAsia="Arial" w:hAnsi="Arial"/>
                <w:sz w:val="16"/>
                <w:szCs w:val="16"/>
                <w:color w:val="0000FF"/>
                <w:w w:val="90"/>
              </w:rPr>
            </w:pPr>
            <w:hyperlink r:id="rId125">
              <w:r>
                <w:rPr>
                  <w:rFonts w:ascii="Arial" w:cs="Arial" w:eastAsia="Arial" w:hAnsi="Arial"/>
                  <w:sz w:val="16"/>
                  <w:szCs w:val="16"/>
                  <w:color w:val="0000FF"/>
                  <w:w w:val="90"/>
                </w:rPr>
                <w:t>Operating LLC, the guarantors named therein and Delaware Trust Company (as successor</w:t>
              </w:r>
            </w:hyperlink>
          </w:p>
        </w:tc>
        <w:tc>
          <w:tcPr>
            <w:tcW w:w="100" w:type="dxa"/>
            <w:vAlign w:val="bottom"/>
            <w:gridSpan w:val="3"/>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December 12, 2018.</w:t>
            </w:r>
          </w:p>
        </w:tc>
      </w:tr>
      <w:tr>
        <w:trPr>
          <w:trHeight w:val="183"/>
        </w:trPr>
        <w:tc>
          <w:tcPr>
            <w:tcW w:w="388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125">
              <w:r>
                <w:rPr>
                  <w:rFonts w:ascii="Arial" w:cs="Arial" w:eastAsia="Arial" w:hAnsi="Arial"/>
                  <w:sz w:val="16"/>
                  <w:szCs w:val="16"/>
                  <w:color w:val="0000FF"/>
                  <w:w w:val="92"/>
                </w:rPr>
                <w:t>in interest to Law Debenture Trust Company of New York).</w:t>
              </w:r>
            </w:hyperlink>
          </w:p>
        </w:tc>
        <w:tc>
          <w:tcPr>
            <w:tcW w:w="2060" w:type="dxa"/>
            <w:vAlign w:val="bottom"/>
            <w:gridSpan w:val="16"/>
          </w:tcPr>
          <w:p>
            <w:pPr>
              <w:spacing w:after="0"/>
              <w:rPr>
                <w:sz w:val="15"/>
                <w:szCs w:val="15"/>
                <w:color w:val="auto"/>
              </w:rPr>
            </w:pPr>
          </w:p>
        </w:tc>
        <w:tc>
          <w:tcPr>
            <w:tcW w:w="4340" w:type="dxa"/>
            <w:vAlign w:val="bottom"/>
          </w:tcPr>
          <w:p>
            <w:pPr>
              <w:spacing w:after="0"/>
              <w:rPr>
                <w:sz w:val="15"/>
                <w:szCs w:val="15"/>
                <w:color w:val="auto"/>
              </w:rPr>
            </w:pPr>
          </w:p>
        </w:tc>
      </w:tr>
      <w:tr>
        <w:trPr>
          <w:trHeight w:val="399"/>
        </w:trPr>
        <w:tc>
          <w:tcPr>
            <w:tcW w:w="5780" w:type="dxa"/>
            <w:vAlign w:val="bottom"/>
            <w:tcBorders>
              <w:bottom w:val="single" w:sz="8" w:color="0000FF"/>
            </w:tcBorders>
            <w:gridSpan w:val="15"/>
          </w:tcPr>
          <w:p>
            <w:pPr>
              <w:spacing w:after="0"/>
              <w:rPr>
                <w:rFonts w:ascii="Arial" w:cs="Arial" w:eastAsia="Arial" w:hAnsi="Arial"/>
                <w:sz w:val="16"/>
                <w:szCs w:val="16"/>
                <w:color w:val="0000FF"/>
                <w:w w:val="90"/>
              </w:rPr>
            </w:pPr>
            <w:hyperlink r:id="rId126">
              <w:r>
                <w:rPr>
                  <w:rFonts w:ascii="Arial" w:cs="Arial" w:eastAsia="Arial" w:hAnsi="Arial"/>
                  <w:sz w:val="16"/>
                  <w:szCs w:val="16"/>
                  <w:color w:val="0000FF"/>
                  <w:w w:val="90"/>
                </w:rPr>
                <w:t>Second Supplemental Indenture, dated as of December 7, 2018, among Clearway Energy</w:t>
              </w:r>
            </w:hyperlink>
          </w:p>
        </w:tc>
        <w:tc>
          <w:tcPr>
            <w:tcW w:w="160" w:type="dxa"/>
            <w:vAlign w:val="bottom"/>
            <w:gridSpan w:val="5"/>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4.3 to the Company's</w:t>
            </w:r>
          </w:p>
        </w:tc>
      </w:tr>
      <w:tr>
        <w:trPr>
          <w:trHeight w:val="183"/>
        </w:trPr>
        <w:tc>
          <w:tcPr>
            <w:tcW w:w="5940" w:type="dxa"/>
            <w:vAlign w:val="bottom"/>
            <w:gridSpan w:val="20"/>
          </w:tcPr>
          <w:p>
            <w:pPr>
              <w:spacing w:after="0" w:line="183" w:lineRule="exact"/>
              <w:rPr>
                <w:rFonts w:ascii="Arial" w:cs="Arial" w:eastAsia="Arial" w:hAnsi="Arial"/>
                <w:sz w:val="16"/>
                <w:szCs w:val="16"/>
                <w:color w:val="0000FF"/>
              </w:rPr>
            </w:pPr>
            <w:hyperlink r:id="rId126">
              <w:r>
                <w:rPr>
                  <w:rFonts w:ascii="Arial" w:cs="Arial" w:eastAsia="Arial" w:hAnsi="Arial"/>
                  <w:sz w:val="16"/>
                  <w:szCs w:val="16"/>
                  <w:color w:val="0000FF"/>
                </w:rPr>
                <w:t>Operating LLC, the guarantors named therein and Delaware Trust Company.</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December 12, 2018.</w:t>
            </w:r>
          </w:p>
        </w:tc>
      </w:tr>
      <w:tr>
        <w:trPr>
          <w:trHeight w:val="20"/>
        </w:trPr>
        <w:tc>
          <w:tcPr>
            <w:tcW w:w="454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99"/>
        </w:trPr>
        <w:tc>
          <w:tcPr>
            <w:tcW w:w="5780" w:type="dxa"/>
            <w:vAlign w:val="bottom"/>
            <w:tcBorders>
              <w:bottom w:val="single" w:sz="8" w:color="0000FF"/>
            </w:tcBorders>
            <w:gridSpan w:val="15"/>
          </w:tcPr>
          <w:p>
            <w:pPr>
              <w:spacing w:after="0"/>
              <w:rPr>
                <w:rFonts w:ascii="Arial" w:cs="Arial" w:eastAsia="Arial" w:hAnsi="Arial"/>
                <w:sz w:val="16"/>
                <w:szCs w:val="16"/>
                <w:color w:val="0000FF"/>
                <w:w w:val="90"/>
              </w:rPr>
            </w:pPr>
            <w:hyperlink r:id="rId127">
              <w:r>
                <w:rPr>
                  <w:rFonts w:ascii="Arial" w:cs="Arial" w:eastAsia="Arial" w:hAnsi="Arial"/>
                  <w:sz w:val="16"/>
                  <w:szCs w:val="16"/>
                  <w:color w:val="0000FF"/>
                  <w:w w:val="90"/>
                </w:rPr>
                <w:t>Eleventh Supplement Indenture, dated as of September 6, 2019, among Clearway Energy</w:t>
              </w:r>
            </w:hyperlink>
          </w:p>
        </w:tc>
        <w:tc>
          <w:tcPr>
            <w:tcW w:w="160" w:type="dxa"/>
            <w:vAlign w:val="bottom"/>
            <w:gridSpan w:val="5"/>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4.1 to the Company's</w:t>
            </w:r>
          </w:p>
        </w:tc>
      </w:tr>
      <w:tr>
        <w:trPr>
          <w:trHeight w:val="183"/>
        </w:trPr>
        <w:tc>
          <w:tcPr>
            <w:tcW w:w="5840" w:type="dxa"/>
            <w:vAlign w:val="bottom"/>
            <w:tcBorders>
              <w:bottom w:val="single" w:sz="8" w:color="0000FF"/>
            </w:tcBorders>
            <w:gridSpan w:val="17"/>
          </w:tcPr>
          <w:p>
            <w:pPr>
              <w:spacing w:after="0" w:line="183" w:lineRule="exact"/>
              <w:rPr>
                <w:rFonts w:ascii="Arial" w:cs="Arial" w:eastAsia="Arial" w:hAnsi="Arial"/>
                <w:sz w:val="16"/>
                <w:szCs w:val="16"/>
                <w:color w:val="0000FF"/>
                <w:w w:val="90"/>
              </w:rPr>
            </w:pPr>
            <w:hyperlink r:id="rId127">
              <w:r>
                <w:rPr>
                  <w:rFonts w:ascii="Arial" w:cs="Arial" w:eastAsia="Arial" w:hAnsi="Arial"/>
                  <w:sz w:val="16"/>
                  <w:szCs w:val="16"/>
                  <w:color w:val="0000FF"/>
                  <w:w w:val="90"/>
                </w:rPr>
                <w:t>Operating LLC, the guarantors named therein and Delaware Trust Company (as successor</w:t>
              </w:r>
            </w:hyperlink>
          </w:p>
        </w:tc>
        <w:tc>
          <w:tcPr>
            <w:tcW w:w="100" w:type="dxa"/>
            <w:vAlign w:val="bottom"/>
            <w:gridSpan w:val="3"/>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September 12, 2019.</w:t>
            </w:r>
          </w:p>
        </w:tc>
      </w:tr>
      <w:tr>
        <w:trPr>
          <w:trHeight w:val="183"/>
        </w:trPr>
        <w:tc>
          <w:tcPr>
            <w:tcW w:w="388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127">
              <w:r>
                <w:rPr>
                  <w:rFonts w:ascii="Arial" w:cs="Arial" w:eastAsia="Arial" w:hAnsi="Arial"/>
                  <w:sz w:val="16"/>
                  <w:szCs w:val="16"/>
                  <w:color w:val="0000FF"/>
                  <w:w w:val="92"/>
                </w:rPr>
                <w:t>in interest to Law Debenture Trust Company of New York).</w:t>
              </w:r>
            </w:hyperlink>
          </w:p>
        </w:tc>
        <w:tc>
          <w:tcPr>
            <w:tcW w:w="2060" w:type="dxa"/>
            <w:vAlign w:val="bottom"/>
            <w:gridSpan w:val="16"/>
          </w:tcPr>
          <w:p>
            <w:pPr>
              <w:spacing w:after="0"/>
              <w:rPr>
                <w:sz w:val="15"/>
                <w:szCs w:val="15"/>
                <w:color w:val="auto"/>
              </w:rPr>
            </w:pPr>
          </w:p>
        </w:tc>
        <w:tc>
          <w:tcPr>
            <w:tcW w:w="4340" w:type="dxa"/>
            <w:vAlign w:val="bottom"/>
          </w:tcPr>
          <w:p>
            <w:pPr>
              <w:spacing w:after="0"/>
              <w:rPr>
                <w:sz w:val="15"/>
                <w:szCs w:val="15"/>
                <w:color w:val="auto"/>
              </w:rPr>
            </w:pPr>
          </w:p>
        </w:tc>
      </w:tr>
      <w:tr>
        <w:trPr>
          <w:trHeight w:val="399"/>
        </w:trPr>
        <w:tc>
          <w:tcPr>
            <w:tcW w:w="5860" w:type="dxa"/>
            <w:vAlign w:val="bottom"/>
            <w:tcBorders>
              <w:bottom w:val="single" w:sz="8" w:color="0000FF"/>
            </w:tcBorders>
            <w:gridSpan w:val="18"/>
          </w:tcPr>
          <w:p>
            <w:pPr>
              <w:spacing w:after="0"/>
              <w:rPr>
                <w:rFonts w:ascii="Arial" w:cs="Arial" w:eastAsia="Arial" w:hAnsi="Arial"/>
                <w:sz w:val="16"/>
                <w:szCs w:val="16"/>
                <w:color w:val="0000FF"/>
                <w:w w:val="90"/>
              </w:rPr>
            </w:pPr>
            <w:hyperlink r:id="rId128">
              <w:r>
                <w:rPr>
                  <w:rFonts w:ascii="Arial" w:cs="Arial" w:eastAsia="Arial" w:hAnsi="Arial"/>
                  <w:sz w:val="16"/>
                  <w:szCs w:val="16"/>
                  <w:color w:val="0000FF"/>
                  <w:w w:val="90"/>
                </w:rPr>
                <w:t>Seventh Supplemental Indenture, dated as of September 6, 2019, among Clearway Energy</w:t>
              </w:r>
            </w:hyperlink>
          </w:p>
        </w:tc>
        <w:tc>
          <w:tcPr>
            <w:tcW w:w="80" w:type="dxa"/>
            <w:vAlign w:val="bottom"/>
            <w:gridSpan w:val="2"/>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4.2 to the Company's</w:t>
            </w:r>
          </w:p>
        </w:tc>
      </w:tr>
      <w:tr>
        <w:trPr>
          <w:trHeight w:val="183"/>
        </w:trPr>
        <w:tc>
          <w:tcPr>
            <w:tcW w:w="5840" w:type="dxa"/>
            <w:vAlign w:val="bottom"/>
            <w:tcBorders>
              <w:bottom w:val="single" w:sz="8" w:color="0000FF"/>
            </w:tcBorders>
            <w:gridSpan w:val="17"/>
          </w:tcPr>
          <w:p>
            <w:pPr>
              <w:spacing w:after="0" w:line="183" w:lineRule="exact"/>
              <w:rPr>
                <w:rFonts w:ascii="Arial" w:cs="Arial" w:eastAsia="Arial" w:hAnsi="Arial"/>
                <w:sz w:val="16"/>
                <w:szCs w:val="16"/>
                <w:color w:val="0000FF"/>
                <w:w w:val="90"/>
              </w:rPr>
            </w:pPr>
            <w:hyperlink r:id="rId128">
              <w:r>
                <w:rPr>
                  <w:rFonts w:ascii="Arial" w:cs="Arial" w:eastAsia="Arial" w:hAnsi="Arial"/>
                  <w:sz w:val="16"/>
                  <w:szCs w:val="16"/>
                  <w:color w:val="0000FF"/>
                  <w:w w:val="90"/>
                </w:rPr>
                <w:t>Operating LLC, the guarantors named therein and Delaware Trust Company (as successor</w:t>
              </w:r>
            </w:hyperlink>
          </w:p>
        </w:tc>
        <w:tc>
          <w:tcPr>
            <w:tcW w:w="100" w:type="dxa"/>
            <w:vAlign w:val="bottom"/>
            <w:gridSpan w:val="3"/>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September 12, 2019.</w:t>
            </w:r>
          </w:p>
        </w:tc>
      </w:tr>
      <w:tr>
        <w:trPr>
          <w:trHeight w:val="183"/>
        </w:trPr>
        <w:tc>
          <w:tcPr>
            <w:tcW w:w="388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128">
              <w:r>
                <w:rPr>
                  <w:rFonts w:ascii="Arial" w:cs="Arial" w:eastAsia="Arial" w:hAnsi="Arial"/>
                  <w:sz w:val="16"/>
                  <w:szCs w:val="16"/>
                  <w:color w:val="0000FF"/>
                  <w:w w:val="92"/>
                </w:rPr>
                <w:t>in interest to Law Debenture Trust Company of New York).</w:t>
              </w:r>
            </w:hyperlink>
          </w:p>
        </w:tc>
        <w:tc>
          <w:tcPr>
            <w:tcW w:w="2060" w:type="dxa"/>
            <w:vAlign w:val="bottom"/>
            <w:gridSpan w:val="16"/>
          </w:tcPr>
          <w:p>
            <w:pPr>
              <w:spacing w:after="0"/>
              <w:rPr>
                <w:sz w:val="15"/>
                <w:szCs w:val="15"/>
                <w:color w:val="auto"/>
              </w:rPr>
            </w:pPr>
          </w:p>
        </w:tc>
        <w:tc>
          <w:tcPr>
            <w:tcW w:w="4340" w:type="dxa"/>
            <w:vAlign w:val="bottom"/>
          </w:tcPr>
          <w:p>
            <w:pPr>
              <w:spacing w:after="0"/>
              <w:rPr>
                <w:sz w:val="15"/>
                <w:szCs w:val="15"/>
                <w:color w:val="auto"/>
              </w:rPr>
            </w:pPr>
          </w:p>
        </w:tc>
      </w:tr>
      <w:tr>
        <w:trPr>
          <w:trHeight w:val="399"/>
        </w:trPr>
        <w:tc>
          <w:tcPr>
            <w:tcW w:w="5700" w:type="dxa"/>
            <w:vAlign w:val="bottom"/>
            <w:tcBorders>
              <w:bottom w:val="single" w:sz="8" w:color="0000FF"/>
            </w:tcBorders>
            <w:gridSpan w:val="14"/>
          </w:tcPr>
          <w:p>
            <w:pPr>
              <w:spacing w:after="0"/>
              <w:rPr>
                <w:rFonts w:ascii="Arial" w:cs="Arial" w:eastAsia="Arial" w:hAnsi="Arial"/>
                <w:sz w:val="16"/>
                <w:szCs w:val="16"/>
                <w:color w:val="0000FF"/>
                <w:w w:val="91"/>
              </w:rPr>
            </w:pPr>
            <w:hyperlink r:id="rId129">
              <w:r>
                <w:rPr>
                  <w:rFonts w:ascii="Arial" w:cs="Arial" w:eastAsia="Arial" w:hAnsi="Arial"/>
                  <w:sz w:val="16"/>
                  <w:szCs w:val="16"/>
                  <w:color w:val="0000FF"/>
                  <w:w w:val="91"/>
                </w:rPr>
                <w:t>Third Supplemental Indenture, dated as of September 6, 2019, among Clearway Energy</w:t>
              </w:r>
            </w:hyperlink>
          </w:p>
        </w:tc>
        <w:tc>
          <w:tcPr>
            <w:tcW w:w="240" w:type="dxa"/>
            <w:vAlign w:val="bottom"/>
            <w:gridSpan w:val="6"/>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4.3 to the Company's</w:t>
            </w:r>
          </w:p>
        </w:tc>
      </w:tr>
      <w:tr>
        <w:trPr>
          <w:trHeight w:val="183"/>
        </w:trPr>
        <w:tc>
          <w:tcPr>
            <w:tcW w:w="5940" w:type="dxa"/>
            <w:vAlign w:val="bottom"/>
            <w:gridSpan w:val="20"/>
          </w:tcPr>
          <w:p>
            <w:pPr>
              <w:spacing w:after="0" w:line="183" w:lineRule="exact"/>
              <w:rPr>
                <w:rFonts w:ascii="Arial" w:cs="Arial" w:eastAsia="Arial" w:hAnsi="Arial"/>
                <w:sz w:val="16"/>
                <w:szCs w:val="16"/>
                <w:color w:val="0000FF"/>
              </w:rPr>
            </w:pPr>
            <w:hyperlink r:id="rId129">
              <w:r>
                <w:rPr>
                  <w:rFonts w:ascii="Arial" w:cs="Arial" w:eastAsia="Arial" w:hAnsi="Arial"/>
                  <w:sz w:val="16"/>
                  <w:szCs w:val="16"/>
                  <w:color w:val="0000FF"/>
                </w:rPr>
                <w:t>Operating LLC, the guarantors named therein and Delaware Trust Company.</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September 12, 2019.</w:t>
            </w:r>
          </w:p>
        </w:tc>
      </w:tr>
      <w:tr>
        <w:trPr>
          <w:trHeight w:val="20"/>
        </w:trPr>
        <w:tc>
          <w:tcPr>
            <w:tcW w:w="454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763"/>
        </w:trPr>
        <w:tc>
          <w:tcPr>
            <w:tcW w:w="5940" w:type="dxa"/>
            <w:vAlign w:val="bottom"/>
            <w:gridSpan w:val="20"/>
          </w:tcPr>
          <w:p>
            <w:pPr>
              <w:spacing w:after="0"/>
              <w:rPr>
                <w:rFonts w:ascii="Arial" w:cs="Arial" w:eastAsia="Arial" w:hAnsi="Arial"/>
                <w:sz w:val="16"/>
                <w:szCs w:val="16"/>
                <w:color w:val="0000FF"/>
              </w:rPr>
            </w:pPr>
            <w:hyperlink r:id="rId130">
              <w:r>
                <w:rPr>
                  <w:rFonts w:ascii="Arial" w:cs="Arial" w:eastAsia="Arial" w:hAnsi="Arial"/>
                  <w:sz w:val="16"/>
                  <w:szCs w:val="16"/>
                  <w:color w:val="0000FF"/>
                </w:rPr>
                <w:t>Twelfth Supplemental Indenture, dated as of November 21, 2019, among Clearway</w:t>
              </w:r>
            </w:hyperlink>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4.1 to the Company's</w:t>
            </w:r>
          </w:p>
        </w:tc>
      </w:tr>
      <w:tr>
        <w:trPr>
          <w:trHeight w:val="20"/>
        </w:trPr>
        <w:tc>
          <w:tcPr>
            <w:tcW w:w="4540" w:type="dxa"/>
            <w:vAlign w:val="bottom"/>
            <w:gridSpan w:val="5"/>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83"/>
        </w:trPr>
        <w:tc>
          <w:tcPr>
            <w:tcW w:w="5680" w:type="dxa"/>
            <w:vAlign w:val="bottom"/>
            <w:tcBorders>
              <w:bottom w:val="single" w:sz="8" w:color="0000FF"/>
            </w:tcBorders>
            <w:gridSpan w:val="13"/>
          </w:tcPr>
          <w:p>
            <w:pPr>
              <w:spacing w:after="0" w:line="183" w:lineRule="exact"/>
              <w:rPr>
                <w:rFonts w:ascii="Arial" w:cs="Arial" w:eastAsia="Arial" w:hAnsi="Arial"/>
                <w:sz w:val="16"/>
                <w:szCs w:val="16"/>
                <w:color w:val="0000FF"/>
                <w:w w:val="91"/>
              </w:rPr>
            </w:pPr>
            <w:hyperlink r:id="rId130">
              <w:r>
                <w:rPr>
                  <w:rFonts w:ascii="Arial" w:cs="Arial" w:eastAsia="Arial" w:hAnsi="Arial"/>
                  <w:sz w:val="16"/>
                  <w:szCs w:val="16"/>
                  <w:color w:val="0000FF"/>
                  <w:w w:val="91"/>
                </w:rPr>
                <w:t>Energy Operating LLC, the guarantors named therein and Delaware Trust Company (as</w:t>
              </w:r>
            </w:hyperlink>
          </w:p>
        </w:tc>
        <w:tc>
          <w:tcPr>
            <w:tcW w:w="260" w:type="dxa"/>
            <w:vAlign w:val="bottom"/>
            <w:gridSpan w:val="7"/>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November 22, 2019.</w:t>
            </w:r>
          </w:p>
        </w:tc>
      </w:tr>
      <w:tr>
        <w:trPr>
          <w:trHeight w:val="183"/>
        </w:trPr>
        <w:tc>
          <w:tcPr>
            <w:tcW w:w="4540" w:type="dxa"/>
            <w:vAlign w:val="bottom"/>
            <w:tcBorders>
              <w:bottom w:val="single" w:sz="8" w:color="0000FF"/>
            </w:tcBorders>
            <w:gridSpan w:val="5"/>
          </w:tcPr>
          <w:p>
            <w:pPr>
              <w:spacing w:after="0" w:line="183" w:lineRule="exact"/>
              <w:rPr>
                <w:rFonts w:ascii="Arial" w:cs="Arial" w:eastAsia="Arial" w:hAnsi="Arial"/>
                <w:sz w:val="16"/>
                <w:szCs w:val="16"/>
                <w:color w:val="0000FF"/>
                <w:w w:val="91"/>
              </w:rPr>
            </w:pPr>
            <w:hyperlink r:id="rId130">
              <w:r>
                <w:rPr>
                  <w:rFonts w:ascii="Arial" w:cs="Arial" w:eastAsia="Arial" w:hAnsi="Arial"/>
                  <w:sz w:val="16"/>
                  <w:szCs w:val="16"/>
                  <w:color w:val="0000FF"/>
                  <w:w w:val="91"/>
                </w:rPr>
                <w:t>successor in interest to Law Debenture Trust Company of New York).</w:t>
              </w:r>
            </w:hyperlink>
          </w:p>
        </w:tc>
        <w:tc>
          <w:tcPr>
            <w:tcW w:w="1400" w:type="dxa"/>
            <w:vAlign w:val="bottom"/>
            <w:gridSpan w:val="15"/>
          </w:tcPr>
          <w:p>
            <w:pPr>
              <w:spacing w:after="0"/>
              <w:rPr>
                <w:sz w:val="15"/>
                <w:szCs w:val="15"/>
                <w:color w:val="auto"/>
              </w:rPr>
            </w:pPr>
          </w:p>
        </w:tc>
        <w:tc>
          <w:tcPr>
            <w:tcW w:w="4340" w:type="dxa"/>
            <w:vAlign w:val="bottom"/>
          </w:tcPr>
          <w:p>
            <w:pPr>
              <w:spacing w:after="0"/>
              <w:rPr>
                <w:sz w:val="15"/>
                <w:szCs w:val="15"/>
                <w:color w:val="auto"/>
              </w:rPr>
            </w:pPr>
          </w:p>
        </w:tc>
      </w:tr>
    </w:tbl>
    <w:p>
      <w:pPr>
        <w:spacing w:after="0" w:line="3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155</w:t>
      </w:r>
    </w:p>
    <w:p>
      <w:pPr>
        <w:sectPr>
          <w:pgSz w:w="11900" w:h="16838" w:orient="portrait"/>
          <w:cols w:equalWidth="0" w:num="2">
            <w:col w:w="320" w:space="720"/>
            <w:col w:w="10280"/>
          </w:cols>
          <w:pgMar w:left="280" w:top="1075" w:right="29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color w:val="auto"/>
        </w:rPr>
        <w:t>4.33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4.34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4.35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4.36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4.37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10.2.2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305" w:lineRule="auto"/>
        <w:rPr>
          <w:rFonts w:ascii="Arial" w:cs="Arial" w:eastAsia="Arial" w:hAnsi="Arial"/>
          <w:sz w:val="15"/>
          <w:szCs w:val="15"/>
          <w:u w:val="single" w:color="auto"/>
          <w:color w:val="0000FF"/>
        </w:rPr>
      </w:pPr>
      <w:hyperlink r:id="rId131">
        <w:r>
          <w:rPr>
            <w:rFonts w:ascii="Arial" w:cs="Arial" w:eastAsia="Arial" w:hAnsi="Arial"/>
            <w:sz w:val="15"/>
            <w:szCs w:val="15"/>
            <w:u w:val="single" w:color="auto"/>
            <w:color w:val="0000FF"/>
          </w:rPr>
          <w:t>Eighth Supplemental Indenture, dated as of November 21, 2019, among Clearway Energy</w:t>
        </w:r>
      </w:hyperlink>
      <w:r>
        <w:rPr>
          <w:rFonts w:ascii="Arial" w:cs="Arial" w:eastAsia="Arial" w:hAnsi="Arial"/>
          <w:sz w:val="15"/>
          <w:szCs w:val="15"/>
          <w:u w:val="single" w:color="auto"/>
          <w:color w:val="0000FF"/>
        </w:rPr>
        <w:t xml:space="preserve"> </w:t>
      </w:r>
      <w:hyperlink r:id="rId131">
        <w:r>
          <w:rPr>
            <w:rFonts w:ascii="Arial" w:cs="Arial" w:eastAsia="Arial" w:hAnsi="Arial"/>
            <w:sz w:val="15"/>
            <w:szCs w:val="15"/>
            <w:u w:val="single" w:color="auto"/>
            <w:color w:val="0000FF"/>
          </w:rPr>
          <w:t>Operating LLC, the guarantors named therein and Delaware Trust Company (as successor</w:t>
        </w:r>
      </w:hyperlink>
      <w:r>
        <w:rPr>
          <w:rFonts w:ascii="Arial" w:cs="Arial" w:eastAsia="Arial" w:hAnsi="Arial"/>
          <w:sz w:val="15"/>
          <w:szCs w:val="15"/>
          <w:u w:val="single" w:color="auto"/>
          <w:color w:val="0000FF"/>
        </w:rPr>
        <w:t xml:space="preserve"> </w:t>
      </w:r>
      <w:hyperlink r:id="rId131">
        <w:r>
          <w:rPr>
            <w:rFonts w:ascii="Arial" w:cs="Arial" w:eastAsia="Arial" w:hAnsi="Arial"/>
            <w:sz w:val="15"/>
            <w:szCs w:val="15"/>
            <w:u w:val="single" w:color="auto"/>
            <w:color w:val="0000FF"/>
          </w:rPr>
          <w:t>in interest to Law Debenture Trust Company of New York).</w:t>
        </w:r>
      </w:hyperlink>
    </w:p>
    <w:p>
      <w:pPr>
        <w:spacing w:after="0" w:line="328" w:lineRule="exact"/>
        <w:rPr>
          <w:rFonts w:ascii="Arial" w:cs="Arial" w:eastAsia="Arial" w:hAnsi="Arial"/>
          <w:sz w:val="15"/>
          <w:szCs w:val="15"/>
          <w:u w:val="single" w:color="auto"/>
          <w:color w:val="0000FF"/>
        </w:rPr>
      </w:pPr>
    </w:p>
    <w:p>
      <w:pPr>
        <w:jc w:val="both"/>
        <w:ind w:right="20"/>
        <w:spacing w:after="0" w:line="329" w:lineRule="auto"/>
        <w:rPr>
          <w:rFonts w:ascii="Arial" w:cs="Arial" w:eastAsia="Arial" w:hAnsi="Arial"/>
          <w:sz w:val="15"/>
          <w:szCs w:val="15"/>
          <w:u w:val="single" w:color="auto"/>
          <w:color w:val="0000FF"/>
        </w:rPr>
      </w:pPr>
      <w:hyperlink r:id="rId132">
        <w:r>
          <w:rPr>
            <w:rFonts w:ascii="Arial" w:cs="Arial" w:eastAsia="Arial" w:hAnsi="Arial"/>
            <w:sz w:val="15"/>
            <w:szCs w:val="15"/>
            <w:u w:val="single" w:color="auto"/>
            <w:color w:val="0000FF"/>
          </w:rPr>
          <w:t>Fourth Supplemental Indenture, dated as of November 21, 2019, among Clearway Energy</w:t>
        </w:r>
      </w:hyperlink>
      <w:r>
        <w:rPr>
          <w:rFonts w:ascii="Arial" w:cs="Arial" w:eastAsia="Arial" w:hAnsi="Arial"/>
          <w:sz w:val="15"/>
          <w:szCs w:val="15"/>
          <w:u w:val="single" w:color="auto"/>
          <w:color w:val="0000FF"/>
        </w:rPr>
        <w:t xml:space="preserve"> </w:t>
      </w:r>
      <w:hyperlink r:id="rId132">
        <w:r>
          <w:rPr>
            <w:rFonts w:ascii="Arial" w:cs="Arial" w:eastAsia="Arial" w:hAnsi="Arial"/>
            <w:sz w:val="15"/>
            <w:szCs w:val="15"/>
            <w:u w:val="single" w:color="auto"/>
            <w:color w:val="0000FF"/>
          </w:rPr>
          <w:t>Operating LLC, the guarantors named therein and Delaware Trust Company.</w:t>
        </w:r>
      </w:hyperlink>
    </w:p>
    <w:p>
      <w:pPr>
        <w:spacing w:after="0" w:line="200" w:lineRule="exact"/>
        <w:rPr>
          <w:sz w:val="20"/>
          <w:szCs w:val="20"/>
          <w:color w:val="auto"/>
        </w:rPr>
      </w:pPr>
    </w:p>
    <w:p>
      <w:pPr>
        <w:spacing w:after="0" w:line="313" w:lineRule="exact"/>
        <w:rPr>
          <w:sz w:val="20"/>
          <w:szCs w:val="20"/>
          <w:color w:val="auto"/>
        </w:rPr>
      </w:pPr>
    </w:p>
    <w:p>
      <w:pPr>
        <w:ind w:right="480"/>
        <w:spacing w:after="0" w:line="329" w:lineRule="auto"/>
        <w:rPr>
          <w:rFonts w:ascii="Arial" w:cs="Arial" w:eastAsia="Arial" w:hAnsi="Arial"/>
          <w:sz w:val="15"/>
          <w:szCs w:val="15"/>
          <w:u w:val="single" w:color="auto"/>
          <w:color w:val="0000FF"/>
        </w:rPr>
      </w:pPr>
      <w:hyperlink r:id="rId133">
        <w:r>
          <w:rPr>
            <w:rFonts w:ascii="Arial" w:cs="Arial" w:eastAsia="Arial" w:hAnsi="Arial"/>
            <w:sz w:val="15"/>
            <w:szCs w:val="15"/>
            <w:u w:val="single" w:color="auto"/>
            <w:color w:val="0000FF"/>
          </w:rPr>
          <w:t>Indenture, dated December 11, 2019, among Clearway Energy Operating LLC, the</w:t>
        </w:r>
      </w:hyperlink>
      <w:r>
        <w:rPr>
          <w:rFonts w:ascii="Arial" w:cs="Arial" w:eastAsia="Arial" w:hAnsi="Arial"/>
          <w:sz w:val="15"/>
          <w:szCs w:val="15"/>
          <w:u w:val="single" w:color="auto"/>
          <w:color w:val="0000FF"/>
        </w:rPr>
        <w:t xml:space="preserve"> </w:t>
      </w:r>
      <w:hyperlink r:id="rId133">
        <w:r>
          <w:rPr>
            <w:rFonts w:ascii="Arial" w:cs="Arial" w:eastAsia="Arial" w:hAnsi="Arial"/>
            <w:sz w:val="15"/>
            <w:szCs w:val="15"/>
            <w:u w:val="single" w:color="auto"/>
            <w:color w:val="0000FF"/>
          </w:rPr>
          <w:t>guarantors named therein and Delaware Trust Company, as trustee.</w:t>
        </w:r>
      </w:hyperlink>
    </w:p>
    <w:p>
      <w:pPr>
        <w:spacing w:after="0" w:line="148" w:lineRule="exact"/>
        <w:rPr>
          <w:sz w:val="20"/>
          <w:szCs w:val="20"/>
          <w:color w:val="auto"/>
        </w:rPr>
      </w:pPr>
    </w:p>
    <w:p>
      <w:pPr>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Form of 4.750% Senior Note due 2028.</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rFonts w:ascii="Arial" w:cs="Arial" w:eastAsia="Arial" w:hAnsi="Arial"/>
          <w:sz w:val="16"/>
          <w:szCs w:val="16"/>
          <w:u w:val="single" w:color="auto"/>
          <w:color w:val="0000FF"/>
        </w:rPr>
      </w:pPr>
      <w:hyperlink w:anchor="page166">
        <w:r>
          <w:rPr>
            <w:rFonts w:ascii="Arial" w:cs="Arial" w:eastAsia="Arial" w:hAnsi="Arial"/>
            <w:sz w:val="16"/>
            <w:szCs w:val="16"/>
            <w:u w:val="single" w:color="auto"/>
            <w:color w:val="0000FF"/>
          </w:rPr>
          <w:t>Description of Securities.</w:t>
        </w:r>
      </w:hyperlink>
    </w:p>
    <w:p>
      <w:pPr>
        <w:spacing w:after="0" w:line="200" w:lineRule="exact"/>
        <w:rPr>
          <w:sz w:val="20"/>
          <w:szCs w:val="20"/>
          <w:color w:val="auto"/>
        </w:rPr>
      </w:pPr>
    </w:p>
    <w:p>
      <w:pPr>
        <w:spacing w:after="0" w:line="318" w:lineRule="exact"/>
        <w:rPr>
          <w:sz w:val="20"/>
          <w:szCs w:val="20"/>
          <w:color w:val="auto"/>
        </w:rPr>
      </w:pPr>
    </w:p>
    <w:p>
      <w:pPr>
        <w:ind w:right="340"/>
        <w:spacing w:after="0" w:line="293" w:lineRule="auto"/>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Third Amended and Restated Right of First Offer Agreement, dated as of August 31,</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2018, by and between NRG Yield, Inc. and NRG Energy, Inc.</w:t>
        </w:r>
      </w:hyperlink>
    </w:p>
    <w:p>
      <w:pPr>
        <w:spacing w:after="0" w:line="375" w:lineRule="exact"/>
        <w:rPr>
          <w:sz w:val="20"/>
          <w:szCs w:val="20"/>
          <w:color w:val="auto"/>
        </w:rPr>
      </w:pPr>
    </w:p>
    <w:p>
      <w:pPr>
        <w:ind w:right="100"/>
        <w:spacing w:after="0" w:line="278" w:lineRule="auto"/>
        <w:rPr>
          <w:rFonts w:ascii="Arial" w:cs="Arial" w:eastAsia="Arial" w:hAnsi="Arial"/>
          <w:sz w:val="16"/>
          <w:szCs w:val="16"/>
          <w:u w:val="single" w:color="auto"/>
          <w:color w:val="0000FF"/>
        </w:rPr>
      </w:pPr>
      <w:hyperlink r:id="rId135">
        <w:r>
          <w:rPr>
            <w:rFonts w:ascii="Arial" w:cs="Arial" w:eastAsia="Arial" w:hAnsi="Arial"/>
            <w:sz w:val="16"/>
            <w:szCs w:val="16"/>
            <w:u w:val="single" w:color="auto"/>
            <w:color w:val="0000FF"/>
          </w:rPr>
          <w:t>Right of First Offer Agreement, dated as of August 31, 2018, by and among NRG Yield,</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Inc., Zephyr Renewables LLC and solely for purposes of Section 2.4, GIP III Zephyr</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Acquisition Partners, L.P.</w:t>
        </w:r>
      </w:hyperlink>
    </w:p>
    <w:p>
      <w:pPr>
        <w:spacing w:after="0" w:line="103" w:lineRule="exact"/>
        <w:rPr>
          <w:rFonts w:ascii="Arial" w:cs="Arial" w:eastAsia="Arial" w:hAnsi="Arial"/>
          <w:sz w:val="16"/>
          <w:szCs w:val="16"/>
          <w:u w:val="single" w:color="auto"/>
          <w:color w:val="0000FF"/>
        </w:rPr>
      </w:pPr>
    </w:p>
    <w:p>
      <w:pPr>
        <w:ind w:right="300"/>
        <w:spacing w:after="0" w:line="293" w:lineRule="auto"/>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First Amendment to Right of First Offer Agreement, dated February 14, 2019, by and</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between Clearway Energy Group LLC and Clearway Energy, Inc.</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0"/>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November 22, 2019.</w:t>
      </w:r>
    </w:p>
    <w:p>
      <w:pPr>
        <w:spacing w:after="0" w:line="200" w:lineRule="exact"/>
        <w:rPr>
          <w:sz w:val="20"/>
          <w:szCs w:val="20"/>
          <w:color w:val="auto"/>
        </w:rPr>
      </w:pPr>
    </w:p>
    <w:p>
      <w:pPr>
        <w:spacing w:after="0" w:line="291" w:lineRule="exact"/>
        <w:rPr>
          <w:sz w:val="20"/>
          <w:szCs w:val="20"/>
          <w:color w:val="auto"/>
        </w:rPr>
      </w:pPr>
    </w:p>
    <w:p>
      <w:pPr>
        <w:ind w:right="80"/>
        <w:spacing w:after="0" w:line="369" w:lineRule="auto"/>
        <w:rPr>
          <w:sz w:val="20"/>
          <w:szCs w:val="20"/>
          <w:color w:val="auto"/>
        </w:rPr>
      </w:pPr>
      <w:r>
        <w:rPr>
          <w:rFonts w:ascii="Arial" w:cs="Arial" w:eastAsia="Arial" w:hAnsi="Arial"/>
          <w:sz w:val="14"/>
          <w:szCs w:val="14"/>
          <w:color w:val="auto"/>
        </w:rPr>
        <w:t>Incorporated herein by reference to Exhibit 4.3 to the Company's Current Report on Form 8-K filed on November 22, 2019.</w:t>
      </w:r>
    </w:p>
    <w:p>
      <w:pPr>
        <w:spacing w:after="0" w:line="200" w:lineRule="exact"/>
        <w:rPr>
          <w:sz w:val="20"/>
          <w:szCs w:val="20"/>
          <w:color w:val="auto"/>
        </w:rPr>
      </w:pPr>
    </w:p>
    <w:p>
      <w:pPr>
        <w:spacing w:after="0" w:line="291" w:lineRule="exact"/>
        <w:rPr>
          <w:sz w:val="20"/>
          <w:szCs w:val="20"/>
          <w:color w:val="auto"/>
        </w:rPr>
      </w:pPr>
    </w:p>
    <w:p>
      <w:pPr>
        <w:ind w:right="8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December 12, 2019.</w:t>
      </w:r>
    </w:p>
    <w:p>
      <w:pPr>
        <w:spacing w:after="0" w:line="126" w:lineRule="exact"/>
        <w:rPr>
          <w:sz w:val="20"/>
          <w:szCs w:val="20"/>
          <w:color w:val="auto"/>
        </w:rPr>
      </w:pPr>
    </w:p>
    <w:p>
      <w:pPr>
        <w:ind w:right="8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December 12, 2019.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37"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10.5 to Clearway Energy, Inc.'s Current Report on Form 8-K filed on September 5, 2018.</w:t>
      </w:r>
    </w:p>
    <w:p>
      <w:pPr>
        <w:spacing w:after="0" w:line="18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10.3 to Clearway Energy, Inc.'s Current Report on Form 8-K filed on September 5, 2018.</w:t>
      </w:r>
    </w:p>
    <w:p>
      <w:pPr>
        <w:spacing w:after="0" w:line="184"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February 14, 2019.</w:t>
      </w:r>
    </w:p>
    <w:p>
      <w:pPr>
        <w:spacing w:after="0" w:line="103" w:lineRule="exact"/>
        <w:rPr>
          <w:sz w:val="20"/>
          <w:szCs w:val="20"/>
          <w:color w:val="auto"/>
        </w:rPr>
      </w:pPr>
    </w:p>
    <w:p>
      <w:pPr>
        <w:sectPr>
          <w:pgSz w:w="11900" w:h="16838" w:orient="portrait"/>
          <w:cols w:equalWidth="0" w:num="3">
            <w:col w:w="400" w:space="640"/>
            <w:col w:w="5840" w:space="200"/>
            <w:col w:w="4280"/>
          </w:cols>
          <w:pgMar w:left="280" w:top="1075" w:right="259" w:bottom="0" w:gutter="0" w:footer="0" w:header="0"/>
        </w:sectPr>
      </w:pPr>
    </w:p>
    <w:p>
      <w:pPr>
        <w:spacing w:after="0"/>
        <w:rPr>
          <w:sz w:val="20"/>
          <w:szCs w:val="20"/>
          <w:color w:val="auto"/>
        </w:rPr>
      </w:pPr>
      <w:r>
        <w:rPr>
          <w:rFonts w:ascii="Arial" w:cs="Arial" w:eastAsia="Arial" w:hAnsi="Arial"/>
          <w:sz w:val="14"/>
          <w:szCs w:val="14"/>
          <w:color w:val="auto"/>
        </w:rPr>
        <w:t>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br w:type="column"/>
      </w:r>
    </w:p>
    <w:p>
      <w:pPr>
        <w:ind w:right="320"/>
        <w:spacing w:after="0" w:line="293" w:lineRule="auto"/>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Second Amendment to Right of First Offer Agreement, dated August 1, 2019, by and</w:t>
        </w:r>
      </w:hyperlink>
      <w:r>
        <w:rPr>
          <w:rFonts w:ascii="Arial" w:cs="Arial" w:eastAsia="Arial" w:hAnsi="Arial"/>
          <w:sz w:val="16"/>
          <w:szCs w:val="16"/>
          <w:u w:val="single" w:color="auto"/>
          <w:color w:val="0000FF"/>
        </w:rPr>
        <w:t xml:space="preserve"> </w:t>
      </w:r>
      <w:hyperlink r:id="rId137">
        <w:r>
          <w:rPr>
            <w:rFonts w:ascii="Arial" w:cs="Arial" w:eastAsia="Arial" w:hAnsi="Arial"/>
            <w:sz w:val="16"/>
            <w:szCs w:val="16"/>
            <w:u w:val="single" w:color="auto"/>
            <w:color w:val="0000FF"/>
          </w:rPr>
          <w:t>between Clearway Energy Group LLC and Clearway Energy, Inc.</w:t>
        </w:r>
      </w:hyperlink>
    </w:p>
    <w:p>
      <w:pPr>
        <w:spacing w:after="0" w:line="200" w:lineRule="exact"/>
        <w:rPr>
          <w:sz w:val="20"/>
          <w:szCs w:val="20"/>
          <w:color w:val="auto"/>
        </w:rPr>
      </w:pPr>
    </w:p>
    <w:p>
      <w:pPr>
        <w:spacing w:after="0" w:line="377" w:lineRule="exact"/>
        <w:rPr>
          <w:sz w:val="20"/>
          <w:szCs w:val="20"/>
          <w:color w:val="auto"/>
        </w:rPr>
      </w:pPr>
    </w:p>
    <w:p>
      <w:pPr>
        <w:ind w:right="160"/>
        <w:spacing w:after="0" w:line="278" w:lineRule="auto"/>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Third Amendment to Right of First Offer Agreement, dated as of December 6, 2019, by</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and between Clearway Energy Group LLC, Clearway Energy, Inc. and GIP III Zephyr</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Acquisition Partners, L.P.</w:t>
        </w:r>
      </w:hyperlink>
    </w:p>
    <w:p>
      <w:pPr>
        <w:spacing w:after="0" w:line="306" w:lineRule="exact"/>
        <w:rPr>
          <w:rFonts w:ascii="Arial" w:cs="Arial" w:eastAsia="Arial" w:hAnsi="Arial"/>
          <w:sz w:val="16"/>
          <w:szCs w:val="16"/>
          <w:u w:val="single" w:color="auto"/>
          <w:color w:val="0000FF"/>
        </w:rPr>
      </w:pPr>
    </w:p>
    <w:p>
      <w:pPr>
        <w:spacing w:after="0" w:line="329" w:lineRule="auto"/>
        <w:rPr>
          <w:rFonts w:ascii="Arial" w:cs="Arial" w:eastAsia="Arial" w:hAnsi="Arial"/>
          <w:sz w:val="15"/>
          <w:szCs w:val="15"/>
          <w:u w:val="single" w:color="auto"/>
          <w:color w:val="0000FF"/>
        </w:rPr>
      </w:pPr>
      <w:hyperlink r:id="rId139">
        <w:r>
          <w:rPr>
            <w:rFonts w:ascii="Arial" w:cs="Arial" w:eastAsia="Arial" w:hAnsi="Arial"/>
            <w:sz w:val="15"/>
            <w:szCs w:val="15"/>
            <w:u w:val="single" w:color="auto"/>
            <w:color w:val="0000FF"/>
          </w:rPr>
          <w:t>Master Services Agreement, dated as of August 31, 2018, by and among NRG Yield, Inc.,</w:t>
        </w:r>
      </w:hyperlink>
      <w:r>
        <w:rPr>
          <w:rFonts w:ascii="Arial" w:cs="Arial" w:eastAsia="Arial" w:hAnsi="Arial"/>
          <w:sz w:val="15"/>
          <w:szCs w:val="15"/>
          <w:u w:val="single" w:color="auto"/>
          <w:color w:val="0000FF"/>
        </w:rPr>
        <w:t xml:space="preserve"> </w:t>
      </w:r>
      <w:hyperlink r:id="rId139">
        <w:r>
          <w:rPr>
            <w:rFonts w:ascii="Arial" w:cs="Arial" w:eastAsia="Arial" w:hAnsi="Arial"/>
            <w:sz w:val="15"/>
            <w:szCs w:val="15"/>
            <w:u w:val="single" w:color="auto"/>
            <w:color w:val="0000FF"/>
          </w:rPr>
          <w:t>NRG Yield LLC, NRG Yield Operating LLC and Zephyr Renewables LLC.</w:t>
        </w:r>
      </w:hyperlink>
    </w:p>
    <w:p>
      <w:pPr>
        <w:spacing w:after="0" w:line="351" w:lineRule="exact"/>
        <w:rPr>
          <w:sz w:val="20"/>
          <w:szCs w:val="20"/>
          <w:color w:val="auto"/>
        </w:rPr>
      </w:pPr>
    </w:p>
    <w:p>
      <w:pPr>
        <w:ind w:right="240"/>
        <w:spacing w:after="0" w:line="329" w:lineRule="auto"/>
        <w:rPr>
          <w:rFonts w:ascii="Arial" w:cs="Arial" w:eastAsia="Arial" w:hAnsi="Arial"/>
          <w:sz w:val="15"/>
          <w:szCs w:val="15"/>
          <w:u w:val="single" w:color="auto"/>
          <w:color w:val="0000FF"/>
        </w:rPr>
      </w:pPr>
      <w:hyperlink r:id="rId140">
        <w:r>
          <w:rPr>
            <w:rFonts w:ascii="Arial" w:cs="Arial" w:eastAsia="Arial" w:hAnsi="Arial"/>
            <w:sz w:val="15"/>
            <w:szCs w:val="15"/>
            <w:u w:val="single" w:color="auto"/>
            <w:color w:val="0000FF"/>
          </w:rPr>
          <w:t>Master Services Agreement, dated as of August 31, 2018, by and among Zephyr</w:t>
        </w:r>
      </w:hyperlink>
      <w:r>
        <w:rPr>
          <w:rFonts w:ascii="Arial" w:cs="Arial" w:eastAsia="Arial" w:hAnsi="Arial"/>
          <w:sz w:val="15"/>
          <w:szCs w:val="15"/>
          <w:u w:val="single" w:color="auto"/>
          <w:color w:val="0000FF"/>
        </w:rPr>
        <w:t xml:space="preserve"> </w:t>
      </w:r>
      <w:hyperlink r:id="rId140">
        <w:r>
          <w:rPr>
            <w:rFonts w:ascii="Arial" w:cs="Arial" w:eastAsia="Arial" w:hAnsi="Arial"/>
            <w:sz w:val="15"/>
            <w:szCs w:val="15"/>
            <w:u w:val="single" w:color="auto"/>
            <w:color w:val="0000FF"/>
          </w:rPr>
          <w:t>Renewables LLC, NRG Yield, Inc., NRG Yield LLC, and NRG Yield Operating LLC.</w:t>
        </w:r>
      </w:hyperlink>
    </w:p>
    <w:p>
      <w:pPr>
        <w:spacing w:after="0" w:line="351" w:lineRule="exact"/>
        <w:rPr>
          <w:sz w:val="20"/>
          <w:szCs w:val="20"/>
          <w:color w:val="auto"/>
        </w:rPr>
      </w:pPr>
    </w:p>
    <w:p>
      <w:pPr>
        <w:ind w:right="260"/>
        <w:spacing w:after="0" w:line="293" w:lineRule="auto"/>
        <w:rPr>
          <w:rFonts w:ascii="Arial" w:cs="Arial" w:eastAsia="Arial" w:hAnsi="Arial"/>
          <w:sz w:val="16"/>
          <w:szCs w:val="16"/>
          <w:u w:val="single" w:color="auto"/>
          <w:color w:val="0000FF"/>
        </w:rPr>
      </w:pPr>
      <w:hyperlink r:id="rId141">
        <w:r>
          <w:rPr>
            <w:rFonts w:ascii="Arial" w:cs="Arial" w:eastAsia="Arial" w:hAnsi="Arial"/>
            <w:sz w:val="16"/>
            <w:szCs w:val="16"/>
            <w:u w:val="single" w:color="auto"/>
            <w:color w:val="0000FF"/>
          </w:rPr>
          <w:t>Termination Agreement, dated as of August 31, 2018, by and among NRG Yield, Inc.,</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NRG Yield LLC, NRG Yield Operating LLC and NRG Energy, Inc.</w:t>
        </w:r>
      </w:hyperlink>
    </w:p>
    <w:p>
      <w:pPr>
        <w:spacing w:after="0" w:line="20" w:lineRule="exact"/>
        <w:rPr>
          <w:sz w:val="20"/>
          <w:szCs w:val="20"/>
          <w:color w:val="auto"/>
        </w:rPr>
      </w:pPr>
      <w:r>
        <w:rPr>
          <w:sz w:val="20"/>
          <w:szCs w:val="20"/>
          <w:color w:val="auto"/>
        </w:rPr>
        <w:br w:type="column"/>
      </w:r>
    </w:p>
    <w:p>
      <w:pPr>
        <w:ind w:right="220"/>
        <w:spacing w:after="0" w:line="278"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August 6, 2019.</w:t>
      </w:r>
    </w:p>
    <w:p>
      <w:pPr>
        <w:spacing w:after="0" w:line="387"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9, 2019.</w:t>
      </w:r>
    </w:p>
    <w:p>
      <w:pPr>
        <w:spacing w:after="0" w:line="306"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September 5, 2018.</w:t>
      </w:r>
    </w:p>
    <w:p>
      <w:pPr>
        <w:spacing w:after="0" w:line="18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10.2 to Clearway Energy, Inc.'s Current Report on Form 8-K filed on September 5, 2018.</w:t>
      </w:r>
    </w:p>
    <w:p>
      <w:pPr>
        <w:spacing w:after="0" w:line="18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10.9 to Clearway Energy, Inc.'s Current Report on Form 8-K filed on September 5, 2018.</w:t>
      </w:r>
    </w:p>
    <w:p>
      <w:pPr>
        <w:spacing w:after="0" w:line="103" w:lineRule="exact"/>
        <w:rPr>
          <w:sz w:val="20"/>
          <w:szCs w:val="20"/>
          <w:color w:val="auto"/>
        </w:rPr>
      </w:pPr>
    </w:p>
    <w:p>
      <w:pPr>
        <w:sectPr>
          <w:pgSz w:w="11900" w:h="16838" w:orient="portrait"/>
          <w:cols w:equalWidth="0" w:num="3">
            <w:col w:w="400" w:space="640"/>
            <w:col w:w="5840" w:space="200"/>
            <w:col w:w="4280"/>
          </w:cols>
          <w:pgMar w:left="280" w:top="1075" w:right="259" w:bottom="0" w:gutter="0" w:footer="0" w:header="0"/>
          <w:type w:val="continuous"/>
        </w:sectPr>
      </w:pPr>
    </w:p>
    <w:p>
      <w:pPr>
        <w:spacing w:after="0"/>
        <w:rPr>
          <w:sz w:val="20"/>
          <w:szCs w:val="20"/>
          <w:color w:val="auto"/>
        </w:rPr>
      </w:pPr>
      <w:r>
        <w:rPr>
          <w:rFonts w:ascii="Arial" w:cs="Arial" w:eastAsia="Arial" w:hAnsi="Arial"/>
          <w:sz w:val="14"/>
          <w:szCs w:val="14"/>
          <w:color w:val="auto"/>
        </w:rPr>
        <w:t>10.6.1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10.6.2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10.6.3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10.6.4</w:t>
      </w:r>
    </w:p>
    <w:p>
      <w:pPr>
        <w:spacing w:after="0" w:line="20" w:lineRule="exact"/>
        <w:rPr>
          <w:sz w:val="20"/>
          <w:szCs w:val="20"/>
          <w:color w:val="auto"/>
        </w:rPr>
      </w:pPr>
      <w:r>
        <w:rPr>
          <w:sz w:val="20"/>
          <w:szCs w:val="20"/>
          <w:color w:val="auto"/>
        </w:rPr>
        <w:br w:type="column"/>
      </w:r>
    </w:p>
    <w:p>
      <w:pPr>
        <w:ind w:right="60"/>
        <w:spacing w:after="0" w:line="271" w:lineRule="auto"/>
        <w:rPr>
          <w:rFonts w:ascii="Arial" w:cs="Arial" w:eastAsia="Arial" w:hAnsi="Arial"/>
          <w:sz w:val="16"/>
          <w:szCs w:val="16"/>
          <w:u w:val="single" w:color="auto"/>
          <w:color w:val="0000FF"/>
        </w:rPr>
      </w:pPr>
      <w:hyperlink r:id="rId142">
        <w:r>
          <w:rPr>
            <w:rFonts w:ascii="Arial" w:cs="Arial" w:eastAsia="Arial" w:hAnsi="Arial"/>
            <w:sz w:val="16"/>
            <w:szCs w:val="16"/>
            <w:u w:val="single" w:color="auto"/>
            <w:color w:val="0000FF"/>
          </w:rPr>
          <w:t>Amended and Restated Credit Agreement, dated April 25, 2014, by and among NRG</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Yield Operating LLC, NRG Yield LLC, Royal Bank of Canada, as Administrative Agent,</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the lenders party thereto, Royal Bank of Canada, Goldman Sachs Bank USA and Bank of</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America, N.A., as L/C Issuers and RBC Capital Markets as Sole Left Lead Arranger and</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Sole Left Lead Book Runner.</w:t>
        </w:r>
      </w:hyperlink>
    </w:p>
    <w:p>
      <w:pPr>
        <w:spacing w:after="0" w:line="109" w:lineRule="exact"/>
        <w:rPr>
          <w:rFonts w:ascii="Arial" w:cs="Arial" w:eastAsia="Arial" w:hAnsi="Arial"/>
          <w:sz w:val="16"/>
          <w:szCs w:val="16"/>
          <w:u w:val="single" w:color="auto"/>
          <w:color w:val="0000FF"/>
        </w:rPr>
      </w:pPr>
    </w:p>
    <w:p>
      <w:pPr>
        <w:ind w:right="20"/>
        <w:spacing w:after="0" w:line="278" w:lineRule="auto"/>
        <w:rPr>
          <w:rFonts w:ascii="Arial" w:cs="Arial" w:eastAsia="Arial" w:hAnsi="Arial"/>
          <w:sz w:val="16"/>
          <w:szCs w:val="16"/>
          <w:u w:val="single" w:color="auto"/>
          <w:color w:val="0000FF"/>
        </w:rPr>
      </w:pPr>
      <w:hyperlink r:id="rId143">
        <w:r>
          <w:rPr>
            <w:rFonts w:ascii="Arial" w:cs="Arial" w:eastAsia="Arial" w:hAnsi="Arial"/>
            <w:sz w:val="16"/>
            <w:szCs w:val="16"/>
            <w:u w:val="single" w:color="auto"/>
            <w:color w:val="0000FF"/>
          </w:rPr>
          <w:t>First Amendment to Amended &amp; Restated Credit Agreement, dated June 26, 2015, by and</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among NRG Yield Operating LLC, NRG Yield LLC, Royal Bank of Canada and the</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Lenders party thereto.</w:t>
        </w:r>
      </w:hyperlink>
    </w:p>
    <w:p>
      <w:pPr>
        <w:spacing w:after="0" w:line="144" w:lineRule="exact"/>
        <w:rPr>
          <w:rFonts w:ascii="Arial" w:cs="Arial" w:eastAsia="Arial" w:hAnsi="Arial"/>
          <w:sz w:val="16"/>
          <w:szCs w:val="16"/>
          <w:u w:val="single" w:color="auto"/>
          <w:color w:val="0000FF"/>
        </w:rPr>
      </w:pPr>
    </w:p>
    <w:p>
      <w:pPr>
        <w:jc w:val="both"/>
        <w:ind w:right="60"/>
        <w:spacing w:after="0" w:line="305" w:lineRule="auto"/>
        <w:rPr>
          <w:rFonts w:ascii="Arial" w:cs="Arial" w:eastAsia="Arial" w:hAnsi="Arial"/>
          <w:sz w:val="15"/>
          <w:szCs w:val="15"/>
          <w:u w:val="single" w:color="auto"/>
          <w:color w:val="0000FF"/>
        </w:rPr>
      </w:pPr>
      <w:hyperlink r:id="rId144">
        <w:r>
          <w:rPr>
            <w:rFonts w:ascii="Arial" w:cs="Arial" w:eastAsia="Arial" w:hAnsi="Arial"/>
            <w:sz w:val="15"/>
            <w:szCs w:val="15"/>
            <w:u w:val="single" w:color="auto"/>
            <w:color w:val="0000FF"/>
          </w:rPr>
          <w:t>Second Amendment to Amended &amp; Restated Credit Agreement, dated February 6, 2018,</w:t>
        </w:r>
      </w:hyperlink>
      <w:r>
        <w:rPr>
          <w:rFonts w:ascii="Arial" w:cs="Arial" w:eastAsia="Arial" w:hAnsi="Arial"/>
          <w:sz w:val="15"/>
          <w:szCs w:val="15"/>
          <w:u w:val="single" w:color="auto"/>
          <w:color w:val="0000FF"/>
        </w:rPr>
        <w:t xml:space="preserve"> </w:t>
      </w:r>
      <w:hyperlink r:id="rId144">
        <w:r>
          <w:rPr>
            <w:rFonts w:ascii="Arial" w:cs="Arial" w:eastAsia="Arial" w:hAnsi="Arial"/>
            <w:sz w:val="15"/>
            <w:szCs w:val="15"/>
            <w:u w:val="single" w:color="auto"/>
            <w:color w:val="0000FF"/>
          </w:rPr>
          <w:t>by and among NRG Yield Operating LLC, NRG Yield LLC, the guarantors party thereto,</w:t>
        </w:r>
      </w:hyperlink>
      <w:r>
        <w:rPr>
          <w:rFonts w:ascii="Arial" w:cs="Arial" w:eastAsia="Arial" w:hAnsi="Arial"/>
          <w:sz w:val="15"/>
          <w:szCs w:val="15"/>
          <w:u w:val="single" w:color="auto"/>
          <w:color w:val="0000FF"/>
        </w:rPr>
        <w:t xml:space="preserve"> </w:t>
      </w:r>
      <w:hyperlink r:id="rId144">
        <w:r>
          <w:rPr>
            <w:rFonts w:ascii="Arial" w:cs="Arial" w:eastAsia="Arial" w:hAnsi="Arial"/>
            <w:sz w:val="15"/>
            <w:szCs w:val="15"/>
            <w:u w:val="single" w:color="auto"/>
            <w:color w:val="0000FF"/>
          </w:rPr>
          <w:t>Royal Bank of Canada, as Administrative Agent, and the lenders party thereto.</w:t>
        </w:r>
      </w:hyperlink>
    </w:p>
    <w:p>
      <w:pPr>
        <w:spacing w:after="0" w:line="288" w:lineRule="exact"/>
        <w:rPr>
          <w:rFonts w:ascii="Arial" w:cs="Arial" w:eastAsia="Arial" w:hAnsi="Arial"/>
          <w:sz w:val="15"/>
          <w:szCs w:val="15"/>
          <w:u w:val="single" w:color="auto"/>
          <w:color w:val="0000FF"/>
        </w:rPr>
      </w:pPr>
    </w:p>
    <w:p>
      <w:pPr>
        <w:spacing w:after="0" w:line="293" w:lineRule="auto"/>
        <w:rPr>
          <w:rFonts w:ascii="Arial" w:cs="Arial" w:eastAsia="Arial" w:hAnsi="Arial"/>
          <w:sz w:val="15"/>
          <w:szCs w:val="15"/>
          <w:u w:val="single" w:color="auto"/>
          <w:color w:val="0000FF"/>
        </w:rPr>
      </w:pPr>
      <w:hyperlink r:id="rId145">
        <w:r>
          <w:rPr>
            <w:rFonts w:ascii="Arial" w:cs="Arial" w:eastAsia="Arial" w:hAnsi="Arial"/>
            <w:sz w:val="15"/>
            <w:szCs w:val="15"/>
            <w:u w:val="single" w:color="auto"/>
            <w:color w:val="0000FF"/>
          </w:rPr>
          <w:t>Third Amendment to Amended and Restated Credit Agreement and Administrative Agent</w:t>
        </w:r>
      </w:hyperlink>
      <w:r>
        <w:rPr>
          <w:rFonts w:ascii="Arial" w:cs="Arial" w:eastAsia="Arial" w:hAnsi="Arial"/>
          <w:sz w:val="15"/>
          <w:szCs w:val="15"/>
          <w:u w:val="single" w:color="auto"/>
          <w:color w:val="0000FF"/>
        </w:rPr>
        <w:t xml:space="preserve"> </w:t>
      </w:r>
      <w:hyperlink r:id="rId145">
        <w:r>
          <w:rPr>
            <w:rFonts w:ascii="Arial" w:cs="Arial" w:eastAsia="Arial" w:hAnsi="Arial"/>
            <w:sz w:val="15"/>
            <w:szCs w:val="15"/>
            <w:u w:val="single" w:color="auto"/>
            <w:color w:val="0000FF"/>
          </w:rPr>
          <w:t>Resignation and Appointment Agreement, dated as of April 30, 2018, by and among NRG</w:t>
        </w:r>
      </w:hyperlink>
      <w:r>
        <w:rPr>
          <w:rFonts w:ascii="Arial" w:cs="Arial" w:eastAsia="Arial" w:hAnsi="Arial"/>
          <w:sz w:val="15"/>
          <w:szCs w:val="15"/>
          <w:u w:val="single" w:color="auto"/>
          <w:color w:val="0000FF"/>
        </w:rPr>
        <w:t xml:space="preserve"> </w:t>
      </w:r>
      <w:hyperlink r:id="rId145">
        <w:r>
          <w:rPr>
            <w:rFonts w:ascii="Arial" w:cs="Arial" w:eastAsia="Arial" w:hAnsi="Arial"/>
            <w:sz w:val="15"/>
            <w:szCs w:val="15"/>
            <w:u w:val="single" w:color="auto"/>
            <w:color w:val="0000FF"/>
          </w:rPr>
          <w:t>Yield Operating LLC, NRG Yield LLC, the guarantors party thereto, Royal Bank of</w:t>
        </w:r>
      </w:hyperlink>
      <w:r>
        <w:rPr>
          <w:rFonts w:ascii="Arial" w:cs="Arial" w:eastAsia="Arial" w:hAnsi="Arial"/>
          <w:sz w:val="15"/>
          <w:szCs w:val="15"/>
          <w:u w:val="single" w:color="auto"/>
          <w:color w:val="0000FF"/>
        </w:rPr>
        <w:t xml:space="preserve"> </w:t>
      </w:r>
      <w:hyperlink r:id="rId145">
        <w:r>
          <w:rPr>
            <w:rFonts w:ascii="Arial" w:cs="Arial" w:eastAsia="Arial" w:hAnsi="Arial"/>
            <w:sz w:val="15"/>
            <w:szCs w:val="15"/>
            <w:u w:val="single" w:color="auto"/>
            <w:color w:val="0000FF"/>
          </w:rPr>
          <w:t>Canada, as Resigning Administrative Agent, JPMorgan Chase Bank, N.A., as Successor</w:t>
        </w:r>
      </w:hyperlink>
      <w:r>
        <w:rPr>
          <w:rFonts w:ascii="Arial" w:cs="Arial" w:eastAsia="Arial" w:hAnsi="Arial"/>
          <w:sz w:val="15"/>
          <w:szCs w:val="15"/>
          <w:u w:val="single" w:color="auto"/>
          <w:color w:val="0000FF"/>
        </w:rPr>
        <w:t xml:space="preserve"> </w:t>
      </w:r>
      <w:hyperlink r:id="rId145">
        <w:r>
          <w:rPr>
            <w:rFonts w:ascii="Arial" w:cs="Arial" w:eastAsia="Arial" w:hAnsi="Arial"/>
            <w:sz w:val="15"/>
            <w:szCs w:val="15"/>
            <w:u w:val="single" w:color="auto"/>
            <w:color w:val="0000FF"/>
          </w:rPr>
          <w:t>Administrative Agent, and the lenders party thereto.</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ind w:right="240"/>
        <w:spacing w:after="0" w:line="369" w:lineRule="auto"/>
        <w:rPr>
          <w:sz w:val="20"/>
          <w:szCs w:val="20"/>
          <w:color w:val="auto"/>
        </w:rPr>
      </w:pPr>
      <w:r>
        <w:rPr>
          <w:rFonts w:ascii="Arial" w:cs="Arial" w:eastAsia="Arial" w:hAnsi="Arial"/>
          <w:sz w:val="14"/>
          <w:szCs w:val="14"/>
          <w:color w:val="auto"/>
        </w:rPr>
        <w:t>Incorporated by reference to Exhibit 10.1 to Clearway Energy, Inc.'s Current Report on Form 8-K filed on April 28, 2014.</w:t>
      </w:r>
    </w:p>
    <w:p>
      <w:pPr>
        <w:spacing w:after="0" w:line="200" w:lineRule="exact"/>
        <w:rPr>
          <w:rFonts w:ascii="Arial" w:cs="Arial" w:eastAsia="Arial" w:hAnsi="Arial"/>
          <w:sz w:val="15"/>
          <w:szCs w:val="15"/>
          <w:u w:val="single" w:color="auto"/>
          <w:color w:val="0000FF"/>
        </w:rPr>
      </w:pPr>
    </w:p>
    <w:p>
      <w:pPr>
        <w:spacing w:after="0" w:line="372" w:lineRule="exact"/>
        <w:rPr>
          <w:rFonts w:ascii="Arial" w:cs="Arial" w:eastAsia="Arial" w:hAnsi="Arial"/>
          <w:sz w:val="15"/>
          <w:szCs w:val="15"/>
          <w:u w:val="single" w:color="auto"/>
          <w:color w:val="0000FF"/>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10.9 to Clearway Energy, Inc.'s Quarterly Report on Form 10-Q filed on August 4, 2015.</w:t>
      </w:r>
    </w:p>
    <w:p>
      <w:pPr>
        <w:spacing w:after="0" w:line="225" w:lineRule="exact"/>
        <w:rPr>
          <w:rFonts w:ascii="Arial" w:cs="Arial" w:eastAsia="Arial" w:hAnsi="Arial"/>
          <w:sz w:val="15"/>
          <w:szCs w:val="15"/>
          <w:u w:val="single" w:color="auto"/>
          <w:color w:val="0000FF"/>
        </w:rPr>
      </w:pPr>
    </w:p>
    <w:p>
      <w:pPr>
        <w:ind w:right="26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February 12, 2018.</w:t>
      </w:r>
    </w:p>
    <w:p>
      <w:pPr>
        <w:spacing w:after="0" w:line="225" w:lineRule="exact"/>
        <w:rPr>
          <w:rFonts w:ascii="Arial" w:cs="Arial" w:eastAsia="Arial" w:hAnsi="Arial"/>
          <w:sz w:val="15"/>
          <w:szCs w:val="15"/>
          <w:u w:val="single" w:color="auto"/>
          <w:color w:val="0000FF"/>
        </w:rPr>
      </w:pPr>
    </w:p>
    <w:p>
      <w:pPr>
        <w:spacing w:after="0" w:line="369" w:lineRule="auto"/>
        <w:rPr>
          <w:sz w:val="20"/>
          <w:szCs w:val="20"/>
          <w:color w:val="auto"/>
        </w:rPr>
      </w:pPr>
      <w:r>
        <w:rPr>
          <w:rFonts w:ascii="Arial" w:cs="Arial" w:eastAsia="Arial" w:hAnsi="Arial"/>
          <w:sz w:val="14"/>
          <w:szCs w:val="14"/>
          <w:color w:val="auto"/>
        </w:rPr>
        <w:t>Incorporated herein by reference to Exhibit 10.1 to the Company's Quarterly Report on Form 10-Q filed on May 3, 2018.</w:t>
      </w:r>
    </w:p>
    <w:p>
      <w:pPr>
        <w:spacing w:after="0" w:line="838" w:lineRule="exact"/>
        <w:rPr>
          <w:rFonts w:ascii="Arial" w:cs="Arial" w:eastAsia="Arial" w:hAnsi="Arial"/>
          <w:sz w:val="15"/>
          <w:szCs w:val="15"/>
          <w:u w:val="single" w:color="auto"/>
          <w:color w:val="0000FF"/>
        </w:rPr>
      </w:pPr>
    </w:p>
    <w:p>
      <w:pPr>
        <w:sectPr>
          <w:pgSz w:w="11900" w:h="16838" w:orient="portrait"/>
          <w:cols w:equalWidth="0" w:num="3">
            <w:col w:w="400" w:space="640"/>
            <w:col w:w="5860" w:space="180"/>
            <w:col w:w="4280"/>
          </w:cols>
          <w:pgMar w:left="280" w:top="1075" w:right="259" w:bottom="0" w:gutter="0" w:footer="0" w:header="0"/>
          <w:type w:val="continuous"/>
        </w:sectPr>
      </w:pPr>
    </w:p>
    <w:p>
      <w:pPr>
        <w:spacing w:after="0" w:line="80" w:lineRule="exact"/>
        <w:rPr>
          <w:rFonts w:ascii="Arial" w:cs="Arial" w:eastAsia="Arial" w:hAnsi="Arial"/>
          <w:sz w:val="15"/>
          <w:szCs w:val="15"/>
          <w:u w:val="single" w:color="auto"/>
          <w:color w:val="0000FF"/>
        </w:rPr>
      </w:pPr>
    </w:p>
    <w:p>
      <w:pPr>
        <w:jc w:val="center"/>
        <w:ind w:right="20"/>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1360"/>
          </w:cols>
          <w:pgMar w:left="280" w:top="1075" w:right="259" w:bottom="0"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10.6.5</w:t>
            </w:r>
          </w:p>
        </w:tc>
        <w:tc>
          <w:tcPr>
            <w:tcW w:w="5700" w:type="dxa"/>
            <w:vAlign w:val="bottom"/>
            <w:tcBorders>
              <w:bottom w:val="single" w:sz="8" w:color="0000FF"/>
            </w:tcBorders>
            <w:gridSpan w:val="10"/>
          </w:tcPr>
          <w:p>
            <w:pPr>
              <w:spacing w:after="0"/>
              <w:rPr>
                <w:rFonts w:ascii="Arial" w:cs="Arial" w:eastAsia="Arial" w:hAnsi="Arial"/>
                <w:sz w:val="16"/>
                <w:szCs w:val="16"/>
                <w:color w:val="0000FF"/>
                <w:w w:val="91"/>
              </w:rPr>
            </w:pPr>
            <w:hyperlink r:id="rId146">
              <w:r>
                <w:rPr>
                  <w:rFonts w:ascii="Arial" w:cs="Arial" w:eastAsia="Arial" w:hAnsi="Arial"/>
                  <w:sz w:val="16"/>
                  <w:szCs w:val="16"/>
                  <w:color w:val="0000FF"/>
                  <w:w w:val="91"/>
                </w:rPr>
                <w:t>Fourth Amendment to Amended and Restated Credit Agreement, dated as of November</w:t>
              </w:r>
            </w:hyperlink>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tcBorders>
              <w:bottom w:val="single" w:sz="8" w:color="0000FF"/>
            </w:tcBorders>
            <w:gridSpan w:val="6"/>
          </w:tcPr>
          <w:p>
            <w:pPr>
              <w:spacing w:after="0" w:line="183" w:lineRule="exact"/>
              <w:rPr>
                <w:rFonts w:ascii="Arial" w:cs="Arial" w:eastAsia="Arial" w:hAnsi="Arial"/>
                <w:sz w:val="16"/>
                <w:szCs w:val="16"/>
                <w:color w:val="0000FF"/>
                <w:w w:val="92"/>
              </w:rPr>
            </w:pPr>
            <w:hyperlink r:id="rId146">
              <w:r>
                <w:rPr>
                  <w:rFonts w:ascii="Arial" w:cs="Arial" w:eastAsia="Arial" w:hAnsi="Arial"/>
                  <w:sz w:val="16"/>
                  <w:szCs w:val="16"/>
                  <w:color w:val="0000FF"/>
                  <w:w w:val="92"/>
                </w:rPr>
                <w:t>30, 2018, by and among Clearway Energy Operating LLC, Clearway Energy LLC, the</w:t>
              </w:r>
            </w:hyperlink>
          </w:p>
        </w:tc>
        <w:tc>
          <w:tcPr>
            <w:tcW w:w="2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40" w:type="dxa"/>
            <w:vAlign w:val="bottom"/>
            <w:tcBorders>
              <w:bottom w:val="single" w:sz="8" w:color="0000FF"/>
            </w:tcBorders>
            <w:gridSpan w:val="7"/>
          </w:tcPr>
          <w:p>
            <w:pPr>
              <w:spacing w:after="0" w:line="183" w:lineRule="exact"/>
              <w:rPr>
                <w:rFonts w:ascii="Arial" w:cs="Arial" w:eastAsia="Arial" w:hAnsi="Arial"/>
                <w:sz w:val="16"/>
                <w:szCs w:val="16"/>
                <w:color w:val="0000FF"/>
                <w:w w:val="90"/>
              </w:rPr>
            </w:pPr>
            <w:hyperlink r:id="rId146">
              <w:r>
                <w:rPr>
                  <w:rFonts w:ascii="Arial" w:cs="Arial" w:eastAsia="Arial" w:hAnsi="Arial"/>
                  <w:sz w:val="16"/>
                  <w:szCs w:val="16"/>
                  <w:color w:val="0000FF"/>
                  <w:w w:val="90"/>
                </w:rPr>
                <w:t>guarantors party thereto, JPMorgan Chase Bank, N.A., as administrative agent, and the</w:t>
              </w:r>
            </w:hyperlink>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00" w:type="dxa"/>
            <w:vAlign w:val="bottom"/>
            <w:gridSpan w:val="12"/>
          </w:tcPr>
          <w:p>
            <w:pPr>
              <w:spacing w:after="0" w:line="183" w:lineRule="exact"/>
              <w:rPr>
                <w:rFonts w:ascii="Arial" w:cs="Arial" w:eastAsia="Arial" w:hAnsi="Arial"/>
                <w:sz w:val="16"/>
                <w:szCs w:val="16"/>
                <w:color w:val="0000FF"/>
              </w:rPr>
            </w:pPr>
            <w:hyperlink r:id="rId146">
              <w:r>
                <w:rPr>
                  <w:rFonts w:ascii="Arial" w:cs="Arial" w:eastAsia="Arial" w:hAnsi="Arial"/>
                  <w:sz w:val="16"/>
                  <w:szCs w:val="16"/>
                  <w:color w:val="0000FF"/>
                </w:rPr>
                <w:t>lenders party thereto.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Arial" w:cs="Arial" w:eastAsia="Arial" w:hAnsi="Arial"/>
                <w:sz w:val="16"/>
                <w:szCs w:val="16"/>
                <w:color w:val="auto"/>
              </w:rPr>
              <w:t>10.6.6</w:t>
            </w:r>
          </w:p>
        </w:tc>
        <w:tc>
          <w:tcPr>
            <w:tcW w:w="5800" w:type="dxa"/>
            <w:vAlign w:val="bottom"/>
            <w:tcBorders>
              <w:bottom w:val="single" w:sz="8" w:color="0000FF"/>
            </w:tcBorders>
            <w:gridSpan w:val="12"/>
          </w:tcPr>
          <w:p>
            <w:pPr>
              <w:spacing w:after="0"/>
              <w:rPr>
                <w:rFonts w:ascii="Arial" w:cs="Arial" w:eastAsia="Arial" w:hAnsi="Arial"/>
                <w:sz w:val="16"/>
                <w:szCs w:val="16"/>
                <w:color w:val="0000FF"/>
                <w:w w:val="91"/>
              </w:rPr>
            </w:pPr>
            <w:hyperlink r:id="rId147">
              <w:r>
                <w:rPr>
                  <w:rFonts w:ascii="Arial" w:cs="Arial" w:eastAsia="Arial" w:hAnsi="Arial"/>
                  <w:sz w:val="16"/>
                  <w:szCs w:val="16"/>
                  <w:color w:val="0000FF"/>
                  <w:w w:val="91"/>
                </w:rPr>
                <w:t>Fifth Amendment to Amended and Restated Credit Agreement, dated as of December 20,</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360" w:type="dxa"/>
            <w:vAlign w:val="bottom"/>
            <w:tcBorders>
              <w:bottom w:val="single" w:sz="8" w:color="0000FF"/>
            </w:tcBorders>
            <w:gridSpan w:val="5"/>
          </w:tcPr>
          <w:p>
            <w:pPr>
              <w:spacing w:after="0" w:line="183" w:lineRule="exact"/>
              <w:rPr>
                <w:rFonts w:ascii="Arial" w:cs="Arial" w:eastAsia="Arial" w:hAnsi="Arial"/>
                <w:sz w:val="16"/>
                <w:szCs w:val="16"/>
                <w:color w:val="0000FF"/>
                <w:w w:val="92"/>
              </w:rPr>
            </w:pPr>
            <w:hyperlink r:id="rId147">
              <w:r>
                <w:rPr>
                  <w:rFonts w:ascii="Arial" w:cs="Arial" w:eastAsia="Arial" w:hAnsi="Arial"/>
                  <w:sz w:val="16"/>
                  <w:szCs w:val="16"/>
                  <w:color w:val="0000FF"/>
                  <w:w w:val="92"/>
                </w:rPr>
                <w:t>2019, by and among Clearway Energy Operating LLC, Clearway Energy LLC, the</w:t>
              </w:r>
            </w:hyperlink>
          </w:p>
        </w:tc>
        <w:tc>
          <w:tcPr>
            <w:tcW w:w="4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40" w:type="dxa"/>
            <w:vAlign w:val="bottom"/>
            <w:tcBorders>
              <w:bottom w:val="single" w:sz="8" w:color="0000FF"/>
            </w:tcBorders>
            <w:gridSpan w:val="7"/>
          </w:tcPr>
          <w:p>
            <w:pPr>
              <w:spacing w:after="0" w:line="183" w:lineRule="exact"/>
              <w:rPr>
                <w:rFonts w:ascii="Arial" w:cs="Arial" w:eastAsia="Arial" w:hAnsi="Arial"/>
                <w:sz w:val="16"/>
                <w:szCs w:val="16"/>
                <w:color w:val="0000FF"/>
                <w:w w:val="90"/>
              </w:rPr>
            </w:pPr>
            <w:hyperlink r:id="rId147">
              <w:r>
                <w:rPr>
                  <w:rFonts w:ascii="Arial" w:cs="Arial" w:eastAsia="Arial" w:hAnsi="Arial"/>
                  <w:sz w:val="16"/>
                  <w:szCs w:val="16"/>
                  <w:color w:val="0000FF"/>
                  <w:w w:val="90"/>
                </w:rPr>
                <w:t>guarantors party thereto, JPMorgan Chase Bank, N.A., as administrative agent, and the</w:t>
              </w:r>
            </w:hyperlink>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00" w:type="dxa"/>
            <w:vAlign w:val="bottom"/>
            <w:gridSpan w:val="12"/>
          </w:tcPr>
          <w:p>
            <w:pPr>
              <w:spacing w:after="0" w:line="183" w:lineRule="exact"/>
              <w:rPr>
                <w:rFonts w:ascii="Arial" w:cs="Arial" w:eastAsia="Arial" w:hAnsi="Arial"/>
                <w:sz w:val="16"/>
                <w:szCs w:val="16"/>
                <w:color w:val="0000FF"/>
              </w:rPr>
            </w:pPr>
            <w:hyperlink r:id="rId147">
              <w:r>
                <w:rPr>
                  <w:rFonts w:ascii="Arial" w:cs="Arial" w:eastAsia="Arial" w:hAnsi="Arial"/>
                  <w:sz w:val="16"/>
                  <w:szCs w:val="16"/>
                  <w:color w:val="0000FF"/>
                </w:rPr>
                <w:t>lenders party thereto.</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6"/>
                <w:szCs w:val="16"/>
                <w:color w:val="auto"/>
              </w:rPr>
              <w:t>10.7^</w:t>
            </w:r>
          </w:p>
        </w:tc>
        <w:tc>
          <w:tcPr>
            <w:tcW w:w="13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040" w:type="dxa"/>
            <w:vAlign w:val="bottom"/>
            <w:vMerge w:val="continue"/>
          </w:tcPr>
          <w:p>
            <w:pPr>
              <w:spacing w:after="0"/>
              <w:rPr>
                <w:sz w:val="24"/>
                <w:szCs w:val="24"/>
                <w:color w:val="auto"/>
              </w:rPr>
            </w:pPr>
          </w:p>
        </w:tc>
        <w:tc>
          <w:tcPr>
            <w:tcW w:w="5640" w:type="dxa"/>
            <w:vAlign w:val="bottom"/>
            <w:gridSpan w:val="7"/>
            <w:vMerge w:val="restart"/>
          </w:tcPr>
          <w:p>
            <w:pPr>
              <w:spacing w:after="0"/>
              <w:rPr>
                <w:rFonts w:ascii="Arial" w:cs="Arial" w:eastAsia="Arial" w:hAnsi="Arial"/>
                <w:sz w:val="16"/>
                <w:szCs w:val="16"/>
                <w:color w:val="0000FF"/>
                <w:w w:val="93"/>
              </w:rPr>
            </w:pPr>
            <w:hyperlink r:id="rId148">
              <w:r>
                <w:rPr>
                  <w:rFonts w:ascii="Arial" w:cs="Arial" w:eastAsia="Arial" w:hAnsi="Arial"/>
                  <w:sz w:val="16"/>
                  <w:szCs w:val="16"/>
                  <w:color w:val="0000FF"/>
                  <w:w w:val="93"/>
                </w:rPr>
                <w:t>Amended and Restated Limited Liability Company Agreement of NRG RPV Holdco 1</w:t>
              </w:r>
            </w:hyperlink>
          </w:p>
        </w:tc>
        <w:tc>
          <w:tcPr>
            <w:tcW w:w="16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640" w:type="dxa"/>
            <w:vAlign w:val="bottom"/>
            <w:tcBorders>
              <w:bottom w:val="single" w:sz="8" w:color="0000FF"/>
            </w:tcBorders>
            <w:gridSpan w:val="7"/>
            <w:vMerge w:val="continue"/>
          </w:tcPr>
          <w:p>
            <w:pPr>
              <w:spacing w:after="0"/>
              <w:rPr>
                <w:sz w:val="4"/>
                <w:szCs w:val="4"/>
                <w:color w:val="auto"/>
              </w:rPr>
            </w:pPr>
          </w:p>
        </w:tc>
        <w:tc>
          <w:tcPr>
            <w:tcW w:w="1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040" w:type="dxa"/>
            <w:vAlign w:val="bottom"/>
            <w:tcBorders>
              <w:bottom w:val="single" w:sz="8" w:color="0000FF"/>
            </w:tcBorders>
            <w:gridSpan w:val="3"/>
          </w:tcPr>
          <w:p>
            <w:pPr>
              <w:spacing w:after="0" w:line="183" w:lineRule="exact"/>
              <w:rPr>
                <w:rFonts w:ascii="Arial" w:cs="Arial" w:eastAsia="Arial" w:hAnsi="Arial"/>
                <w:sz w:val="16"/>
                <w:szCs w:val="16"/>
                <w:color w:val="0000FF"/>
                <w:w w:val="93"/>
              </w:rPr>
            </w:pPr>
            <w:hyperlink r:id="rId148">
              <w:r>
                <w:rPr>
                  <w:rFonts w:ascii="Arial" w:cs="Arial" w:eastAsia="Arial" w:hAnsi="Arial"/>
                  <w:sz w:val="16"/>
                  <w:szCs w:val="16"/>
                  <w:color w:val="0000FF"/>
                  <w:w w:val="93"/>
                </w:rPr>
                <w:t>LLC, dated as of April 9, 2015.</w:t>
              </w:r>
            </w:hyperlink>
          </w:p>
        </w:tc>
        <w:tc>
          <w:tcPr>
            <w:tcW w:w="37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040" w:type="dxa"/>
            <w:vAlign w:val="bottom"/>
          </w:tcPr>
          <w:p>
            <w:pPr>
              <w:spacing w:after="0"/>
              <w:rPr>
                <w:sz w:val="20"/>
                <w:szCs w:val="20"/>
                <w:color w:val="auto"/>
              </w:rPr>
            </w:pPr>
            <w:r>
              <w:rPr>
                <w:rFonts w:ascii="Arial" w:cs="Arial" w:eastAsia="Arial" w:hAnsi="Arial"/>
                <w:sz w:val="16"/>
                <w:szCs w:val="16"/>
                <w:color w:val="auto"/>
              </w:rPr>
              <w:t>10.8^</w:t>
            </w:r>
          </w:p>
        </w:tc>
        <w:tc>
          <w:tcPr>
            <w:tcW w:w="5800" w:type="dxa"/>
            <w:vAlign w:val="bottom"/>
            <w:gridSpan w:val="12"/>
            <w:vMerge w:val="restart"/>
          </w:tcPr>
          <w:p>
            <w:pPr>
              <w:spacing w:after="0"/>
              <w:rPr>
                <w:rFonts w:ascii="Arial" w:cs="Arial" w:eastAsia="Arial" w:hAnsi="Arial"/>
                <w:sz w:val="16"/>
                <w:szCs w:val="16"/>
                <w:color w:val="0000FF"/>
                <w:w w:val="94"/>
              </w:rPr>
            </w:pPr>
            <w:hyperlink r:id="rId149">
              <w:r>
                <w:rPr>
                  <w:rFonts w:ascii="Arial" w:cs="Arial" w:eastAsia="Arial" w:hAnsi="Arial"/>
                  <w:sz w:val="16"/>
                  <w:szCs w:val="16"/>
                  <w:color w:val="0000FF"/>
                  <w:w w:val="94"/>
                </w:rPr>
                <w:t>Amended and Restated Limited Liability Company Agreement of NRG DGPV Holdco 1</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0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760" w:type="dxa"/>
            <w:vAlign w:val="bottom"/>
            <w:tcBorders>
              <w:top w:val="single" w:sz="8" w:color="0000FF"/>
            </w:tcBorders>
            <w:gridSpan w:val="11"/>
          </w:tcPr>
          <w:p>
            <w:pPr>
              <w:spacing w:after="0" w:line="183" w:lineRule="exact"/>
              <w:rPr>
                <w:rFonts w:ascii="Arial" w:cs="Arial" w:eastAsia="Arial" w:hAnsi="Arial"/>
                <w:sz w:val="16"/>
                <w:szCs w:val="16"/>
                <w:color w:val="0000FF"/>
              </w:rPr>
            </w:pPr>
            <w:hyperlink r:id="rId149">
              <w:r>
                <w:rPr>
                  <w:rFonts w:ascii="Arial" w:cs="Arial" w:eastAsia="Arial" w:hAnsi="Arial"/>
                  <w:sz w:val="16"/>
                  <w:szCs w:val="16"/>
                  <w:color w:val="0000FF"/>
                </w:rPr>
                <w:t>LLC, dated as of May 8, 2015.</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color w:val="auto"/>
              </w:rPr>
              <w:t>10.9^</w:t>
            </w:r>
          </w:p>
        </w:tc>
        <w:tc>
          <w:tcPr>
            <w:tcW w:w="5800" w:type="dxa"/>
            <w:vAlign w:val="bottom"/>
            <w:gridSpan w:val="12"/>
          </w:tcPr>
          <w:p>
            <w:pPr>
              <w:spacing w:after="0"/>
              <w:rPr>
                <w:rFonts w:ascii="Arial" w:cs="Arial" w:eastAsia="Arial" w:hAnsi="Arial"/>
                <w:sz w:val="16"/>
                <w:szCs w:val="16"/>
                <w:color w:val="0000FF"/>
                <w:w w:val="95"/>
              </w:rPr>
            </w:pPr>
            <w:hyperlink r:id="rId150">
              <w:r>
                <w:rPr>
                  <w:rFonts w:ascii="Arial" w:cs="Arial" w:eastAsia="Arial" w:hAnsi="Arial"/>
                  <w:sz w:val="16"/>
                  <w:szCs w:val="16"/>
                  <w:color w:val="0000FF"/>
                  <w:w w:val="95"/>
                </w:rPr>
                <w:t>Amendment No. 1 to Amended and Restated Limited Liability Company Agreement of</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680" w:type="dxa"/>
            <w:vAlign w:val="bottom"/>
            <w:tcBorders>
              <w:bottom w:val="single" w:sz="8" w:color="0000FF"/>
            </w:tcBorders>
            <w:gridSpan w:val="9"/>
          </w:tcPr>
          <w:p>
            <w:pPr>
              <w:spacing w:after="0" w:line="183" w:lineRule="exact"/>
              <w:rPr>
                <w:rFonts w:ascii="Arial" w:cs="Arial" w:eastAsia="Arial" w:hAnsi="Arial"/>
                <w:sz w:val="16"/>
                <w:szCs w:val="16"/>
                <w:color w:val="0000FF"/>
                <w:w w:val="93"/>
              </w:rPr>
            </w:pPr>
            <w:hyperlink r:id="rId150">
              <w:r>
                <w:rPr>
                  <w:rFonts w:ascii="Arial" w:cs="Arial" w:eastAsia="Arial" w:hAnsi="Arial"/>
                  <w:sz w:val="16"/>
                  <w:szCs w:val="16"/>
                  <w:color w:val="0000FF"/>
                  <w:w w:val="93"/>
                </w:rPr>
                <w:t>NRG RPV Holdco 1 LLC, dated as of March 1, 2016, by and between NRG Yield RPV</w:t>
              </w:r>
            </w:hyperlink>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00" w:type="dxa"/>
            <w:vAlign w:val="bottom"/>
            <w:gridSpan w:val="12"/>
          </w:tcPr>
          <w:p>
            <w:pPr>
              <w:spacing w:after="0" w:line="183" w:lineRule="exact"/>
              <w:rPr>
                <w:rFonts w:ascii="Arial" w:cs="Arial" w:eastAsia="Arial" w:hAnsi="Arial"/>
                <w:sz w:val="16"/>
                <w:szCs w:val="16"/>
                <w:color w:val="0000FF"/>
              </w:rPr>
            </w:pPr>
            <w:hyperlink r:id="rId150">
              <w:r>
                <w:rPr>
                  <w:rFonts w:ascii="Arial" w:cs="Arial" w:eastAsia="Arial" w:hAnsi="Arial"/>
                  <w:sz w:val="16"/>
                  <w:szCs w:val="16"/>
                  <w:color w:val="0000FF"/>
                </w:rPr>
                <w:t>Holding LLC and NRG Residential Solar Solutions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spacing w:after="0"/>
              <w:rPr>
                <w:sz w:val="20"/>
                <w:szCs w:val="20"/>
                <w:color w:val="auto"/>
              </w:rPr>
            </w:pPr>
            <w:r>
              <w:rPr>
                <w:rFonts w:ascii="Arial" w:cs="Arial" w:eastAsia="Arial" w:hAnsi="Arial"/>
                <w:sz w:val="16"/>
                <w:szCs w:val="16"/>
                <w:color w:val="auto"/>
              </w:rPr>
              <w:t>10.10^</w:t>
            </w:r>
          </w:p>
        </w:tc>
        <w:tc>
          <w:tcPr>
            <w:tcW w:w="5840" w:type="dxa"/>
            <w:vAlign w:val="bottom"/>
            <w:gridSpan w:val="10"/>
            <w:vMerge w:val="restart"/>
          </w:tcPr>
          <w:p>
            <w:pPr>
              <w:spacing w:after="0"/>
              <w:rPr>
                <w:rFonts w:ascii="Arial" w:cs="Arial" w:eastAsia="Arial" w:hAnsi="Arial"/>
                <w:sz w:val="16"/>
                <w:szCs w:val="16"/>
                <w:color w:val="0000FF"/>
                <w:w w:val="95"/>
              </w:rPr>
            </w:pPr>
            <w:hyperlink r:id="rId151">
              <w:r>
                <w:rPr>
                  <w:rFonts w:ascii="Arial" w:cs="Arial" w:eastAsia="Arial" w:hAnsi="Arial"/>
                  <w:sz w:val="16"/>
                  <w:szCs w:val="16"/>
                  <w:color w:val="0000FF"/>
                  <w:w w:val="95"/>
                </w:rPr>
                <w:t>Amendment No. 2 to Amended and Restated Limited Liability Company Agreement of</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10"/>
          </w:tcPr>
          <w:p>
            <w:pPr>
              <w:spacing w:after="0" w:line="183" w:lineRule="exact"/>
              <w:rPr>
                <w:rFonts w:ascii="Arial" w:cs="Arial" w:eastAsia="Arial" w:hAnsi="Arial"/>
                <w:sz w:val="16"/>
                <w:szCs w:val="16"/>
                <w:color w:val="0000FF"/>
                <w:w w:val="93"/>
              </w:rPr>
            </w:pPr>
            <w:hyperlink r:id="rId151">
              <w:r>
                <w:rPr>
                  <w:rFonts w:ascii="Arial" w:cs="Arial" w:eastAsia="Arial" w:hAnsi="Arial"/>
                  <w:sz w:val="16"/>
                  <w:szCs w:val="16"/>
                  <w:color w:val="0000FF"/>
                  <w:w w:val="93"/>
                </w:rPr>
                <w:t>NRG DGPV Holdco 1 LLC, dated as of March 1, 2016, by and among NRG Yield DGPV</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580" w:type="dxa"/>
            <w:vAlign w:val="bottom"/>
            <w:tcBorders>
              <w:bottom w:val="single" w:sz="8" w:color="0000FF"/>
            </w:tcBorders>
            <w:gridSpan w:val="4"/>
          </w:tcPr>
          <w:p>
            <w:pPr>
              <w:spacing w:after="0" w:line="183" w:lineRule="exact"/>
              <w:rPr>
                <w:rFonts w:ascii="Arial" w:cs="Arial" w:eastAsia="Arial" w:hAnsi="Arial"/>
                <w:sz w:val="16"/>
                <w:szCs w:val="16"/>
                <w:color w:val="0000FF"/>
                <w:w w:val="95"/>
              </w:rPr>
            </w:pPr>
            <w:hyperlink r:id="rId151">
              <w:r>
                <w:rPr>
                  <w:rFonts w:ascii="Arial" w:cs="Arial" w:eastAsia="Arial" w:hAnsi="Arial"/>
                  <w:sz w:val="16"/>
                  <w:szCs w:val="16"/>
                  <w:color w:val="0000FF"/>
                  <w:w w:val="95"/>
                </w:rPr>
                <w:t>Holding LLC, NRG Renew DG Holdings LLC and NRG Renew LLC.</w:t>
              </w:r>
            </w:hyperlink>
          </w:p>
        </w:tc>
        <w:tc>
          <w:tcPr>
            <w:tcW w:w="12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555"/>
        </w:trPr>
        <w:tc>
          <w:tcPr>
            <w:tcW w:w="1040" w:type="dxa"/>
            <w:vAlign w:val="bottom"/>
          </w:tcPr>
          <w:p>
            <w:pPr>
              <w:spacing w:after="0"/>
              <w:rPr>
                <w:sz w:val="20"/>
                <w:szCs w:val="20"/>
                <w:color w:val="auto"/>
              </w:rPr>
            </w:pPr>
            <w:r>
              <w:rPr>
                <w:rFonts w:ascii="Arial" w:cs="Arial" w:eastAsia="Arial" w:hAnsi="Arial"/>
                <w:sz w:val="16"/>
                <w:szCs w:val="16"/>
                <w:color w:val="auto"/>
              </w:rPr>
              <w:t>10.11^</w:t>
            </w:r>
          </w:p>
        </w:tc>
        <w:tc>
          <w:tcPr>
            <w:tcW w:w="5840" w:type="dxa"/>
            <w:vAlign w:val="bottom"/>
            <w:gridSpan w:val="10"/>
            <w:vMerge w:val="restart"/>
          </w:tcPr>
          <w:p>
            <w:pPr>
              <w:spacing w:after="0"/>
              <w:rPr>
                <w:rFonts w:ascii="Arial" w:cs="Arial" w:eastAsia="Arial" w:hAnsi="Arial"/>
                <w:sz w:val="16"/>
                <w:szCs w:val="16"/>
                <w:color w:val="0000FF"/>
                <w:w w:val="94"/>
              </w:rPr>
            </w:pPr>
            <w:hyperlink r:id="rId152">
              <w:r>
                <w:rPr>
                  <w:rFonts w:ascii="Arial" w:cs="Arial" w:eastAsia="Arial" w:hAnsi="Arial"/>
                  <w:sz w:val="16"/>
                  <w:szCs w:val="16"/>
                  <w:color w:val="0000FF"/>
                  <w:w w:val="94"/>
                </w:rPr>
                <w:t>Amended and Restated Limited Liability Company Agreement of NRG DGPV Holdco 2</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80" w:type="dxa"/>
            <w:vAlign w:val="bottom"/>
            <w:tcBorders>
              <w:top w:val="single" w:sz="8" w:color="0000FF"/>
              <w:bottom w:val="single" w:sz="8" w:color="0000FF"/>
            </w:tcBorders>
            <w:gridSpan w:val="7"/>
          </w:tcPr>
          <w:p>
            <w:pPr>
              <w:spacing w:after="0" w:line="183" w:lineRule="exact"/>
              <w:rPr>
                <w:rFonts w:ascii="Arial" w:cs="Arial" w:eastAsia="Arial" w:hAnsi="Arial"/>
                <w:sz w:val="16"/>
                <w:szCs w:val="16"/>
                <w:color w:val="0000FF"/>
                <w:w w:val="94"/>
              </w:rPr>
            </w:pPr>
            <w:hyperlink r:id="rId152">
              <w:r>
                <w:rPr>
                  <w:rFonts w:ascii="Arial" w:cs="Arial" w:eastAsia="Arial" w:hAnsi="Arial"/>
                  <w:sz w:val="16"/>
                  <w:szCs w:val="16"/>
                  <w:color w:val="0000FF"/>
                  <w:w w:val="94"/>
                </w:rPr>
                <w:t>LLC, dated as of March 1, 2016, by and among NRG Yield DGPV Holding LLC, NRG</w:t>
              </w:r>
            </w:hyperlink>
          </w:p>
        </w:tc>
        <w:tc>
          <w:tcPr>
            <w:tcW w:w="80" w:type="dxa"/>
            <w:vAlign w:val="bottom"/>
            <w:tcBorders>
              <w:top w:val="single" w:sz="8" w:color="0000FF"/>
            </w:tcBorders>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280" w:type="dxa"/>
            <w:vAlign w:val="bottom"/>
            <w:tcBorders>
              <w:bottom w:val="single" w:sz="8" w:color="0000FF"/>
            </w:tcBorders>
            <w:gridSpan w:val="2"/>
          </w:tcPr>
          <w:p>
            <w:pPr>
              <w:spacing w:after="0" w:line="183" w:lineRule="exact"/>
              <w:rPr>
                <w:rFonts w:ascii="Arial" w:cs="Arial" w:eastAsia="Arial" w:hAnsi="Arial"/>
                <w:sz w:val="16"/>
                <w:szCs w:val="16"/>
                <w:color w:val="0000FF"/>
                <w:w w:val="93"/>
              </w:rPr>
            </w:pPr>
            <w:hyperlink r:id="rId152">
              <w:r>
                <w:rPr>
                  <w:rFonts w:ascii="Arial" w:cs="Arial" w:eastAsia="Arial" w:hAnsi="Arial"/>
                  <w:sz w:val="16"/>
                  <w:szCs w:val="16"/>
                  <w:color w:val="0000FF"/>
                  <w:w w:val="93"/>
                </w:rPr>
                <w:t>Renew DG Holdings LLC, and NRG Renew LLC.</w:t>
              </w:r>
            </w:hyperlink>
          </w:p>
        </w:tc>
        <w:tc>
          <w:tcPr>
            <w:tcW w:w="25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1040" w:type="dxa"/>
            <w:vAlign w:val="bottom"/>
          </w:tcPr>
          <w:p>
            <w:pPr>
              <w:spacing w:after="0"/>
              <w:rPr>
                <w:sz w:val="20"/>
                <w:szCs w:val="20"/>
                <w:color w:val="auto"/>
              </w:rPr>
            </w:pPr>
            <w:r>
              <w:rPr>
                <w:rFonts w:ascii="Arial" w:cs="Arial" w:eastAsia="Arial" w:hAnsi="Arial"/>
                <w:sz w:val="16"/>
                <w:szCs w:val="16"/>
                <w:color w:val="auto"/>
              </w:rPr>
              <w:t>10.12</w:t>
            </w:r>
          </w:p>
        </w:tc>
        <w:tc>
          <w:tcPr>
            <w:tcW w:w="5840" w:type="dxa"/>
            <w:vAlign w:val="bottom"/>
            <w:gridSpan w:val="10"/>
            <w:vMerge w:val="restart"/>
          </w:tcPr>
          <w:p>
            <w:pPr>
              <w:spacing w:after="0"/>
              <w:rPr>
                <w:rFonts w:ascii="Arial" w:cs="Arial" w:eastAsia="Arial" w:hAnsi="Arial"/>
                <w:sz w:val="16"/>
                <w:szCs w:val="16"/>
                <w:color w:val="0000FF"/>
                <w:w w:val="95"/>
              </w:rPr>
            </w:pPr>
            <w:hyperlink r:id="rId153">
              <w:r>
                <w:rPr>
                  <w:rFonts w:ascii="Arial" w:cs="Arial" w:eastAsia="Arial" w:hAnsi="Arial"/>
                  <w:sz w:val="16"/>
                  <w:szCs w:val="16"/>
                  <w:color w:val="0000FF"/>
                  <w:w w:val="95"/>
                </w:rPr>
                <w:t>Amendment No. 2 to Amended and Restated Limited Liability Company Agreement of</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0"/>
          </w:tcPr>
          <w:p>
            <w:pPr>
              <w:spacing w:after="0" w:line="183" w:lineRule="exact"/>
              <w:rPr>
                <w:rFonts w:ascii="Arial" w:cs="Arial" w:eastAsia="Arial" w:hAnsi="Arial"/>
                <w:sz w:val="16"/>
                <w:szCs w:val="16"/>
                <w:color w:val="0000FF"/>
                <w:w w:val="94"/>
              </w:rPr>
            </w:pPr>
            <w:hyperlink r:id="rId153">
              <w:r>
                <w:rPr>
                  <w:rFonts w:ascii="Arial" w:cs="Arial" w:eastAsia="Arial" w:hAnsi="Arial"/>
                  <w:sz w:val="16"/>
                  <w:szCs w:val="16"/>
                  <w:color w:val="0000FF"/>
                  <w:w w:val="94"/>
                </w:rPr>
                <w:t>NRG RPV Holdco 1 LLC, dated as of August 5, 2016, by and between NRG Yield RPV</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720" w:type="dxa"/>
            <w:vAlign w:val="bottom"/>
            <w:tcBorders>
              <w:top w:val="single" w:sz="8" w:color="0000FF"/>
            </w:tcBorders>
            <w:gridSpan w:val="8"/>
          </w:tcPr>
          <w:p>
            <w:pPr>
              <w:spacing w:after="0" w:line="183" w:lineRule="exact"/>
              <w:rPr>
                <w:rFonts w:ascii="Arial" w:cs="Arial" w:eastAsia="Arial" w:hAnsi="Arial"/>
                <w:sz w:val="16"/>
                <w:szCs w:val="16"/>
                <w:color w:val="0000FF"/>
              </w:rPr>
            </w:pPr>
            <w:hyperlink r:id="rId153">
              <w:r>
                <w:rPr>
                  <w:rFonts w:ascii="Arial" w:cs="Arial" w:eastAsia="Arial" w:hAnsi="Arial"/>
                  <w:sz w:val="16"/>
                  <w:szCs w:val="16"/>
                  <w:color w:val="0000FF"/>
                </w:rPr>
                <w:t>Holding LLC and NRG Residential Solar Solutions LLC.</w:t>
              </w:r>
            </w:hyperlink>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6"/>
                <w:szCs w:val="16"/>
                <w:color w:val="auto"/>
              </w:rPr>
              <w:t>10.13†</w:t>
            </w:r>
          </w:p>
        </w:tc>
        <w:tc>
          <w:tcPr>
            <w:tcW w:w="13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040" w:type="dxa"/>
            <w:vAlign w:val="bottom"/>
            <w:vMerge w:val="continue"/>
          </w:tcPr>
          <w:p>
            <w:pPr>
              <w:spacing w:after="0"/>
              <w:rPr>
                <w:sz w:val="24"/>
                <w:szCs w:val="24"/>
                <w:color w:val="auto"/>
              </w:rPr>
            </w:pPr>
          </w:p>
        </w:tc>
        <w:tc>
          <w:tcPr>
            <w:tcW w:w="5240" w:type="dxa"/>
            <w:vAlign w:val="bottom"/>
            <w:gridSpan w:val="5"/>
            <w:vMerge w:val="restart"/>
          </w:tcPr>
          <w:p>
            <w:pPr>
              <w:spacing w:after="0"/>
              <w:rPr>
                <w:rFonts w:ascii="Arial" w:cs="Arial" w:eastAsia="Arial" w:hAnsi="Arial"/>
                <w:sz w:val="16"/>
                <w:szCs w:val="16"/>
                <w:color w:val="0000FF"/>
                <w:w w:val="91"/>
              </w:rPr>
            </w:pPr>
            <w:hyperlink r:id="rId154">
              <w:r>
                <w:rPr>
                  <w:rFonts w:ascii="Arial" w:cs="Arial" w:eastAsia="Arial" w:hAnsi="Arial"/>
                  <w:sz w:val="16"/>
                  <w:szCs w:val="16"/>
                  <w:color w:val="0000FF"/>
                  <w:w w:val="91"/>
                </w:rPr>
                <w:t>Employment Agreement, dated as of May 6, 2016, between NRG Yield, Inc. and</w:t>
              </w:r>
            </w:hyperlink>
          </w:p>
        </w:tc>
        <w:tc>
          <w:tcPr>
            <w:tcW w:w="60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240" w:type="dxa"/>
            <w:vAlign w:val="bottom"/>
            <w:tcBorders>
              <w:bottom w:val="single" w:sz="8" w:color="0000FF"/>
            </w:tcBorders>
            <w:gridSpan w:val="5"/>
            <w:vMerge w:val="continue"/>
          </w:tcPr>
          <w:p>
            <w:pPr>
              <w:spacing w:after="0"/>
              <w:rPr>
                <w:sz w:val="4"/>
                <w:szCs w:val="4"/>
                <w:color w:val="auto"/>
              </w:rPr>
            </w:pPr>
          </w:p>
        </w:tc>
        <w:tc>
          <w:tcPr>
            <w:tcW w:w="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380" w:type="dxa"/>
            <w:vAlign w:val="bottom"/>
            <w:tcBorders>
              <w:bottom w:val="single" w:sz="8" w:color="0000FF"/>
            </w:tcBorders>
          </w:tcPr>
          <w:p>
            <w:pPr>
              <w:spacing w:after="0" w:line="183" w:lineRule="exact"/>
              <w:rPr>
                <w:rFonts w:ascii="Arial" w:cs="Arial" w:eastAsia="Arial" w:hAnsi="Arial"/>
                <w:sz w:val="16"/>
                <w:szCs w:val="16"/>
                <w:color w:val="0000FF"/>
                <w:w w:val="89"/>
              </w:rPr>
            </w:pPr>
            <w:hyperlink r:id="rId154">
              <w:r>
                <w:rPr>
                  <w:rFonts w:ascii="Arial" w:cs="Arial" w:eastAsia="Arial" w:hAnsi="Arial"/>
                  <w:sz w:val="16"/>
                  <w:szCs w:val="16"/>
                  <w:color w:val="0000FF"/>
                  <w:w w:val="89"/>
                </w:rPr>
                <w:t>Christopher S. Sotos.</w:t>
              </w:r>
            </w:hyperlink>
          </w:p>
        </w:tc>
        <w:tc>
          <w:tcPr>
            <w:tcW w:w="44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20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6, 2018.</w:t>
      </w:r>
    </w:p>
    <w:p>
      <w:pPr>
        <w:spacing w:after="0" w:line="200" w:lineRule="exact"/>
        <w:rPr>
          <w:sz w:val="20"/>
          <w:szCs w:val="20"/>
          <w:color w:val="auto"/>
        </w:rPr>
      </w:pPr>
    </w:p>
    <w:p>
      <w:pPr>
        <w:spacing w:after="0" w:line="228"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23, 2019.</w:t>
      </w:r>
    </w:p>
    <w:p>
      <w:pPr>
        <w:spacing w:after="0" w:line="200" w:lineRule="exact"/>
        <w:rPr>
          <w:sz w:val="20"/>
          <w:szCs w:val="20"/>
          <w:color w:val="auto"/>
        </w:rPr>
      </w:pPr>
    </w:p>
    <w:p>
      <w:pPr>
        <w:spacing w:after="0" w:line="228"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August 4, 2015.</w:t>
      </w:r>
    </w:p>
    <w:p>
      <w:pPr>
        <w:spacing w:after="0" w:line="2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Incorporated herein by reference to Exhibit 10.2 to Clearway Energy, Inc.'s Quarterly Report on Form 10-Q filed on August 4, 2015.</w:t>
      </w:r>
    </w:p>
    <w:p>
      <w:pPr>
        <w:spacing w:after="0" w:line="103" w:lineRule="exact"/>
        <w:rPr>
          <w:sz w:val="20"/>
          <w:szCs w:val="20"/>
          <w:color w:val="auto"/>
        </w:rPr>
      </w:pPr>
    </w:p>
    <w:p>
      <w:pPr>
        <w:jc w:val="both"/>
        <w:ind w:right="20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May 5, 2016.</w:t>
      </w:r>
    </w:p>
    <w:p>
      <w:pPr>
        <w:spacing w:after="0" w:line="387" w:lineRule="exact"/>
        <w:rPr>
          <w:sz w:val="20"/>
          <w:szCs w:val="20"/>
          <w:color w:val="auto"/>
        </w:rPr>
      </w:pPr>
    </w:p>
    <w:p>
      <w:pPr>
        <w:jc w:val="both"/>
        <w:ind w:right="200"/>
        <w:spacing w:after="0" w:line="278" w:lineRule="auto"/>
        <w:rPr>
          <w:sz w:val="20"/>
          <w:szCs w:val="20"/>
          <w:color w:val="auto"/>
        </w:rPr>
      </w:pPr>
      <w:r>
        <w:rPr>
          <w:rFonts w:ascii="Arial" w:cs="Arial" w:eastAsia="Arial" w:hAnsi="Arial"/>
          <w:sz w:val="16"/>
          <w:szCs w:val="16"/>
          <w:color w:val="auto"/>
        </w:rPr>
        <w:t>Incorporated herein by reference to Exhibit 10.2 to Clearway Energy, Inc.'s Quarterly Report on Form 10-Q filed on May 5, 2016.</w:t>
      </w:r>
    </w:p>
    <w:p>
      <w:pPr>
        <w:spacing w:after="0" w:line="387" w:lineRule="exact"/>
        <w:rPr>
          <w:sz w:val="20"/>
          <w:szCs w:val="20"/>
          <w:color w:val="auto"/>
        </w:rPr>
      </w:pPr>
    </w:p>
    <w:p>
      <w:pPr>
        <w:jc w:val="both"/>
        <w:ind w:right="200"/>
        <w:spacing w:after="0" w:line="278" w:lineRule="auto"/>
        <w:rPr>
          <w:sz w:val="20"/>
          <w:szCs w:val="20"/>
          <w:color w:val="auto"/>
        </w:rPr>
      </w:pPr>
      <w:r>
        <w:rPr>
          <w:rFonts w:ascii="Arial" w:cs="Arial" w:eastAsia="Arial" w:hAnsi="Arial"/>
          <w:sz w:val="16"/>
          <w:szCs w:val="16"/>
          <w:color w:val="auto"/>
        </w:rPr>
        <w:t>Incorporated herein by reference to Exhibit 10.3 to Clearway Energy, Inc.'s Quarterly Report on Form 10-Q filed on May 5, 2016.</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August 9, 2016.</w:t>
      </w:r>
    </w:p>
    <w:p>
      <w:pPr>
        <w:spacing w:after="0" w:line="387"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Current Report on Form 8-K/A, filed on August 9, 2016.</w:t>
      </w:r>
    </w:p>
    <w:p>
      <w:pPr>
        <w:spacing w:after="0" w:line="103" w:lineRule="exact"/>
        <w:rPr>
          <w:sz w:val="20"/>
          <w:szCs w:val="20"/>
          <w:color w:val="auto"/>
        </w:rPr>
      </w:pPr>
    </w:p>
    <w:p>
      <w:pPr>
        <w:sectPr>
          <w:pgSz w:w="11900" w:h="16838" w:orient="portrait"/>
          <w:cols w:equalWidth="0" w:num="2">
            <w:col w:w="6880" w:space="200"/>
            <w:col w:w="4220"/>
          </w:cols>
          <w:pgMar w:left="280" w:top="1063" w:right="319" w:bottom="0" w:gutter="0" w:footer="0" w:header="0"/>
        </w:sectPr>
      </w:pPr>
    </w:p>
    <w:p>
      <w:pPr>
        <w:spacing w:after="0"/>
        <w:rPr>
          <w:sz w:val="20"/>
          <w:szCs w:val="20"/>
          <w:color w:val="auto"/>
        </w:rPr>
      </w:pPr>
      <w:r>
        <w:rPr>
          <w:rFonts w:ascii="Arial" w:cs="Arial" w:eastAsia="Arial" w:hAnsi="Arial"/>
          <w:sz w:val="16"/>
          <w:szCs w:val="16"/>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10.17*+</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rFonts w:ascii="Arial" w:cs="Arial" w:eastAsia="Arial" w:hAnsi="Arial"/>
          <w:sz w:val="14"/>
          <w:szCs w:val="14"/>
          <w:u w:val="single" w:color="auto"/>
          <w:color w:val="0000FF"/>
        </w:rPr>
      </w:pPr>
      <w:hyperlink r:id="rId155">
        <w:r>
          <w:rPr>
            <w:rFonts w:ascii="Arial" w:cs="Arial" w:eastAsia="Arial" w:hAnsi="Arial"/>
            <w:sz w:val="14"/>
            <w:szCs w:val="14"/>
            <w:u w:val="single" w:color="auto"/>
            <w:color w:val="0000FF"/>
          </w:rPr>
          <w:t>Amendment, dated January 1, 2018 to Employment Agreement between NRG Yield, Inc.</w:t>
        </w:r>
      </w:hyperlink>
    </w:p>
    <w:p>
      <w:pPr>
        <w:spacing w:after="0" w:line="45" w:lineRule="exact"/>
        <w:rPr>
          <w:sz w:val="20"/>
          <w:szCs w:val="20"/>
          <w:color w:val="auto"/>
        </w:rPr>
      </w:pPr>
    </w:p>
    <w:p>
      <w:pPr>
        <w:spacing w:after="0"/>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and Christopher Sotos.</w:t>
        </w:r>
      </w:hyperlink>
    </w:p>
    <w:p>
      <w:pPr>
        <w:spacing w:after="0" w:line="200" w:lineRule="exact"/>
        <w:rPr>
          <w:sz w:val="20"/>
          <w:szCs w:val="20"/>
          <w:color w:val="auto"/>
        </w:rPr>
      </w:pPr>
    </w:p>
    <w:p>
      <w:pPr>
        <w:spacing w:after="0" w:line="233" w:lineRule="exact"/>
        <w:rPr>
          <w:sz w:val="20"/>
          <w:szCs w:val="20"/>
          <w:color w:val="auto"/>
        </w:rPr>
      </w:pPr>
    </w:p>
    <w:p>
      <w:pPr>
        <w:ind w:right="480"/>
        <w:spacing w:after="0" w:line="369" w:lineRule="auto"/>
        <w:rPr>
          <w:rFonts w:ascii="Arial" w:cs="Arial" w:eastAsia="Arial" w:hAnsi="Arial"/>
          <w:sz w:val="14"/>
          <w:szCs w:val="14"/>
          <w:u w:val="single" w:color="auto"/>
          <w:color w:val="0000FF"/>
        </w:rPr>
      </w:pPr>
      <w:hyperlink r:id="rId156">
        <w:r>
          <w:rPr>
            <w:rFonts w:ascii="Arial" w:cs="Arial" w:eastAsia="Arial" w:hAnsi="Arial"/>
            <w:sz w:val="14"/>
            <w:szCs w:val="14"/>
            <w:u w:val="single" w:color="auto"/>
            <w:color w:val="0000FF"/>
          </w:rPr>
          <w:t>Assignment and Assumption Agreement, effective as of February 26, 2019, among</w:t>
        </w:r>
      </w:hyperlink>
      <w:r>
        <w:rPr>
          <w:rFonts w:ascii="Arial" w:cs="Arial" w:eastAsia="Arial" w:hAnsi="Arial"/>
          <w:sz w:val="14"/>
          <w:szCs w:val="14"/>
          <w:u w:val="single" w:color="auto"/>
          <w:color w:val="0000FF"/>
        </w:rPr>
        <w:t xml:space="preserve"> </w:t>
      </w:r>
      <w:hyperlink r:id="rId156">
        <w:r>
          <w:rPr>
            <w:rFonts w:ascii="Arial" w:cs="Arial" w:eastAsia="Arial" w:hAnsi="Arial"/>
            <w:sz w:val="14"/>
            <w:szCs w:val="14"/>
            <w:u w:val="single" w:color="auto"/>
            <w:color w:val="0000FF"/>
          </w:rPr>
          <w:t>Clearway Energy Operating LLC and GIP III Zephyr Carlsbad Holdings, LLC.</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78" w:lineRule="auto"/>
        <w:rPr>
          <w:rFonts w:ascii="Arial" w:cs="Arial" w:eastAsia="Arial" w:hAnsi="Arial"/>
          <w:sz w:val="16"/>
          <w:szCs w:val="16"/>
          <w:u w:val="single" w:color="auto"/>
          <w:color w:val="0000FF"/>
        </w:rPr>
      </w:pPr>
      <w:hyperlink w:anchor="page207">
        <w:r>
          <w:rPr>
            <w:rFonts w:ascii="Arial" w:cs="Arial" w:eastAsia="Arial" w:hAnsi="Arial"/>
            <w:sz w:val="16"/>
            <w:szCs w:val="16"/>
            <w:u w:val="single" w:color="auto"/>
            <w:color w:val="0000FF"/>
          </w:rPr>
          <w:t>Amended and Restated Limited Liability Company Agreement of NRG DGPV Holdco 3</w:t>
        </w:r>
      </w:hyperlink>
      <w:r>
        <w:rPr>
          <w:rFonts w:ascii="Arial" w:cs="Arial" w:eastAsia="Arial" w:hAnsi="Arial"/>
          <w:sz w:val="16"/>
          <w:szCs w:val="16"/>
          <w:u w:val="single" w:color="auto"/>
          <w:color w:val="0000FF"/>
        </w:rPr>
        <w:t xml:space="preserve"> </w:t>
      </w:r>
      <w:hyperlink w:anchor="page207">
        <w:r>
          <w:rPr>
            <w:rFonts w:ascii="Arial" w:cs="Arial" w:eastAsia="Arial" w:hAnsi="Arial"/>
            <w:sz w:val="16"/>
            <w:szCs w:val="16"/>
            <w:u w:val="single" w:color="auto"/>
            <w:color w:val="0000FF"/>
          </w:rPr>
          <w:t>LLC, dated September 26, 2017 by and amount NRG Yield DGPV Holding LLC and</w:t>
        </w:r>
      </w:hyperlink>
      <w:r>
        <w:rPr>
          <w:rFonts w:ascii="Arial" w:cs="Arial" w:eastAsia="Arial" w:hAnsi="Arial"/>
          <w:sz w:val="16"/>
          <w:szCs w:val="16"/>
          <w:u w:val="single" w:color="auto"/>
          <w:color w:val="0000FF"/>
        </w:rPr>
        <w:t xml:space="preserve"> </w:t>
      </w:r>
      <w:hyperlink w:anchor="page207">
        <w:r>
          <w:rPr>
            <w:rFonts w:ascii="Arial" w:cs="Arial" w:eastAsia="Arial" w:hAnsi="Arial"/>
            <w:sz w:val="16"/>
            <w:szCs w:val="16"/>
            <w:u w:val="single" w:color="auto"/>
            <w:color w:val="0000FF"/>
          </w:rPr>
          <w:t>NRG Renew DG Holdings LLC.</w:t>
        </w:r>
      </w:hyperlink>
    </w:p>
    <w:p>
      <w:pPr>
        <w:spacing w:after="0" w:line="200" w:lineRule="exact"/>
        <w:rPr>
          <w:rFonts w:ascii="Arial" w:cs="Arial" w:eastAsia="Arial" w:hAnsi="Arial"/>
          <w:sz w:val="16"/>
          <w:szCs w:val="16"/>
          <w:u w:val="single" w:color="auto"/>
          <w:color w:val="0000FF"/>
        </w:rPr>
      </w:pPr>
    </w:p>
    <w:p>
      <w:pPr>
        <w:spacing w:after="0" w:line="349" w:lineRule="exact"/>
        <w:rPr>
          <w:rFonts w:ascii="Arial" w:cs="Arial" w:eastAsia="Arial" w:hAnsi="Arial"/>
          <w:sz w:val="16"/>
          <w:szCs w:val="16"/>
          <w:u w:val="single" w:color="auto"/>
          <w:color w:val="0000FF"/>
        </w:rPr>
      </w:pPr>
    </w:p>
    <w:p>
      <w:pPr>
        <w:spacing w:after="0" w:line="297" w:lineRule="auto"/>
        <w:rPr>
          <w:rFonts w:ascii="Arial" w:cs="Arial" w:eastAsia="Arial" w:hAnsi="Arial"/>
          <w:sz w:val="15"/>
          <w:szCs w:val="15"/>
          <w:u w:val="single" w:color="auto"/>
          <w:color w:val="0000FF"/>
        </w:rPr>
      </w:pPr>
      <w:hyperlink w:anchor="page276">
        <w:r>
          <w:rPr>
            <w:rFonts w:ascii="Arial" w:cs="Arial" w:eastAsia="Arial" w:hAnsi="Arial"/>
            <w:sz w:val="15"/>
            <w:szCs w:val="15"/>
            <w:u w:val="single" w:color="auto"/>
            <w:color w:val="0000FF"/>
          </w:rPr>
          <w:t>First Amendment to Amended and Restated Limited Liability Company Agreement, dated</w:t>
        </w:r>
      </w:hyperlink>
      <w:r>
        <w:rPr>
          <w:rFonts w:ascii="Arial" w:cs="Arial" w:eastAsia="Arial" w:hAnsi="Arial"/>
          <w:sz w:val="15"/>
          <w:szCs w:val="15"/>
          <w:u w:val="single" w:color="auto"/>
          <w:color w:val="0000FF"/>
        </w:rPr>
        <w:t xml:space="preserve"> </w:t>
      </w:r>
      <w:hyperlink w:anchor="page276">
        <w:r>
          <w:rPr>
            <w:rFonts w:ascii="Arial" w:cs="Arial" w:eastAsia="Arial" w:hAnsi="Arial"/>
            <w:sz w:val="15"/>
            <w:szCs w:val="15"/>
            <w:u w:val="single" w:color="auto"/>
            <w:color w:val="0000FF"/>
          </w:rPr>
          <w:t>as of December 26, 2018, by and among DGPV Holding LLC (f/k/a NRG Yield DGPV</w:t>
        </w:r>
      </w:hyperlink>
      <w:r>
        <w:rPr>
          <w:rFonts w:ascii="Arial" w:cs="Arial" w:eastAsia="Arial" w:hAnsi="Arial"/>
          <w:sz w:val="15"/>
          <w:szCs w:val="15"/>
          <w:u w:val="single" w:color="auto"/>
          <w:color w:val="0000FF"/>
        </w:rPr>
        <w:t xml:space="preserve"> </w:t>
      </w:r>
      <w:hyperlink w:anchor="page276">
        <w:r>
          <w:rPr>
            <w:rFonts w:ascii="Arial" w:cs="Arial" w:eastAsia="Arial" w:hAnsi="Arial"/>
            <w:sz w:val="15"/>
            <w:szCs w:val="15"/>
            <w:u w:val="single" w:color="auto"/>
            <w:color w:val="0000FF"/>
          </w:rPr>
          <w:t>Holding LLC), a Delaware limited liability company, and Renew DG Holdings LLC (f/k/a</w:t>
        </w:r>
      </w:hyperlink>
      <w:r>
        <w:rPr>
          <w:rFonts w:ascii="Arial" w:cs="Arial" w:eastAsia="Arial" w:hAnsi="Arial"/>
          <w:sz w:val="15"/>
          <w:szCs w:val="15"/>
          <w:u w:val="single" w:color="auto"/>
          <w:color w:val="0000FF"/>
        </w:rPr>
        <w:t xml:space="preserve"> </w:t>
      </w:r>
      <w:hyperlink w:anchor="page276">
        <w:r>
          <w:rPr>
            <w:rFonts w:ascii="Arial" w:cs="Arial" w:eastAsia="Arial" w:hAnsi="Arial"/>
            <w:sz w:val="15"/>
            <w:szCs w:val="15"/>
            <w:u w:val="single" w:color="auto"/>
            <w:color w:val="0000FF"/>
          </w:rPr>
          <w:t>NRG Renew DG Holdings LLC), a Delaware limited liability company.</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spacing w:after="0" w:line="61" w:lineRule="exact"/>
        <w:rPr>
          <w:rFonts w:ascii="Arial" w:cs="Arial" w:eastAsia="Arial" w:hAnsi="Arial"/>
          <w:sz w:val="15"/>
          <w:szCs w:val="15"/>
          <w:u w:val="single" w:color="auto"/>
          <w:color w:val="0000FF"/>
        </w:rPr>
      </w:pPr>
    </w:p>
    <w:p>
      <w:pPr>
        <w:jc w:val="both"/>
        <w:ind w:right="180"/>
        <w:spacing w:after="0" w:line="278" w:lineRule="auto"/>
        <w:rPr>
          <w:sz w:val="20"/>
          <w:szCs w:val="20"/>
          <w:color w:val="auto"/>
        </w:rPr>
      </w:pPr>
      <w:r>
        <w:rPr>
          <w:rFonts w:ascii="Arial" w:cs="Arial" w:eastAsia="Arial" w:hAnsi="Arial"/>
          <w:sz w:val="16"/>
          <w:szCs w:val="16"/>
          <w:color w:val="auto"/>
        </w:rPr>
        <w:t>Incorporated herein by reference to Exhibit 10.28 to Clearway Energy, Inc.'s Annual Report on Form 10-K, filed on March 1, 2018.</w:t>
      </w:r>
    </w:p>
    <w:p>
      <w:pPr>
        <w:spacing w:after="0" w:line="184" w:lineRule="exact"/>
        <w:rPr>
          <w:rFonts w:ascii="Arial" w:cs="Arial" w:eastAsia="Arial" w:hAnsi="Arial"/>
          <w:sz w:val="15"/>
          <w:szCs w:val="15"/>
          <w:u w:val="single" w:color="auto"/>
          <w:color w:val="0000FF"/>
        </w:rPr>
      </w:pPr>
    </w:p>
    <w:p>
      <w:pPr>
        <w:ind w:right="120"/>
        <w:spacing w:after="0" w:line="278" w:lineRule="auto"/>
        <w:rPr>
          <w:sz w:val="20"/>
          <w:szCs w:val="20"/>
          <w:color w:val="auto"/>
        </w:rPr>
      </w:pPr>
      <w:r>
        <w:rPr>
          <w:rFonts w:ascii="Arial" w:cs="Arial" w:eastAsia="Arial" w:hAnsi="Arial"/>
          <w:sz w:val="16"/>
          <w:szCs w:val="16"/>
          <w:color w:val="auto"/>
        </w:rPr>
        <w:t>Incorporated herein by reference to Exhibit 10.30 to the Company's Annual Report on Form 10-K filed on February 28, 2019.</w:t>
      </w:r>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314" w:lineRule="exact"/>
        <w:rPr>
          <w:rFonts w:ascii="Arial" w:cs="Arial" w:eastAsia="Arial" w:hAnsi="Arial"/>
          <w:sz w:val="15"/>
          <w:szCs w:val="15"/>
          <w:u w:val="single" w:color="auto"/>
          <w:color w:val="0000FF"/>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204" w:lineRule="exact"/>
        <w:rPr>
          <w:rFonts w:ascii="Arial" w:cs="Arial" w:eastAsia="Arial" w:hAnsi="Arial"/>
          <w:sz w:val="15"/>
          <w:szCs w:val="15"/>
          <w:u w:val="single" w:color="auto"/>
          <w:color w:val="0000FF"/>
        </w:rPr>
      </w:pPr>
    </w:p>
    <w:p>
      <w:pPr>
        <w:spacing w:after="0"/>
        <w:rPr>
          <w:sz w:val="20"/>
          <w:szCs w:val="20"/>
          <w:color w:val="auto"/>
        </w:rPr>
      </w:pPr>
      <w:r>
        <w:rPr>
          <w:rFonts w:ascii="Arial" w:cs="Arial" w:eastAsia="Arial" w:hAnsi="Arial"/>
          <w:sz w:val="16"/>
          <w:szCs w:val="16"/>
          <w:color w:val="auto"/>
        </w:rPr>
        <w:t>Filed herewith.</w:t>
      </w:r>
    </w:p>
    <w:p>
      <w:pPr>
        <w:spacing w:after="0" w:line="869" w:lineRule="exact"/>
        <w:rPr>
          <w:rFonts w:ascii="Arial" w:cs="Arial" w:eastAsia="Arial" w:hAnsi="Arial"/>
          <w:sz w:val="15"/>
          <w:szCs w:val="15"/>
          <w:u w:val="single" w:color="auto"/>
          <w:color w:val="0000FF"/>
        </w:rPr>
      </w:pPr>
    </w:p>
    <w:p>
      <w:pPr>
        <w:sectPr>
          <w:pgSz w:w="11900" w:h="16838" w:orient="portrait"/>
          <w:cols w:equalWidth="0" w:num="3">
            <w:col w:w="540" w:space="500"/>
            <w:col w:w="5860" w:space="180"/>
            <w:col w:w="4220"/>
          </w:cols>
          <w:pgMar w:left="280" w:top="1063" w:right="319" w:bottom="0" w:gutter="0" w:footer="0" w:header="0"/>
          <w:type w:val="continuous"/>
        </w:sectPr>
      </w:pPr>
    </w:p>
    <w:p>
      <w:pPr>
        <w:spacing w:after="0" w:line="244" w:lineRule="exact"/>
        <w:rPr>
          <w:rFonts w:ascii="Arial" w:cs="Arial" w:eastAsia="Arial" w:hAnsi="Arial"/>
          <w:sz w:val="15"/>
          <w:szCs w:val="15"/>
          <w:u w:val="single" w:color="auto"/>
          <w:color w:val="0000FF"/>
        </w:r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10.18</w:t>
            </w:r>
          </w:p>
        </w:tc>
        <w:tc>
          <w:tcPr>
            <w:tcW w:w="5660" w:type="dxa"/>
            <w:vAlign w:val="bottom"/>
            <w:tcBorders>
              <w:bottom w:val="single" w:sz="8" w:color="0000FF"/>
            </w:tcBorders>
            <w:gridSpan w:val="7"/>
          </w:tcPr>
          <w:p>
            <w:pPr>
              <w:spacing w:after="0"/>
              <w:rPr>
                <w:rFonts w:ascii="Arial" w:cs="Arial" w:eastAsia="Arial" w:hAnsi="Arial"/>
                <w:sz w:val="16"/>
                <w:szCs w:val="16"/>
                <w:color w:val="0000FF"/>
                <w:w w:val="90"/>
              </w:rPr>
            </w:pPr>
            <w:hyperlink r:id="rId157">
              <w:r>
                <w:rPr>
                  <w:rFonts w:ascii="Arial" w:cs="Arial" w:eastAsia="Arial" w:hAnsi="Arial"/>
                  <w:sz w:val="16"/>
                  <w:szCs w:val="16"/>
                  <w:color w:val="0000FF"/>
                  <w:w w:val="90"/>
                </w:rPr>
                <w:t>Amended and Restated Exchange Agreement, dated as of May 14, 2015, by and among</w:t>
              </w:r>
            </w:hyperlink>
          </w:p>
        </w:tc>
      </w:tr>
      <w:tr>
        <w:trPr>
          <w:trHeight w:val="183"/>
        </w:trPr>
        <w:tc>
          <w:tcPr>
            <w:tcW w:w="1040" w:type="dxa"/>
            <w:vAlign w:val="bottom"/>
          </w:tcPr>
          <w:p>
            <w:pPr>
              <w:spacing w:after="0"/>
              <w:rPr>
                <w:sz w:val="15"/>
                <w:szCs w:val="15"/>
                <w:color w:val="auto"/>
              </w:rPr>
            </w:pPr>
          </w:p>
        </w:tc>
        <w:tc>
          <w:tcPr>
            <w:tcW w:w="5440" w:type="dxa"/>
            <w:vAlign w:val="bottom"/>
            <w:tcBorders>
              <w:bottom w:val="single" w:sz="8" w:color="0000FF"/>
            </w:tcBorders>
            <w:gridSpan w:val="6"/>
          </w:tcPr>
          <w:p>
            <w:pPr>
              <w:spacing w:after="0" w:line="183" w:lineRule="exact"/>
              <w:rPr>
                <w:rFonts w:ascii="Arial" w:cs="Arial" w:eastAsia="Arial" w:hAnsi="Arial"/>
                <w:sz w:val="16"/>
                <w:szCs w:val="16"/>
                <w:color w:val="0000FF"/>
                <w:w w:val="93"/>
              </w:rPr>
            </w:pPr>
            <w:hyperlink r:id="rId157">
              <w:r>
                <w:rPr>
                  <w:rFonts w:ascii="Arial" w:cs="Arial" w:eastAsia="Arial" w:hAnsi="Arial"/>
                  <w:sz w:val="16"/>
                  <w:szCs w:val="16"/>
                  <w:color w:val="0000FF"/>
                  <w:w w:val="93"/>
                </w:rPr>
                <w:t>NRG Energy, Inc., NRG Yield, Inc., and NRG Yield LLC and, pursuant to a joinder</w:t>
              </w:r>
            </w:hyperlink>
          </w:p>
        </w:tc>
        <w:tc>
          <w:tcPr>
            <w:tcW w:w="2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660" w:type="dxa"/>
            <w:vAlign w:val="bottom"/>
            <w:gridSpan w:val="7"/>
          </w:tcPr>
          <w:p>
            <w:pPr>
              <w:spacing w:after="0" w:line="183" w:lineRule="exact"/>
              <w:rPr>
                <w:rFonts w:ascii="Arial" w:cs="Arial" w:eastAsia="Arial" w:hAnsi="Arial"/>
                <w:sz w:val="16"/>
                <w:szCs w:val="16"/>
                <w:color w:val="0000FF"/>
              </w:rPr>
            </w:pPr>
            <w:hyperlink r:id="rId157">
              <w:r>
                <w:rPr>
                  <w:rFonts w:ascii="Arial" w:cs="Arial" w:eastAsia="Arial" w:hAnsi="Arial"/>
                  <w:sz w:val="16"/>
                  <w:szCs w:val="16"/>
                  <w:color w:val="0000FF"/>
                </w:rPr>
                <w:t>thereto, dated as of August 31, 2018, Zephyr Renewables LLC.</w:t>
              </w:r>
            </w:hyperlink>
          </w:p>
        </w:tc>
      </w:tr>
      <w:tr>
        <w:trPr>
          <w:trHeight w:val="615"/>
        </w:trPr>
        <w:tc>
          <w:tcPr>
            <w:tcW w:w="1040" w:type="dxa"/>
            <w:vAlign w:val="bottom"/>
          </w:tcPr>
          <w:p>
            <w:pPr>
              <w:spacing w:after="0"/>
              <w:rPr>
                <w:sz w:val="20"/>
                <w:szCs w:val="20"/>
                <w:color w:val="auto"/>
              </w:rPr>
            </w:pPr>
            <w:r>
              <w:rPr>
                <w:rFonts w:ascii="Arial" w:cs="Arial" w:eastAsia="Arial" w:hAnsi="Arial"/>
                <w:sz w:val="16"/>
                <w:szCs w:val="16"/>
                <w:color w:val="auto"/>
              </w:rPr>
              <w:t>21.1</w:t>
            </w:r>
          </w:p>
        </w:tc>
        <w:tc>
          <w:tcPr>
            <w:tcW w:w="252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2"/>
              </w:rPr>
            </w:pPr>
            <w:hyperlink w:anchor="page280">
              <w:r>
                <w:rPr>
                  <w:rFonts w:ascii="Arial" w:cs="Arial" w:eastAsia="Arial" w:hAnsi="Arial"/>
                  <w:sz w:val="16"/>
                  <w:szCs w:val="16"/>
                  <w:color w:val="0000FF"/>
                  <w:w w:val="92"/>
                </w:rPr>
                <w:t>Subsidiaries of Clearway Energy LLC.</w:t>
              </w:r>
            </w:hyperlink>
          </w:p>
        </w:tc>
        <w:tc>
          <w:tcPr>
            <w:tcW w:w="1580" w:type="dxa"/>
            <w:vAlign w:val="bottom"/>
            <w:tcBorders>
              <w:top w:val="single" w:sz="8" w:color="0000FF"/>
            </w:tcBorders>
            <w:gridSpan w:val="3"/>
          </w:tcPr>
          <w:p>
            <w:pPr>
              <w:spacing w:after="0"/>
              <w:rPr>
                <w:sz w:val="24"/>
                <w:szCs w:val="24"/>
                <w:color w:val="auto"/>
              </w:rPr>
            </w:pPr>
          </w:p>
        </w:tc>
        <w:tc>
          <w:tcPr>
            <w:tcW w:w="1560" w:type="dxa"/>
            <w:vAlign w:val="bottom"/>
            <w:gridSpan w:val="2"/>
          </w:tcPr>
          <w:p>
            <w:pPr>
              <w:spacing w:after="0"/>
              <w:rPr>
                <w:sz w:val="24"/>
                <w:szCs w:val="24"/>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24.1</w:t>
            </w:r>
          </w:p>
        </w:tc>
        <w:tc>
          <w:tcPr>
            <w:tcW w:w="1240" w:type="dxa"/>
            <w:vAlign w:val="bottom"/>
            <w:tcBorders>
              <w:bottom w:val="single" w:sz="8" w:color="0000EE"/>
            </w:tcBorders>
          </w:tcPr>
          <w:p>
            <w:pPr>
              <w:spacing w:after="0"/>
              <w:rPr>
                <w:rFonts w:ascii="Arial" w:cs="Arial" w:eastAsia="Arial" w:hAnsi="Arial"/>
                <w:sz w:val="16"/>
                <w:szCs w:val="16"/>
                <w:color w:val="0000EE"/>
                <w:w w:val="92"/>
              </w:rPr>
            </w:pPr>
            <w:hyperlink w:anchor="page163">
              <w:r>
                <w:rPr>
                  <w:rFonts w:ascii="Arial" w:cs="Arial" w:eastAsia="Arial" w:hAnsi="Arial"/>
                  <w:sz w:val="16"/>
                  <w:szCs w:val="16"/>
                  <w:color w:val="0000EE"/>
                  <w:w w:val="92"/>
                </w:rPr>
                <w:t>Power of Attorney.</w:t>
              </w:r>
            </w:hyperlink>
          </w:p>
        </w:tc>
        <w:tc>
          <w:tcPr>
            <w:tcW w:w="4420" w:type="dxa"/>
            <w:vAlign w:val="bottom"/>
            <w:gridSpan w:val="6"/>
          </w:tcPr>
          <w:p>
            <w:pPr>
              <w:spacing w:after="0"/>
              <w:rPr>
                <w:sz w:val="20"/>
                <w:szCs w:val="20"/>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16"/>
                <w:szCs w:val="16"/>
                <w:color w:val="auto"/>
              </w:rPr>
              <w:t>31.1</w:t>
            </w:r>
          </w:p>
        </w:tc>
        <w:tc>
          <w:tcPr>
            <w:tcW w:w="408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290">
              <w:r>
                <w:rPr>
                  <w:rFonts w:ascii="Arial" w:cs="Arial" w:eastAsia="Arial" w:hAnsi="Arial"/>
                  <w:sz w:val="16"/>
                  <w:szCs w:val="16"/>
                  <w:color w:val="0000FF"/>
                  <w:w w:val="92"/>
                </w:rPr>
                <w:t>Rule 13a-14(a)/15d-14(a) certification of Christopher S. Sotos.</w:t>
              </w:r>
            </w:hyperlink>
          </w:p>
        </w:tc>
        <w:tc>
          <w:tcPr>
            <w:tcW w:w="1580" w:type="dxa"/>
            <w:vAlign w:val="bottom"/>
            <w:gridSpan w:val="3"/>
          </w:tcPr>
          <w:p>
            <w:pPr>
              <w:spacing w:after="0"/>
              <w:rPr>
                <w:sz w:val="24"/>
                <w:szCs w:val="24"/>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31.2</w:t>
            </w:r>
          </w:p>
        </w:tc>
        <w:tc>
          <w:tcPr>
            <w:tcW w:w="5660" w:type="dxa"/>
            <w:vAlign w:val="bottom"/>
            <w:gridSpan w:val="7"/>
          </w:tcPr>
          <w:p>
            <w:pPr>
              <w:spacing w:after="0"/>
              <w:rPr>
                <w:rFonts w:ascii="Arial" w:cs="Arial" w:eastAsia="Arial" w:hAnsi="Arial"/>
                <w:sz w:val="16"/>
                <w:szCs w:val="16"/>
                <w:color w:val="0000FF"/>
              </w:rPr>
            </w:pPr>
            <w:hyperlink w:anchor="page291">
              <w:r>
                <w:rPr>
                  <w:rFonts w:ascii="Arial" w:cs="Arial" w:eastAsia="Arial" w:hAnsi="Arial"/>
                  <w:sz w:val="16"/>
                  <w:szCs w:val="16"/>
                  <w:color w:val="0000FF"/>
                </w:rPr>
                <w:t>Rule 13a-14(a)/15d-14(a) certification of Chad Plotkin.</w:t>
              </w:r>
            </w:hyperlink>
          </w:p>
        </w:tc>
      </w:tr>
      <w:tr>
        <w:trPr>
          <w:trHeight w:val="20"/>
        </w:trPr>
        <w:tc>
          <w:tcPr>
            <w:tcW w:w="10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ind w:right="28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May 15, 2015.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Included on the signature page of this Annual Report on Form 10-K.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ectPr>
          <w:pgSz w:w="11900" w:h="16838" w:orient="portrait"/>
          <w:cols w:equalWidth="0" w:num="2">
            <w:col w:w="6700" w:space="380"/>
            <w:col w:w="4220"/>
          </w:cols>
          <w:pgMar w:left="280" w:top="1063" w:right="319" w:bottom="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31.3</w:t>
            </w:r>
          </w:p>
        </w:tc>
        <w:tc>
          <w:tcPr>
            <w:tcW w:w="3980" w:type="dxa"/>
            <w:vAlign w:val="bottom"/>
            <w:tcBorders>
              <w:bottom w:val="single" w:sz="8" w:color="0000FF"/>
            </w:tcBorders>
            <w:gridSpan w:val="3"/>
          </w:tcPr>
          <w:p>
            <w:pPr>
              <w:spacing w:after="0"/>
              <w:rPr>
                <w:rFonts w:ascii="Arial" w:cs="Arial" w:eastAsia="Arial" w:hAnsi="Arial"/>
                <w:sz w:val="16"/>
                <w:szCs w:val="16"/>
                <w:color w:val="0000FF"/>
                <w:w w:val="94"/>
              </w:rPr>
            </w:pPr>
            <w:hyperlink w:anchor="page292">
              <w:r>
                <w:rPr>
                  <w:rFonts w:ascii="Arial" w:cs="Arial" w:eastAsia="Arial" w:hAnsi="Arial"/>
                  <w:sz w:val="16"/>
                  <w:szCs w:val="16"/>
                  <w:color w:val="0000FF"/>
                  <w:w w:val="94"/>
                </w:rPr>
                <w:t>Rule 13a-14(a)/15d-14(a) certification of Mary-Lee Stillwell.</w:t>
              </w:r>
            </w:hyperlink>
          </w:p>
        </w:tc>
        <w:tc>
          <w:tcPr>
            <w:tcW w:w="102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Arial" w:cs="Arial" w:eastAsia="Arial" w:hAnsi="Arial"/>
                <w:sz w:val="16"/>
                <w:szCs w:val="16"/>
                <w:color w:val="auto"/>
              </w:rPr>
              <w:t>Filed herewith.</w:t>
            </w:r>
          </w:p>
        </w:tc>
      </w:tr>
      <w:tr>
        <w:trPr>
          <w:trHeight w:val="264"/>
        </w:trPr>
        <w:tc>
          <w:tcPr>
            <w:tcW w:w="1040" w:type="dxa"/>
            <w:vAlign w:val="bottom"/>
          </w:tcPr>
          <w:p>
            <w:pPr>
              <w:spacing w:after="0"/>
              <w:rPr>
                <w:sz w:val="20"/>
                <w:szCs w:val="20"/>
                <w:color w:val="auto"/>
              </w:rPr>
            </w:pPr>
            <w:r>
              <w:rPr>
                <w:rFonts w:ascii="Arial" w:cs="Arial" w:eastAsia="Arial" w:hAnsi="Arial"/>
                <w:sz w:val="16"/>
                <w:szCs w:val="16"/>
                <w:color w:val="auto"/>
              </w:rPr>
              <w:t>32</w:t>
            </w:r>
          </w:p>
        </w:tc>
        <w:tc>
          <w:tcPr>
            <w:tcW w:w="860" w:type="dxa"/>
            <w:vAlign w:val="bottom"/>
          </w:tcPr>
          <w:p>
            <w:pPr>
              <w:spacing w:after="0"/>
              <w:rPr>
                <w:rFonts w:ascii="Arial" w:cs="Arial" w:eastAsia="Arial" w:hAnsi="Arial"/>
                <w:sz w:val="16"/>
                <w:szCs w:val="16"/>
                <w:color w:val="0000FF"/>
                <w:w w:val="89"/>
              </w:rPr>
            </w:pPr>
            <w:hyperlink w:anchor="page293">
              <w:r>
                <w:rPr>
                  <w:rFonts w:ascii="Arial" w:cs="Arial" w:eastAsia="Arial" w:hAnsi="Arial"/>
                  <w:sz w:val="16"/>
                  <w:szCs w:val="16"/>
                  <w:color w:val="0000FF"/>
                  <w:w w:val="89"/>
                </w:rPr>
                <w:t>Section 1350</w:t>
              </w:r>
            </w:hyperlink>
          </w:p>
        </w:tc>
        <w:tc>
          <w:tcPr>
            <w:tcW w:w="4140" w:type="dxa"/>
            <w:vAlign w:val="bottom"/>
            <w:gridSpan w:val="3"/>
          </w:tcPr>
          <w:p>
            <w:pPr>
              <w:ind w:left="20"/>
              <w:spacing w:after="0"/>
              <w:rPr>
                <w:rFonts w:ascii="Arial" w:cs="Arial" w:eastAsia="Arial" w:hAnsi="Arial"/>
                <w:sz w:val="16"/>
                <w:szCs w:val="16"/>
                <w:color w:val="0000FF"/>
              </w:rPr>
            </w:pPr>
            <w:hyperlink w:anchor="page293">
              <w:r>
                <w:rPr>
                  <w:rFonts w:ascii="Arial" w:cs="Arial" w:eastAsia="Arial" w:hAnsi="Arial"/>
                  <w:sz w:val="16"/>
                  <w:szCs w:val="16"/>
                  <w:color w:val="0000FF"/>
                </w:rPr>
                <w:t>Certification.</w:t>
              </w:r>
            </w:hyperlink>
          </w:p>
        </w:tc>
        <w:tc>
          <w:tcPr>
            <w:tcW w:w="2320" w:type="dxa"/>
            <w:vAlign w:val="bottom"/>
          </w:tcPr>
          <w:p>
            <w:pPr>
              <w:ind w:left="1040"/>
              <w:spacing w:after="0"/>
              <w:rPr>
                <w:sz w:val="20"/>
                <w:szCs w:val="20"/>
                <w:color w:val="auto"/>
              </w:rPr>
            </w:pPr>
            <w:r>
              <w:rPr>
                <w:rFonts w:ascii="Arial" w:cs="Arial" w:eastAsia="Arial" w:hAnsi="Arial"/>
                <w:sz w:val="16"/>
                <w:szCs w:val="16"/>
                <w:color w:val="auto"/>
                <w:w w:val="89"/>
              </w:rPr>
              <w:t>Furnished herewith.</w:t>
            </w:r>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85"/>
        </w:trPr>
        <w:tc>
          <w:tcPr>
            <w:tcW w:w="1040" w:type="dxa"/>
            <w:vAlign w:val="bottom"/>
          </w:tcPr>
          <w:p>
            <w:pPr>
              <w:spacing w:after="0"/>
              <w:rPr>
                <w:sz w:val="20"/>
                <w:szCs w:val="20"/>
                <w:color w:val="auto"/>
              </w:rPr>
            </w:pPr>
            <w:r>
              <w:rPr>
                <w:rFonts w:ascii="Arial" w:cs="Arial" w:eastAsia="Arial" w:hAnsi="Arial"/>
                <w:sz w:val="16"/>
                <w:szCs w:val="16"/>
                <w:color w:val="auto"/>
              </w:rPr>
              <w:t>101 INS</w:t>
            </w:r>
          </w:p>
        </w:tc>
        <w:tc>
          <w:tcPr>
            <w:tcW w:w="860" w:type="dxa"/>
            <w:vAlign w:val="bottom"/>
          </w:tcPr>
          <w:p>
            <w:pPr>
              <w:spacing w:after="0"/>
              <w:rPr>
                <w:sz w:val="20"/>
                <w:szCs w:val="20"/>
                <w:color w:val="auto"/>
              </w:rPr>
            </w:pPr>
            <w:r>
              <w:rPr>
                <w:rFonts w:ascii="Arial" w:cs="Arial" w:eastAsia="Arial" w:hAnsi="Arial"/>
                <w:sz w:val="16"/>
                <w:szCs w:val="16"/>
                <w:color w:val="auto"/>
                <w:w w:val="99"/>
              </w:rPr>
              <w:t>Inline XBRL</w:t>
            </w:r>
          </w:p>
        </w:tc>
        <w:tc>
          <w:tcPr>
            <w:tcW w:w="4140" w:type="dxa"/>
            <w:vAlign w:val="bottom"/>
            <w:gridSpan w:val="3"/>
          </w:tcPr>
          <w:p>
            <w:pPr>
              <w:ind w:left="20"/>
              <w:spacing w:after="0"/>
              <w:rPr>
                <w:sz w:val="20"/>
                <w:szCs w:val="20"/>
                <w:color w:val="auto"/>
              </w:rPr>
            </w:pPr>
            <w:r>
              <w:rPr>
                <w:rFonts w:ascii="Arial" w:cs="Arial" w:eastAsia="Arial" w:hAnsi="Arial"/>
                <w:sz w:val="16"/>
                <w:szCs w:val="16"/>
                <w:color w:val="auto"/>
              </w:rPr>
              <w:t>Instance Document.</w:t>
            </w:r>
          </w:p>
        </w:tc>
        <w:tc>
          <w:tcPr>
            <w:tcW w:w="2320" w:type="dxa"/>
            <w:vAlign w:val="bottom"/>
          </w:tcPr>
          <w:p>
            <w:pPr>
              <w:ind w:left="1040"/>
              <w:spacing w:after="0"/>
              <w:rPr>
                <w:sz w:val="20"/>
                <w:szCs w:val="20"/>
                <w:color w:val="auto"/>
              </w:rPr>
            </w:pPr>
            <w:r>
              <w:rPr>
                <w:rFonts w:ascii="Arial" w:cs="Arial" w:eastAsia="Arial" w:hAnsi="Arial"/>
                <w:sz w:val="16"/>
                <w:szCs w:val="16"/>
                <w:color w:val="auto"/>
              </w:rPr>
              <w:t>Filed herewith.</w:t>
            </w:r>
          </w:p>
        </w:tc>
      </w:tr>
    </w:tbl>
    <w:p>
      <w:pPr>
        <w:spacing w:after="0" w:line="23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179"/>
          </w:cols>
          <w:pgMar w:left="280" w:top="118" w:right="1440" w:bottom="1440" w:gutter="0" w:footer="0" w:header="0"/>
        </w:sectPr>
      </w:pPr>
    </w:p>
    <w:bookmarkStart w:id="160" w:name="page161"/>
    <w:bookmarkEnd w:id="160"/>
    <w:tbl>
      <w:tblPr>
        <w:tblLayout w:type="fixed"/>
        <w:tblInd w:w="5" w:type="dxa"/>
        <w:tblCellMar>
          <w:top w:w="0" w:type="dxa"/>
          <w:left w:w="0" w:type="dxa"/>
          <w:bottom w:w="0" w:type="dxa"/>
          <w:right w:w="0" w:type="dxa"/>
        </w:tblCellMar>
      </w:tblPr>
      <w:tr>
        <w:trPr>
          <w:trHeight w:val="206"/>
        </w:trPr>
        <w:tc>
          <w:tcPr>
            <w:tcW w:w="260" w:type="dxa"/>
            <w:vAlign w:val="bottom"/>
          </w:tcPr>
          <w:p>
            <w:pPr>
              <w:jc w:val="right"/>
              <w:spacing w:after="0"/>
              <w:rPr>
                <w:sz w:val="20"/>
                <w:szCs w:val="20"/>
                <w:color w:val="auto"/>
              </w:rPr>
            </w:pPr>
            <w:r>
              <w:rPr>
                <w:rFonts w:ascii="Arial" w:cs="Arial" w:eastAsia="Arial" w:hAnsi="Arial"/>
                <w:sz w:val="16"/>
                <w:szCs w:val="16"/>
                <w:color w:val="auto"/>
                <w:w w:val="82"/>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SCH</w:t>
            </w:r>
          </w:p>
        </w:tc>
        <w:tc>
          <w:tcPr>
            <w:tcW w:w="5120" w:type="dxa"/>
            <w:vAlign w:val="bottom"/>
          </w:tcPr>
          <w:p>
            <w:pPr>
              <w:ind w:left="220"/>
              <w:spacing w:after="0"/>
              <w:rPr>
                <w:sz w:val="20"/>
                <w:szCs w:val="20"/>
                <w:color w:val="auto"/>
              </w:rPr>
            </w:pPr>
            <w:r>
              <w:rPr>
                <w:rFonts w:ascii="Arial" w:cs="Arial" w:eastAsia="Arial" w:hAnsi="Arial"/>
                <w:sz w:val="16"/>
                <w:szCs w:val="16"/>
                <w:color w:val="auto"/>
              </w:rPr>
              <w:t>Inline XBRL Taxonomy Extension Schema.</w:t>
            </w:r>
          </w:p>
        </w:tc>
        <w:tc>
          <w:tcPr>
            <w:tcW w:w="2120" w:type="dxa"/>
            <w:vAlign w:val="bottom"/>
          </w:tcPr>
          <w:p>
            <w:pPr>
              <w:ind w:left="1140"/>
              <w:spacing w:after="0"/>
              <w:rPr>
                <w:sz w:val="20"/>
                <w:szCs w:val="20"/>
                <w:color w:val="auto"/>
              </w:rPr>
            </w:pPr>
            <w:r>
              <w:rPr>
                <w:rFonts w:ascii="Arial" w:cs="Arial" w:eastAsia="Arial" w:hAnsi="Arial"/>
                <w:sz w:val="16"/>
                <w:szCs w:val="16"/>
                <w:color w:val="auto"/>
                <w:w w:val="92"/>
              </w:rPr>
              <w:t>Filed herewith.</w:t>
            </w:r>
          </w:p>
        </w:tc>
      </w:tr>
      <w:tr>
        <w:trPr>
          <w:trHeight w:val="270"/>
        </w:trPr>
        <w:tc>
          <w:tcPr>
            <w:tcW w:w="260" w:type="dxa"/>
            <w:vAlign w:val="bottom"/>
          </w:tcPr>
          <w:p>
            <w:pPr>
              <w:jc w:val="right"/>
              <w:spacing w:after="0"/>
              <w:rPr>
                <w:sz w:val="20"/>
                <w:szCs w:val="20"/>
                <w:color w:val="auto"/>
              </w:rPr>
            </w:pPr>
            <w:r>
              <w:rPr>
                <w:rFonts w:ascii="Arial" w:cs="Arial" w:eastAsia="Arial" w:hAnsi="Arial"/>
                <w:sz w:val="16"/>
                <w:szCs w:val="16"/>
                <w:color w:val="auto"/>
                <w:w w:val="82"/>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CAL</w:t>
            </w:r>
          </w:p>
        </w:tc>
        <w:tc>
          <w:tcPr>
            <w:tcW w:w="5120" w:type="dxa"/>
            <w:vAlign w:val="bottom"/>
          </w:tcPr>
          <w:p>
            <w:pPr>
              <w:ind w:left="220"/>
              <w:spacing w:after="0"/>
              <w:rPr>
                <w:sz w:val="20"/>
                <w:szCs w:val="20"/>
                <w:color w:val="auto"/>
              </w:rPr>
            </w:pPr>
            <w:r>
              <w:rPr>
                <w:rFonts w:ascii="Arial" w:cs="Arial" w:eastAsia="Arial" w:hAnsi="Arial"/>
                <w:sz w:val="16"/>
                <w:szCs w:val="16"/>
                <w:color w:val="auto"/>
              </w:rPr>
              <w:t>Inline XBRL Taxonomy Extension Calculation Linkbase.</w:t>
            </w:r>
          </w:p>
        </w:tc>
        <w:tc>
          <w:tcPr>
            <w:tcW w:w="2120" w:type="dxa"/>
            <w:vAlign w:val="bottom"/>
          </w:tcPr>
          <w:p>
            <w:pPr>
              <w:ind w:left="1140"/>
              <w:spacing w:after="0"/>
              <w:rPr>
                <w:sz w:val="20"/>
                <w:szCs w:val="20"/>
                <w:color w:val="auto"/>
              </w:rPr>
            </w:pPr>
            <w:r>
              <w:rPr>
                <w:rFonts w:ascii="Arial" w:cs="Arial" w:eastAsia="Arial" w:hAnsi="Arial"/>
                <w:sz w:val="16"/>
                <w:szCs w:val="16"/>
                <w:color w:val="auto"/>
                <w:w w:val="92"/>
              </w:rPr>
              <w:t>Filed herewith.</w:t>
            </w:r>
          </w:p>
        </w:tc>
      </w:tr>
      <w:tr>
        <w:trPr>
          <w:trHeight w:val="270"/>
        </w:trPr>
        <w:tc>
          <w:tcPr>
            <w:tcW w:w="260" w:type="dxa"/>
            <w:vAlign w:val="bottom"/>
          </w:tcPr>
          <w:p>
            <w:pPr>
              <w:jc w:val="right"/>
              <w:spacing w:after="0"/>
              <w:rPr>
                <w:sz w:val="20"/>
                <w:szCs w:val="20"/>
                <w:color w:val="auto"/>
              </w:rPr>
            </w:pPr>
            <w:r>
              <w:rPr>
                <w:rFonts w:ascii="Arial" w:cs="Arial" w:eastAsia="Arial" w:hAnsi="Arial"/>
                <w:sz w:val="16"/>
                <w:szCs w:val="16"/>
                <w:color w:val="auto"/>
                <w:w w:val="82"/>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DEF</w:t>
            </w:r>
          </w:p>
        </w:tc>
        <w:tc>
          <w:tcPr>
            <w:tcW w:w="5120" w:type="dxa"/>
            <w:vAlign w:val="bottom"/>
          </w:tcPr>
          <w:p>
            <w:pPr>
              <w:ind w:left="220"/>
              <w:spacing w:after="0"/>
              <w:rPr>
                <w:sz w:val="20"/>
                <w:szCs w:val="20"/>
                <w:color w:val="auto"/>
              </w:rPr>
            </w:pPr>
            <w:r>
              <w:rPr>
                <w:rFonts w:ascii="Arial" w:cs="Arial" w:eastAsia="Arial" w:hAnsi="Arial"/>
                <w:sz w:val="16"/>
                <w:szCs w:val="16"/>
                <w:color w:val="auto"/>
              </w:rPr>
              <w:t>Inline XBRL Taxonomy Extension Definition Linkbase.</w:t>
            </w:r>
          </w:p>
        </w:tc>
        <w:tc>
          <w:tcPr>
            <w:tcW w:w="2120" w:type="dxa"/>
            <w:vAlign w:val="bottom"/>
          </w:tcPr>
          <w:p>
            <w:pPr>
              <w:ind w:left="1140"/>
              <w:spacing w:after="0"/>
              <w:rPr>
                <w:sz w:val="20"/>
                <w:szCs w:val="20"/>
                <w:color w:val="auto"/>
              </w:rPr>
            </w:pPr>
            <w:r>
              <w:rPr>
                <w:rFonts w:ascii="Arial" w:cs="Arial" w:eastAsia="Arial" w:hAnsi="Arial"/>
                <w:sz w:val="16"/>
                <w:szCs w:val="16"/>
                <w:color w:val="auto"/>
                <w:w w:val="92"/>
              </w:rPr>
              <w:t>Filed herewith.</w:t>
            </w:r>
          </w:p>
        </w:tc>
      </w:tr>
      <w:tr>
        <w:trPr>
          <w:trHeight w:val="270"/>
        </w:trPr>
        <w:tc>
          <w:tcPr>
            <w:tcW w:w="260" w:type="dxa"/>
            <w:vAlign w:val="bottom"/>
          </w:tcPr>
          <w:p>
            <w:pPr>
              <w:jc w:val="right"/>
              <w:spacing w:after="0"/>
              <w:rPr>
                <w:sz w:val="20"/>
                <w:szCs w:val="20"/>
                <w:color w:val="auto"/>
              </w:rPr>
            </w:pPr>
            <w:r>
              <w:rPr>
                <w:rFonts w:ascii="Arial" w:cs="Arial" w:eastAsia="Arial" w:hAnsi="Arial"/>
                <w:sz w:val="16"/>
                <w:szCs w:val="16"/>
                <w:color w:val="auto"/>
                <w:w w:val="82"/>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LAB</w:t>
            </w:r>
          </w:p>
        </w:tc>
        <w:tc>
          <w:tcPr>
            <w:tcW w:w="5120" w:type="dxa"/>
            <w:vAlign w:val="bottom"/>
          </w:tcPr>
          <w:p>
            <w:pPr>
              <w:ind w:left="220"/>
              <w:spacing w:after="0"/>
              <w:rPr>
                <w:sz w:val="20"/>
                <w:szCs w:val="20"/>
                <w:color w:val="auto"/>
              </w:rPr>
            </w:pPr>
            <w:r>
              <w:rPr>
                <w:rFonts w:ascii="Arial" w:cs="Arial" w:eastAsia="Arial" w:hAnsi="Arial"/>
                <w:sz w:val="16"/>
                <w:szCs w:val="16"/>
                <w:color w:val="auto"/>
              </w:rPr>
              <w:t>Inline XBRL Taxonomy Extension Label Linkbase.</w:t>
            </w:r>
          </w:p>
        </w:tc>
        <w:tc>
          <w:tcPr>
            <w:tcW w:w="2120" w:type="dxa"/>
            <w:vAlign w:val="bottom"/>
          </w:tcPr>
          <w:p>
            <w:pPr>
              <w:ind w:left="1140"/>
              <w:spacing w:after="0"/>
              <w:rPr>
                <w:sz w:val="20"/>
                <w:szCs w:val="20"/>
                <w:color w:val="auto"/>
              </w:rPr>
            </w:pPr>
            <w:r>
              <w:rPr>
                <w:rFonts w:ascii="Arial" w:cs="Arial" w:eastAsia="Arial" w:hAnsi="Arial"/>
                <w:sz w:val="16"/>
                <w:szCs w:val="16"/>
                <w:color w:val="auto"/>
                <w:w w:val="92"/>
              </w:rPr>
              <w:t>Filed herewith.</w:t>
            </w:r>
          </w:p>
        </w:tc>
      </w:tr>
      <w:tr>
        <w:trPr>
          <w:trHeight w:val="270"/>
        </w:trPr>
        <w:tc>
          <w:tcPr>
            <w:tcW w:w="260" w:type="dxa"/>
            <w:vAlign w:val="bottom"/>
          </w:tcPr>
          <w:p>
            <w:pPr>
              <w:jc w:val="right"/>
              <w:spacing w:after="0"/>
              <w:rPr>
                <w:sz w:val="20"/>
                <w:szCs w:val="20"/>
                <w:color w:val="auto"/>
              </w:rPr>
            </w:pPr>
            <w:r>
              <w:rPr>
                <w:rFonts w:ascii="Arial" w:cs="Arial" w:eastAsia="Arial" w:hAnsi="Arial"/>
                <w:sz w:val="16"/>
                <w:szCs w:val="16"/>
                <w:color w:val="auto"/>
                <w:w w:val="82"/>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PRE</w:t>
            </w:r>
          </w:p>
        </w:tc>
        <w:tc>
          <w:tcPr>
            <w:tcW w:w="5120" w:type="dxa"/>
            <w:vAlign w:val="bottom"/>
          </w:tcPr>
          <w:p>
            <w:pPr>
              <w:ind w:left="220"/>
              <w:spacing w:after="0"/>
              <w:rPr>
                <w:sz w:val="20"/>
                <w:szCs w:val="20"/>
                <w:color w:val="auto"/>
              </w:rPr>
            </w:pPr>
            <w:r>
              <w:rPr>
                <w:rFonts w:ascii="Arial" w:cs="Arial" w:eastAsia="Arial" w:hAnsi="Arial"/>
                <w:sz w:val="16"/>
                <w:szCs w:val="16"/>
                <w:color w:val="auto"/>
              </w:rPr>
              <w:t>Inline XBRL Taxonomy Extension Presentation Linkbase.</w:t>
            </w:r>
          </w:p>
        </w:tc>
        <w:tc>
          <w:tcPr>
            <w:tcW w:w="2120" w:type="dxa"/>
            <w:vAlign w:val="bottom"/>
          </w:tcPr>
          <w:p>
            <w:pPr>
              <w:ind w:left="1140"/>
              <w:spacing w:after="0"/>
              <w:rPr>
                <w:sz w:val="20"/>
                <w:szCs w:val="20"/>
                <w:color w:val="auto"/>
              </w:rPr>
            </w:pPr>
            <w:r>
              <w:rPr>
                <w:rFonts w:ascii="Arial" w:cs="Arial" w:eastAsia="Arial" w:hAnsi="Arial"/>
                <w:sz w:val="16"/>
                <w:szCs w:val="16"/>
                <w:color w:val="auto"/>
                <w:w w:val="92"/>
              </w:rPr>
              <w:t>Filed herewith.</w:t>
            </w:r>
          </w:p>
        </w:tc>
      </w:tr>
    </w:tbl>
    <w:p>
      <w:pPr>
        <w:spacing w:after="0" w:line="50" w:lineRule="exact"/>
        <w:rPr>
          <w:sz w:val="20"/>
          <w:szCs w:val="20"/>
          <w:color w:val="auto"/>
        </w:rPr>
      </w:pPr>
    </w:p>
    <w:p>
      <w:pPr>
        <w:ind w:left="1045" w:right="3459" w:hanging="1045"/>
        <w:spacing w:after="0" w:line="278" w:lineRule="auto"/>
        <w:tabs>
          <w:tab w:leader="none" w:pos="1045"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Cover Page Interactive Data File (</w:t>
      </w:r>
      <w:r>
        <w:rPr>
          <w:rFonts w:ascii="Arial" w:cs="Arial" w:eastAsia="Arial" w:hAnsi="Arial"/>
          <w:sz w:val="16"/>
          <w:szCs w:val="16"/>
          <w:color w:val="212529"/>
        </w:rPr>
        <w:t>the cover page interactive data file does not appear in</w:t>
      </w:r>
      <w:r>
        <w:rPr>
          <w:rFonts w:ascii="Arial" w:cs="Arial" w:eastAsia="Arial" w:hAnsi="Arial"/>
          <w:sz w:val="16"/>
          <w:szCs w:val="16"/>
          <w:color w:val="auto"/>
        </w:rPr>
        <w:t xml:space="preserve"> </w:t>
      </w:r>
      <w:r>
        <w:rPr>
          <w:rFonts w:ascii="Arial" w:cs="Arial" w:eastAsia="Arial" w:hAnsi="Arial"/>
          <w:sz w:val="16"/>
          <w:szCs w:val="16"/>
          <w:color w:val="212529"/>
        </w:rPr>
        <w:t>Exhibit 104 because its Inline XBRL tags are embedded within the Inline XBRL document)</w:t>
      </w:r>
    </w:p>
    <w:p>
      <w:pPr>
        <w:spacing w:after="0" w:line="200" w:lineRule="exact"/>
        <w:rPr>
          <w:sz w:val="20"/>
          <w:szCs w:val="20"/>
          <w:color w:val="auto"/>
        </w:rPr>
      </w:pPr>
    </w:p>
    <w:p>
      <w:pPr>
        <w:spacing w:after="0" w:line="376" w:lineRule="exact"/>
        <w:rPr>
          <w:sz w:val="20"/>
          <w:szCs w:val="20"/>
          <w:color w:val="auto"/>
        </w:rPr>
      </w:pPr>
    </w:p>
    <w:p>
      <w:pPr>
        <w:ind w:left="565" w:hanging="565"/>
        <w:spacing w:after="0"/>
        <w:tabs>
          <w:tab w:leader="none" w:pos="565"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Indicates exhibits that constitute compensatory plans or arrangements.</w:t>
      </w:r>
    </w:p>
    <w:p>
      <w:pPr>
        <w:spacing w:after="0" w:line="86" w:lineRule="exact"/>
        <w:rPr>
          <w:sz w:val="20"/>
          <w:szCs w:val="20"/>
          <w:color w:val="auto"/>
        </w:rPr>
      </w:pPr>
    </w:p>
    <w:p>
      <w:pPr>
        <w:ind w:left="565" w:right="1019" w:hanging="565"/>
        <w:spacing w:after="0" w:line="293" w:lineRule="auto"/>
        <w:tabs>
          <w:tab w:leader="none" w:pos="56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This filing excludes schedules pursuant to Item 601(b)(2) of Regulation S-K, which the registrant agrees to furnish supplementary to the Securities and Exchange Commission upon request by the Commission.</w:t>
      </w:r>
    </w:p>
    <w:p>
      <w:pPr>
        <w:spacing w:after="0" w:line="10" w:lineRule="exact"/>
        <w:rPr>
          <w:sz w:val="20"/>
          <w:szCs w:val="20"/>
          <w:color w:val="auto"/>
        </w:rPr>
      </w:pPr>
    </w:p>
    <w:p>
      <w:pPr>
        <w:ind w:left="565" w:right="1019" w:hanging="565"/>
        <w:spacing w:after="0" w:line="329" w:lineRule="auto"/>
        <w:tabs>
          <w:tab w:leader="none" w:pos="565" w:val="left"/>
        </w:tabs>
        <w:numPr>
          <w:ilvl w:val="0"/>
          <w:numId w:val="97"/>
        </w:numPr>
        <w:rPr>
          <w:rFonts w:ascii="Arial" w:cs="Arial" w:eastAsia="Arial" w:hAnsi="Arial"/>
          <w:sz w:val="15"/>
          <w:szCs w:val="15"/>
          <w:color w:val="auto"/>
        </w:rPr>
      </w:pPr>
      <w:r>
        <w:rPr>
          <w:rFonts w:ascii="Arial" w:cs="Arial" w:eastAsia="Arial" w:hAnsi="Arial"/>
          <w:sz w:val="15"/>
          <w:szCs w:val="15"/>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189" w:lineRule="exact"/>
        <w:rPr>
          <w:sz w:val="20"/>
          <w:szCs w:val="20"/>
          <w:color w:val="auto"/>
        </w:rPr>
      </w:pPr>
    </w:p>
    <w:p>
      <w:pPr>
        <w:ind w:left="565" w:right="1179" w:hanging="565"/>
        <w:spacing w:after="0" w:line="329" w:lineRule="auto"/>
        <w:tabs>
          <w:tab w:leader="none" w:pos="565"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Information in this exhibit identified by the mark “[***]” is confidential and has been excluded pursuant to Item 601(b)(10)(iv) of Regulation S-K because it (i) is not material and (ii) would likely cause competitive harm to the Registrant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5"/>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184"/>
          </w:cols>
          <w:pgMar w:left="275" w:top="1089" w:right="1440"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Item 16 —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219"/>
          </w:cols>
          <w:pgMar w:left="240" w:top="905" w:right="1440"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 (d)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CLEARWAY ENERGY LLC</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(Registrant)</w:t>
      </w:r>
    </w:p>
    <w:p>
      <w:pPr>
        <w:spacing w:after="0" w:line="34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1012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(Principal Executive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2, 2020</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person whose signature appears below constitutes and appoints Christopher S. Sotos, Kevin P. Malcarney and Michael A. Brown,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Signatures</w:t>
            </w:r>
          </w:p>
        </w:tc>
        <w:tc>
          <w:tcPr>
            <w:tcW w:w="19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80" w:type="dxa"/>
            <w:vAlign w:val="bottom"/>
            <w:gridSpan w:val="3"/>
          </w:tcPr>
          <w:p>
            <w:pPr>
              <w:jc w:val="center"/>
              <w:ind w:left="710"/>
              <w:spacing w:after="0"/>
              <w:rPr>
                <w:sz w:val="20"/>
                <w:szCs w:val="20"/>
                <w:color w:val="auto"/>
              </w:rPr>
            </w:pPr>
            <w:r>
              <w:rPr>
                <w:rFonts w:ascii="Arial" w:cs="Arial" w:eastAsia="Arial" w:hAnsi="Arial"/>
                <w:sz w:val="18"/>
                <w:szCs w:val="18"/>
                <w:color w:val="auto"/>
                <w:w w:val="91"/>
              </w:rPr>
              <w:t>/s/ CHRISTOPHER S. SOTOS</w:t>
            </w:r>
          </w:p>
        </w:tc>
        <w:tc>
          <w:tcPr>
            <w:tcW w:w="4560" w:type="dxa"/>
            <w:vAlign w:val="bottom"/>
            <w:gridSpan w:val="3"/>
          </w:tcPr>
          <w:p>
            <w:pPr>
              <w:ind w:left="480"/>
              <w:spacing w:after="0"/>
              <w:rPr>
                <w:sz w:val="20"/>
                <w:szCs w:val="20"/>
                <w:color w:val="auto"/>
              </w:rPr>
            </w:pP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560" w:type="dxa"/>
            <w:vAlign w:val="bottom"/>
            <w:gridSpan w:val="3"/>
            <w:vMerge w:val="restart"/>
          </w:tcPr>
          <w:p>
            <w:pPr>
              <w:ind w:left="480"/>
              <w:spacing w:after="0"/>
              <w:rPr>
                <w:sz w:val="20"/>
                <w:szCs w:val="20"/>
                <w:color w:val="auto"/>
              </w:rPr>
            </w:pPr>
            <w:r>
              <w:rPr>
                <w:rFonts w:ascii="Arial" w:cs="Arial" w:eastAsia="Arial" w:hAnsi="Arial"/>
                <w:sz w:val="18"/>
                <w:szCs w:val="18"/>
                <w:i w:val="1"/>
                <w:iCs w:val="1"/>
                <w:color w:val="auto"/>
                <w:w w:val="96"/>
              </w:rPr>
              <w:t>of Clearway Energy LLC (Principal Executive Officer)</w:t>
            </w:r>
          </w:p>
        </w:tc>
        <w:tc>
          <w:tcPr>
            <w:tcW w:w="0" w:type="dxa"/>
            <w:vAlign w:val="bottom"/>
          </w:tcPr>
          <w:p>
            <w:pPr>
              <w:spacing w:after="0"/>
              <w:rPr>
                <w:sz w:val="1"/>
                <w:szCs w:val="1"/>
                <w:color w:val="auto"/>
              </w:rPr>
            </w:pPr>
          </w:p>
        </w:tc>
      </w:tr>
      <w:tr>
        <w:trPr>
          <w:trHeight w:val="237"/>
        </w:trPr>
        <w:tc>
          <w:tcPr>
            <w:tcW w:w="5280" w:type="dxa"/>
            <w:vAlign w:val="bottom"/>
            <w:gridSpan w:val="3"/>
          </w:tcPr>
          <w:p>
            <w:pPr>
              <w:jc w:val="center"/>
              <w:ind w:left="710"/>
              <w:spacing w:after="0"/>
              <w:rPr>
                <w:sz w:val="20"/>
                <w:szCs w:val="20"/>
                <w:color w:val="auto"/>
              </w:rPr>
            </w:pPr>
            <w:r>
              <w:rPr>
                <w:rFonts w:ascii="Arial" w:cs="Arial" w:eastAsia="Arial" w:hAnsi="Arial"/>
                <w:sz w:val="18"/>
                <w:szCs w:val="18"/>
                <w:color w:val="auto"/>
                <w:w w:val="89"/>
              </w:rPr>
              <w:t>Christopher S. Sotos</w:t>
            </w:r>
          </w:p>
        </w:tc>
        <w:tc>
          <w:tcPr>
            <w:tcW w:w="45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gridSpan w:val="3"/>
          </w:tcPr>
          <w:p>
            <w:pPr>
              <w:ind w:left="400"/>
              <w:spacing w:after="0"/>
              <w:rPr>
                <w:sz w:val="20"/>
                <w:szCs w:val="20"/>
                <w:color w:val="auto"/>
              </w:rPr>
            </w:pPr>
            <w:r>
              <w:rPr>
                <w:rFonts w:ascii="Arial" w:cs="Arial" w:eastAsia="Arial" w:hAnsi="Arial"/>
                <w:sz w:val="18"/>
                <w:szCs w:val="18"/>
                <w:color w:val="auto"/>
              </w:rPr>
              <w:t>Date: March 2, 2020</w:t>
            </w:r>
          </w:p>
        </w:tc>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560" w:type="dxa"/>
            <w:vAlign w:val="bottom"/>
            <w:gridSpan w:val="3"/>
          </w:tcPr>
          <w:p>
            <w:pPr>
              <w:ind w:left="480"/>
              <w:spacing w:after="0"/>
              <w:rPr>
                <w:sz w:val="20"/>
                <w:szCs w:val="20"/>
                <w:color w:val="auto"/>
              </w:rPr>
            </w:pPr>
            <w:r>
              <w:rPr>
                <w:rFonts w:ascii="Arial" w:cs="Arial" w:eastAsia="Arial" w:hAnsi="Arial"/>
                <w:sz w:val="18"/>
                <w:szCs w:val="18"/>
                <w:i w:val="1"/>
                <w:iCs w:val="1"/>
                <w:color w:val="auto"/>
              </w:rPr>
              <w:t>Senior Vice President and Chief Financial Officer</w:t>
            </w:r>
          </w:p>
        </w:tc>
        <w:tc>
          <w:tcPr>
            <w:tcW w:w="0" w:type="dxa"/>
            <w:vAlign w:val="bottom"/>
          </w:tcPr>
          <w:p>
            <w:pPr>
              <w:spacing w:after="0"/>
              <w:rPr>
                <w:sz w:val="1"/>
                <w:szCs w:val="1"/>
                <w:color w:val="auto"/>
              </w:rPr>
            </w:pPr>
          </w:p>
        </w:tc>
      </w:tr>
      <w:tr>
        <w:trPr>
          <w:trHeight w:val="432"/>
        </w:trPr>
        <w:tc>
          <w:tcPr>
            <w:tcW w:w="5280" w:type="dxa"/>
            <w:vAlign w:val="bottom"/>
            <w:gridSpan w:val="3"/>
          </w:tcPr>
          <w:p>
            <w:pPr>
              <w:jc w:val="center"/>
              <w:ind w:left="730"/>
              <w:spacing w:after="0"/>
              <w:rPr>
                <w:sz w:val="20"/>
                <w:szCs w:val="20"/>
                <w:color w:val="auto"/>
              </w:rPr>
            </w:pPr>
            <w:r>
              <w:rPr>
                <w:rFonts w:ascii="Arial" w:cs="Arial" w:eastAsia="Arial" w:hAnsi="Arial"/>
                <w:sz w:val="18"/>
                <w:szCs w:val="18"/>
                <w:color w:val="auto"/>
                <w:w w:val="98"/>
              </w:rPr>
              <w:t>/s/ CHAD PLOTKIN</w:t>
            </w:r>
          </w:p>
        </w:tc>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560" w:type="dxa"/>
            <w:vAlign w:val="bottom"/>
            <w:gridSpan w:val="3"/>
            <w:vMerge w:val="restart"/>
          </w:tcPr>
          <w:p>
            <w:pPr>
              <w:ind w:left="480"/>
              <w:spacing w:after="0"/>
              <w:rPr>
                <w:sz w:val="20"/>
                <w:szCs w:val="20"/>
                <w:color w:val="auto"/>
              </w:rPr>
            </w:pPr>
            <w:r>
              <w:rPr>
                <w:rFonts w:ascii="Arial" w:cs="Arial" w:eastAsia="Arial" w:hAnsi="Arial"/>
                <w:sz w:val="18"/>
                <w:szCs w:val="18"/>
                <w:i w:val="1"/>
                <w:iCs w:val="1"/>
                <w:color w:val="auto"/>
                <w:w w:val="97"/>
              </w:rPr>
              <w:t>of Clearway Energy LLC (Principal Financial Officer)</w:t>
            </w:r>
          </w:p>
        </w:tc>
        <w:tc>
          <w:tcPr>
            <w:tcW w:w="0" w:type="dxa"/>
            <w:vAlign w:val="bottom"/>
          </w:tcPr>
          <w:p>
            <w:pPr>
              <w:spacing w:after="0"/>
              <w:rPr>
                <w:sz w:val="1"/>
                <w:szCs w:val="1"/>
                <w:color w:val="auto"/>
              </w:rPr>
            </w:pPr>
          </w:p>
        </w:tc>
      </w:tr>
      <w:tr>
        <w:trPr>
          <w:trHeight w:val="237"/>
        </w:trPr>
        <w:tc>
          <w:tcPr>
            <w:tcW w:w="5280" w:type="dxa"/>
            <w:vAlign w:val="bottom"/>
            <w:gridSpan w:val="3"/>
          </w:tcPr>
          <w:p>
            <w:pPr>
              <w:jc w:val="center"/>
              <w:ind w:left="730"/>
              <w:spacing w:after="0"/>
              <w:rPr>
                <w:sz w:val="20"/>
                <w:szCs w:val="20"/>
                <w:color w:val="auto"/>
              </w:rPr>
            </w:pPr>
            <w:r>
              <w:rPr>
                <w:rFonts w:ascii="Arial" w:cs="Arial" w:eastAsia="Arial" w:hAnsi="Arial"/>
                <w:sz w:val="18"/>
                <w:szCs w:val="18"/>
                <w:color w:val="auto"/>
                <w:w w:val="92"/>
              </w:rPr>
              <w:t>Chad Plotkin</w:t>
            </w:r>
          </w:p>
        </w:tc>
        <w:tc>
          <w:tcPr>
            <w:tcW w:w="45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gridSpan w:val="3"/>
          </w:tcPr>
          <w:p>
            <w:pPr>
              <w:ind w:left="400"/>
              <w:spacing w:after="0"/>
              <w:rPr>
                <w:sz w:val="20"/>
                <w:szCs w:val="20"/>
                <w:color w:val="auto"/>
              </w:rPr>
            </w:pPr>
            <w:r>
              <w:rPr>
                <w:rFonts w:ascii="Arial" w:cs="Arial" w:eastAsia="Arial" w:hAnsi="Arial"/>
                <w:sz w:val="18"/>
                <w:szCs w:val="18"/>
                <w:color w:val="auto"/>
              </w:rPr>
              <w:t>Date: March 2, 2020</w:t>
            </w:r>
          </w:p>
        </w:tc>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5280" w:type="dxa"/>
            <w:vAlign w:val="bottom"/>
            <w:gridSpan w:val="3"/>
          </w:tcPr>
          <w:p>
            <w:pPr>
              <w:jc w:val="center"/>
              <w:ind w:left="730"/>
              <w:spacing w:after="0"/>
              <w:rPr>
                <w:sz w:val="20"/>
                <w:szCs w:val="20"/>
                <w:color w:val="auto"/>
              </w:rPr>
            </w:pPr>
            <w:r>
              <w:rPr>
                <w:rFonts w:ascii="Arial" w:cs="Arial" w:eastAsia="Arial" w:hAnsi="Arial"/>
                <w:sz w:val="18"/>
                <w:szCs w:val="18"/>
                <w:color w:val="auto"/>
                <w:w w:val="98"/>
              </w:rPr>
              <w:t>/s/ MARY-LEE STILLWELL</w:t>
            </w:r>
          </w:p>
        </w:tc>
        <w:tc>
          <w:tcPr>
            <w:tcW w:w="4560" w:type="dxa"/>
            <w:vAlign w:val="bottom"/>
            <w:gridSpan w:val="3"/>
          </w:tcPr>
          <w:p>
            <w:pPr>
              <w:ind w:left="480"/>
              <w:spacing w:after="0"/>
              <w:rPr>
                <w:sz w:val="20"/>
                <w:szCs w:val="20"/>
                <w:color w:val="auto"/>
              </w:rPr>
            </w:pPr>
            <w:r>
              <w:rPr>
                <w:rFonts w:ascii="Arial" w:cs="Arial" w:eastAsia="Arial" w:hAnsi="Arial"/>
                <w:sz w:val="18"/>
                <w:szCs w:val="18"/>
                <w:i w:val="1"/>
                <w:iCs w:val="1"/>
                <w:color w:val="auto"/>
              </w:rPr>
              <w:t>Vice President and Chief Accounting Officer</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560" w:type="dxa"/>
            <w:vAlign w:val="bottom"/>
            <w:gridSpan w:val="3"/>
            <w:vMerge w:val="restart"/>
          </w:tcPr>
          <w:p>
            <w:pPr>
              <w:ind w:left="480"/>
              <w:spacing w:after="0"/>
              <w:rPr>
                <w:sz w:val="20"/>
                <w:szCs w:val="20"/>
                <w:color w:val="auto"/>
              </w:rPr>
            </w:pPr>
            <w:r>
              <w:rPr>
                <w:rFonts w:ascii="Arial" w:cs="Arial" w:eastAsia="Arial" w:hAnsi="Arial"/>
                <w:sz w:val="18"/>
                <w:szCs w:val="18"/>
                <w:i w:val="1"/>
                <w:iCs w:val="1"/>
                <w:color w:val="auto"/>
                <w:w w:val="93"/>
              </w:rPr>
              <w:t>of Clearway Energy LLC (Principal Accounting Officer)</w:t>
            </w:r>
          </w:p>
        </w:tc>
        <w:tc>
          <w:tcPr>
            <w:tcW w:w="0" w:type="dxa"/>
            <w:vAlign w:val="bottom"/>
          </w:tcPr>
          <w:p>
            <w:pPr>
              <w:spacing w:after="0"/>
              <w:rPr>
                <w:sz w:val="1"/>
                <w:szCs w:val="1"/>
                <w:color w:val="auto"/>
              </w:rPr>
            </w:pPr>
          </w:p>
        </w:tc>
      </w:tr>
      <w:tr>
        <w:trPr>
          <w:trHeight w:val="237"/>
        </w:trPr>
        <w:tc>
          <w:tcPr>
            <w:tcW w:w="5280" w:type="dxa"/>
            <w:vAlign w:val="bottom"/>
            <w:gridSpan w:val="3"/>
          </w:tcPr>
          <w:p>
            <w:pPr>
              <w:jc w:val="center"/>
              <w:ind w:left="730"/>
              <w:spacing w:after="0"/>
              <w:rPr>
                <w:sz w:val="20"/>
                <w:szCs w:val="20"/>
                <w:color w:val="auto"/>
              </w:rPr>
            </w:pPr>
            <w:r>
              <w:rPr>
                <w:rFonts w:ascii="Arial" w:cs="Arial" w:eastAsia="Arial" w:hAnsi="Arial"/>
                <w:sz w:val="18"/>
                <w:szCs w:val="18"/>
                <w:color w:val="auto"/>
                <w:w w:val="97"/>
              </w:rPr>
              <w:t>Mary-Lee Stillwell</w:t>
            </w:r>
          </w:p>
        </w:tc>
        <w:tc>
          <w:tcPr>
            <w:tcW w:w="45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gridSpan w:val="3"/>
          </w:tcPr>
          <w:p>
            <w:pPr>
              <w:ind w:left="400"/>
              <w:spacing w:after="0"/>
              <w:rPr>
                <w:sz w:val="20"/>
                <w:szCs w:val="20"/>
                <w:color w:val="auto"/>
              </w:rPr>
            </w:pPr>
            <w:r>
              <w:rPr>
                <w:rFonts w:ascii="Arial" w:cs="Arial" w:eastAsia="Arial" w:hAnsi="Arial"/>
                <w:sz w:val="18"/>
                <w:szCs w:val="18"/>
                <w:color w:val="auto"/>
              </w:rPr>
              <w:t>Date: March 2, 2020</w:t>
            </w:r>
          </w:p>
        </w:tc>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CLEARWAY ENERGY, INC.</w:t>
            </w:r>
          </w:p>
        </w:tc>
        <w:tc>
          <w:tcPr>
            <w:tcW w:w="4560" w:type="dxa"/>
            <w:vAlign w:val="bottom"/>
            <w:gridSpan w:val="3"/>
          </w:tcPr>
          <w:p>
            <w:pPr>
              <w:ind w:left="480"/>
              <w:spacing w:after="0"/>
              <w:rPr>
                <w:sz w:val="20"/>
                <w:szCs w:val="20"/>
                <w:color w:val="auto"/>
              </w:rPr>
            </w:pPr>
            <w:r>
              <w:rPr>
                <w:rFonts w:ascii="Arial" w:cs="Arial" w:eastAsia="Arial" w:hAnsi="Arial"/>
                <w:sz w:val="18"/>
                <w:szCs w:val="18"/>
                <w:color w:val="auto"/>
              </w:rPr>
              <w:t>Sole Managing Member</w:t>
            </w:r>
          </w:p>
        </w:tc>
        <w:tc>
          <w:tcPr>
            <w:tcW w:w="0" w:type="dxa"/>
            <w:vAlign w:val="bottom"/>
          </w:tcPr>
          <w:p>
            <w:pPr>
              <w:spacing w:after="0"/>
              <w:rPr>
                <w:sz w:val="1"/>
                <w:szCs w:val="1"/>
                <w:color w:val="auto"/>
              </w:rPr>
            </w:pPr>
          </w:p>
        </w:tc>
      </w:tr>
      <w:tr>
        <w:trPr>
          <w:trHeight w:val="567"/>
        </w:trPr>
        <w:tc>
          <w:tcPr>
            <w:tcW w:w="5280" w:type="dxa"/>
            <w:vAlign w:val="bottom"/>
            <w:gridSpan w:val="3"/>
          </w:tcPr>
          <w:p>
            <w:pPr>
              <w:jc w:val="center"/>
              <w:ind w:left="710"/>
              <w:spacing w:after="0"/>
              <w:rPr>
                <w:sz w:val="20"/>
                <w:szCs w:val="20"/>
                <w:color w:val="auto"/>
              </w:rPr>
            </w:pPr>
            <w:r>
              <w:rPr>
                <w:rFonts w:ascii="Arial" w:cs="Arial" w:eastAsia="Arial" w:hAnsi="Arial"/>
                <w:sz w:val="18"/>
                <w:szCs w:val="18"/>
                <w:color w:val="auto"/>
                <w:w w:val="91"/>
              </w:rPr>
              <w:t>/s/ CHRISTOPHER S. SOTOS</w:t>
            </w:r>
          </w:p>
        </w:tc>
        <w:tc>
          <w:tcPr>
            <w:tcW w:w="4560" w:type="dxa"/>
            <w:vAlign w:val="bottom"/>
            <w:gridSpan w:val="3"/>
          </w:tcPr>
          <w:p>
            <w:pPr>
              <w:ind w:left="480"/>
              <w:spacing w:after="0"/>
              <w:rPr>
                <w:sz w:val="20"/>
                <w:szCs w:val="20"/>
                <w:color w:val="auto"/>
              </w:rPr>
            </w:pP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560" w:type="dxa"/>
            <w:vAlign w:val="bottom"/>
            <w:gridSpan w:val="3"/>
            <w:vMerge w:val="restart"/>
          </w:tcPr>
          <w:p>
            <w:pPr>
              <w:ind w:left="480"/>
              <w:spacing w:after="0"/>
              <w:rPr>
                <w:sz w:val="20"/>
                <w:szCs w:val="20"/>
                <w:color w:val="auto"/>
              </w:rPr>
            </w:pPr>
            <w:r>
              <w:rPr>
                <w:rFonts w:ascii="Arial" w:cs="Arial" w:eastAsia="Arial" w:hAnsi="Arial"/>
                <w:sz w:val="18"/>
                <w:szCs w:val="18"/>
                <w:i w:val="1"/>
                <w:iCs w:val="1"/>
                <w:color w:val="auto"/>
              </w:rPr>
              <w:t>of Clearway Energy, Inc.</w:t>
            </w:r>
          </w:p>
        </w:tc>
        <w:tc>
          <w:tcPr>
            <w:tcW w:w="0" w:type="dxa"/>
            <w:vAlign w:val="bottom"/>
          </w:tcPr>
          <w:p>
            <w:pPr>
              <w:spacing w:after="0"/>
              <w:rPr>
                <w:sz w:val="1"/>
                <w:szCs w:val="1"/>
                <w:color w:val="auto"/>
              </w:rPr>
            </w:pPr>
          </w:p>
        </w:tc>
      </w:tr>
      <w:tr>
        <w:trPr>
          <w:trHeight w:val="237"/>
        </w:trPr>
        <w:tc>
          <w:tcPr>
            <w:tcW w:w="5280" w:type="dxa"/>
            <w:vAlign w:val="bottom"/>
            <w:gridSpan w:val="3"/>
          </w:tcPr>
          <w:p>
            <w:pPr>
              <w:jc w:val="center"/>
              <w:ind w:left="710"/>
              <w:spacing w:after="0"/>
              <w:rPr>
                <w:sz w:val="20"/>
                <w:szCs w:val="20"/>
                <w:color w:val="auto"/>
              </w:rPr>
            </w:pPr>
            <w:r>
              <w:rPr>
                <w:rFonts w:ascii="Arial" w:cs="Arial" w:eastAsia="Arial" w:hAnsi="Arial"/>
                <w:sz w:val="18"/>
                <w:szCs w:val="18"/>
                <w:color w:val="auto"/>
                <w:w w:val="89"/>
              </w:rPr>
              <w:t>Christopher S. Sotos</w:t>
            </w:r>
          </w:p>
        </w:tc>
        <w:tc>
          <w:tcPr>
            <w:tcW w:w="45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gridSpan w:val="3"/>
          </w:tcPr>
          <w:p>
            <w:pPr>
              <w:ind w:left="400"/>
              <w:spacing w:after="0"/>
              <w:rPr>
                <w:sz w:val="20"/>
                <w:szCs w:val="20"/>
                <w:color w:val="auto"/>
              </w:rPr>
            </w:pPr>
            <w:r>
              <w:rPr>
                <w:rFonts w:ascii="Arial" w:cs="Arial" w:eastAsia="Arial" w:hAnsi="Arial"/>
                <w:sz w:val="18"/>
                <w:szCs w:val="18"/>
                <w:color w:val="auto"/>
              </w:rPr>
              <w:t>Date: March 2, 2020</w:t>
            </w:r>
          </w:p>
        </w:tc>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5"/>
        </w:trPr>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40" w:type="dxa"/>
            <w:vAlign w:val="bottom"/>
          </w:tcPr>
          <w:p>
            <w:pPr>
              <w:ind w:left="300"/>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83" w:right="239" w:bottom="1440" w:gutter="0" w:footer="0" w:header="0"/>
        </w:sectPr>
      </w:pPr>
    </w:p>
    <w:bookmarkStart w:id="163" w:name="page164"/>
    <w:bookmarkEnd w:id="163"/>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1"/>
              </w:rPr>
              <w:t>Title</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318"/>
        </w:trPr>
        <w:tc>
          <w:tcPr>
            <w:tcW w:w="3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8"/>
              </w:rPr>
              <w:t>/s/ NATHANIEL ANSCHUETZ</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0"/>
              </w:rPr>
              <w:t>Nathaniel Anschuetz</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67"/>
        </w:trPr>
        <w:tc>
          <w:tcPr>
            <w:tcW w:w="3540" w:type="dxa"/>
            <w:vAlign w:val="bottom"/>
          </w:tcPr>
          <w:p>
            <w:pPr>
              <w:jc w:val="center"/>
              <w:spacing w:after="0"/>
              <w:rPr>
                <w:sz w:val="20"/>
                <w:szCs w:val="20"/>
                <w:color w:val="auto"/>
              </w:rPr>
            </w:pPr>
            <w:r>
              <w:rPr>
                <w:rFonts w:ascii="Arial" w:cs="Arial" w:eastAsia="Arial" w:hAnsi="Arial"/>
                <w:sz w:val="18"/>
                <w:szCs w:val="18"/>
                <w:color w:val="auto"/>
                <w:w w:val="96"/>
              </w:rPr>
              <w:t>/s/ JONATHAN BRAM</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88"/>
              </w:rPr>
              <w:t>Jonathan Bram</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67"/>
        </w:trPr>
        <w:tc>
          <w:tcPr>
            <w:tcW w:w="3540" w:type="dxa"/>
            <w:vAlign w:val="bottom"/>
          </w:tcPr>
          <w:p>
            <w:pPr>
              <w:jc w:val="center"/>
              <w:spacing w:after="0"/>
              <w:rPr>
                <w:sz w:val="20"/>
                <w:szCs w:val="20"/>
                <w:color w:val="auto"/>
              </w:rPr>
            </w:pPr>
            <w:r>
              <w:rPr>
                <w:rFonts w:ascii="Arial" w:cs="Arial" w:eastAsia="Arial" w:hAnsi="Arial"/>
                <w:sz w:val="18"/>
                <w:szCs w:val="18"/>
                <w:color w:val="auto"/>
                <w:w w:val="96"/>
              </w:rPr>
              <w:t>/s/ BRIAN FORD</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2"/>
              </w:rPr>
              <w:t>Brian Ford</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67"/>
        </w:trPr>
        <w:tc>
          <w:tcPr>
            <w:tcW w:w="3540" w:type="dxa"/>
            <w:vAlign w:val="bottom"/>
          </w:tcPr>
          <w:p>
            <w:pPr>
              <w:jc w:val="center"/>
              <w:spacing w:after="0"/>
              <w:rPr>
                <w:sz w:val="20"/>
                <w:szCs w:val="20"/>
                <w:color w:val="auto"/>
              </w:rPr>
            </w:pPr>
            <w:r>
              <w:rPr>
                <w:rFonts w:ascii="Arial" w:cs="Arial" w:eastAsia="Arial" w:hAnsi="Arial"/>
                <w:sz w:val="18"/>
                <w:szCs w:val="18"/>
                <w:color w:val="auto"/>
                <w:w w:val="97"/>
              </w:rPr>
              <w:t>/s/ BRUCE MACLENNAN</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0"/>
              </w:rPr>
              <w:t>Bruce MacLennan</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67"/>
        </w:trPr>
        <w:tc>
          <w:tcPr>
            <w:tcW w:w="3540" w:type="dxa"/>
            <w:vAlign w:val="bottom"/>
          </w:tcPr>
          <w:p>
            <w:pPr>
              <w:ind w:left="780"/>
              <w:spacing w:after="0"/>
              <w:rPr>
                <w:sz w:val="20"/>
                <w:szCs w:val="20"/>
                <w:color w:val="auto"/>
              </w:rPr>
            </w:pPr>
            <w:r>
              <w:rPr>
                <w:rFonts w:ascii="Arial" w:cs="Arial" w:eastAsia="Arial" w:hAnsi="Arial"/>
                <w:sz w:val="18"/>
                <w:szCs w:val="18"/>
                <w:color w:val="auto"/>
              </w:rPr>
              <w:t>/s/ FERRELL MCCLEAN</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2"/>
              </w:rPr>
              <w:t>Ferrell McClean</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67"/>
        </w:trPr>
        <w:tc>
          <w:tcPr>
            <w:tcW w:w="3540" w:type="dxa"/>
            <w:vAlign w:val="bottom"/>
          </w:tcPr>
          <w:p>
            <w:pPr>
              <w:jc w:val="center"/>
              <w:spacing w:after="0"/>
              <w:rPr>
                <w:sz w:val="20"/>
                <w:szCs w:val="20"/>
                <w:color w:val="auto"/>
              </w:rPr>
            </w:pPr>
            <w:r>
              <w:rPr>
                <w:rFonts w:ascii="Arial" w:cs="Arial" w:eastAsia="Arial" w:hAnsi="Arial"/>
                <w:sz w:val="18"/>
                <w:szCs w:val="18"/>
                <w:color w:val="auto"/>
                <w:w w:val="97"/>
              </w:rPr>
              <w:t>/s/ DANIEL B. MORE</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4"/>
              </w:rPr>
              <w:t>Daniel B. More</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67"/>
        </w:trPr>
        <w:tc>
          <w:tcPr>
            <w:tcW w:w="3540" w:type="dxa"/>
            <w:vAlign w:val="bottom"/>
          </w:tcPr>
          <w:p>
            <w:pPr>
              <w:jc w:val="center"/>
              <w:spacing w:after="0"/>
              <w:rPr>
                <w:sz w:val="20"/>
                <w:szCs w:val="20"/>
                <w:color w:val="auto"/>
              </w:rPr>
            </w:pPr>
            <w:r>
              <w:rPr>
                <w:rFonts w:ascii="Arial" w:cs="Arial" w:eastAsia="Arial" w:hAnsi="Arial"/>
                <w:sz w:val="18"/>
                <w:szCs w:val="18"/>
                <w:color w:val="auto"/>
                <w:w w:val="97"/>
              </w:rPr>
              <w:t>/s/ E. STANLEY O'NEAL</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0"/>
              </w:rPr>
              <w:t>E. Stanley O'Neal</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67"/>
        </w:trPr>
        <w:tc>
          <w:tcPr>
            <w:tcW w:w="3540" w:type="dxa"/>
            <w:vAlign w:val="bottom"/>
          </w:tcPr>
          <w:p>
            <w:pPr>
              <w:jc w:val="center"/>
              <w:spacing w:after="0"/>
              <w:rPr>
                <w:sz w:val="20"/>
                <w:szCs w:val="20"/>
                <w:color w:val="auto"/>
              </w:rPr>
            </w:pPr>
            <w:r>
              <w:rPr>
                <w:rFonts w:ascii="Arial" w:cs="Arial" w:eastAsia="Arial" w:hAnsi="Arial"/>
                <w:sz w:val="18"/>
                <w:szCs w:val="18"/>
                <w:color w:val="auto"/>
                <w:w w:val="91"/>
              </w:rPr>
              <w:t>/s/ CHRISTOPHER S. SOTOS</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89"/>
              </w:rPr>
              <w:t>Christopher S. Sotos</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567"/>
        </w:trPr>
        <w:tc>
          <w:tcPr>
            <w:tcW w:w="3540" w:type="dxa"/>
            <w:vAlign w:val="bottom"/>
          </w:tcPr>
          <w:p>
            <w:pPr>
              <w:jc w:val="center"/>
              <w:spacing w:after="0"/>
              <w:rPr>
                <w:sz w:val="20"/>
                <w:szCs w:val="20"/>
                <w:color w:val="auto"/>
              </w:rPr>
            </w:pPr>
            <w:r>
              <w:rPr>
                <w:rFonts w:ascii="Arial" w:cs="Arial" w:eastAsia="Arial" w:hAnsi="Arial"/>
                <w:sz w:val="18"/>
                <w:szCs w:val="18"/>
                <w:color w:val="auto"/>
                <w:w w:val="95"/>
              </w:rPr>
              <w:t>/s/ SCOTT STANLEY</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0"/>
              </w:rPr>
              <w:t>Scott Stanley</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Sole Managing Member of Clearway Energy LLC</w:t>
            </w:r>
          </w:p>
        </w:tc>
      </w:tr>
      <w:tr>
        <w:trPr>
          <w:trHeight w:val="675"/>
        </w:trPr>
        <w:tc>
          <w:tcPr>
            <w:tcW w:w="3540" w:type="dxa"/>
            <w:vAlign w:val="bottom"/>
          </w:tcPr>
          <w:p>
            <w:pPr>
              <w:spacing w:after="0"/>
              <w:rPr>
                <w:sz w:val="24"/>
                <w:szCs w:val="24"/>
                <w:color w:val="auto"/>
              </w:rPr>
            </w:pPr>
          </w:p>
        </w:tc>
        <w:tc>
          <w:tcPr>
            <w:tcW w:w="5480" w:type="dxa"/>
            <w:vAlign w:val="bottom"/>
            <w:gridSpan w:val="2"/>
          </w:tcPr>
          <w:p>
            <w:pPr>
              <w:jc w:val="right"/>
              <w:ind w:right="3090"/>
              <w:spacing w:after="0"/>
              <w:rPr>
                <w:sz w:val="20"/>
                <w:szCs w:val="20"/>
                <w:color w:val="auto"/>
              </w:rPr>
            </w:pPr>
            <w:r>
              <w:rPr>
                <w:rFonts w:ascii="Arial" w:cs="Arial" w:eastAsia="Arial" w:hAnsi="Arial"/>
                <w:sz w:val="18"/>
                <w:szCs w:val="18"/>
                <w:color w:val="auto"/>
              </w:rPr>
              <w:t>161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248920</wp:posOffset>
            </wp:positionV>
            <wp:extent cx="14490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9">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34290</wp:posOffset>
            </wp:positionV>
            <wp:extent cx="14490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2, 2020</w:t>
      </w:r>
    </w:p>
    <w:p>
      <w:pPr>
        <w:sectPr>
          <w:pgSz w:w="11900" w:h="16838" w:orient="portrait"/>
          <w:cols w:equalWidth="0" w:num="2">
            <w:col w:w="9040" w:space="720"/>
            <w:col w:w="1040"/>
          </w:cols>
          <w:pgMar w:left="240" w:top="1440" w:right="859" w:bottom="1440" w:gutter="0" w:footer="0" w:header="0"/>
        </w:sectPr>
      </w:pPr>
    </w:p>
    <w:bookmarkStart w:id="164" w:name="page165"/>
    <w:bookmarkEnd w:id="164"/>
    <w:p>
      <w:pPr>
        <w:jc w:val="center"/>
        <w:ind w:left="440" w:right="2620"/>
        <w:spacing w:after="0" w:line="266" w:lineRule="auto"/>
        <w:rPr>
          <w:sz w:val="20"/>
          <w:szCs w:val="20"/>
          <w:color w:val="auto"/>
        </w:rPr>
      </w:pPr>
      <w:r>
        <w:rPr>
          <w:rFonts w:ascii="Arial" w:cs="Arial" w:eastAsia="Arial" w:hAnsi="Arial"/>
          <w:sz w:val="18"/>
          <w:szCs w:val="18"/>
          <w:b w:val="1"/>
          <w:bCs w:val="1"/>
          <w:color w:val="auto"/>
        </w:rPr>
        <w:t>Supplemental Information to be Furnished with Reports Filed Pursuant to Section 15(d) of the Act by Registrants Which Have Not Registered Securities Pursuant to Section 12 of the Act</w:t>
      </w:r>
    </w:p>
    <w:p>
      <w:pPr>
        <w:spacing w:after="0" w:line="12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annual report or proxy materials has been sent to securities holders and no such report or proxy material is to be furnished to securities holders subsequent to the filing of the annual report on this Form 10-K.</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80"/>
          </w:cols>
          <w:pgMar w:left="240" w:top="986" w:right="47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4.37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Clearway Energy LLC (the “</w:t>
      </w:r>
      <w:r>
        <w:rPr>
          <w:rFonts w:ascii="Arial" w:cs="Arial" w:eastAsia="Arial" w:hAnsi="Arial"/>
          <w:sz w:val="18"/>
          <w:szCs w:val="18"/>
          <w:i w:val="1"/>
          <w:iCs w:val="1"/>
          <w:color w:val="auto"/>
        </w:rPr>
        <w:t>Registrant</w:t>
      </w:r>
      <w:r>
        <w:rPr>
          <w:rFonts w:ascii="Arial" w:cs="Arial" w:eastAsia="Arial" w:hAnsi="Arial"/>
          <w:sz w:val="18"/>
          <w:szCs w:val="18"/>
          <w:color w:val="auto"/>
        </w:rPr>
        <w:t>” or “</w:t>
      </w:r>
      <w:r>
        <w:rPr>
          <w:rFonts w:ascii="Arial" w:cs="Arial" w:eastAsia="Arial" w:hAnsi="Arial"/>
          <w:sz w:val="18"/>
          <w:szCs w:val="18"/>
          <w:i w:val="1"/>
          <w:iCs w:val="1"/>
          <w:color w:val="auto"/>
        </w:rPr>
        <w:t>Clearway LLC</w:t>
      </w:r>
      <w:r>
        <w:rPr>
          <w:rFonts w:ascii="Arial" w:cs="Arial" w:eastAsia="Arial" w:hAnsi="Arial"/>
          <w:sz w:val="18"/>
          <w:szCs w:val="18"/>
          <w:color w:val="auto"/>
        </w:rPr>
        <w:t>”), which is a direct subsidiary of Clearway Energy, Inc. (“</w:t>
      </w:r>
      <w:r>
        <w:rPr>
          <w:rFonts w:ascii="Arial" w:cs="Arial" w:eastAsia="Arial" w:hAnsi="Arial"/>
          <w:sz w:val="18"/>
          <w:szCs w:val="18"/>
          <w:i w:val="1"/>
          <w:iCs w:val="1"/>
          <w:color w:val="auto"/>
        </w:rPr>
        <w:t>Clearway Inc.</w:t>
      </w:r>
      <w:r>
        <w:rPr>
          <w:rFonts w:ascii="Arial" w:cs="Arial" w:eastAsia="Arial" w:hAnsi="Arial"/>
          <w:sz w:val="18"/>
          <w:szCs w:val="18"/>
          <w:color w:val="auto"/>
        </w:rPr>
        <w:t>”), had three classes of securities registered under Section 12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each issued by Clearway Energy Operating LLC (“</w:t>
      </w:r>
      <w:r>
        <w:rPr>
          <w:rFonts w:ascii="Arial" w:cs="Arial" w:eastAsia="Arial" w:hAnsi="Arial"/>
          <w:sz w:val="18"/>
          <w:szCs w:val="18"/>
          <w:i w:val="1"/>
          <w:iCs w:val="1"/>
          <w:color w:val="auto"/>
        </w:rPr>
        <w:t>Clearway Operating LLC</w:t>
      </w:r>
      <w:r>
        <w:rPr>
          <w:rFonts w:ascii="Arial" w:cs="Arial" w:eastAsia="Arial" w:hAnsi="Arial"/>
          <w:sz w:val="18"/>
          <w:szCs w:val="18"/>
          <w:color w:val="auto"/>
        </w:rPr>
        <w:t>”), a wholly owned subsidiary of Clearway LLC: (i) 5.375% unsecured senior notes due 2024, (ii) 5.750% unsecured senior notes due 2025 and (iii) 5.00% unsecured senior notes due 2026.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Clearway Operating LLC’s 5.375% Senior Notes due 2024</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description of Clearway Operating LLC’s 5.375% Senior Notes due 2024 (the “</w:t>
      </w:r>
      <w:r>
        <w:rPr>
          <w:rFonts w:ascii="Arial" w:cs="Arial" w:eastAsia="Arial" w:hAnsi="Arial"/>
          <w:sz w:val="18"/>
          <w:szCs w:val="18"/>
          <w:i w:val="1"/>
          <w:iCs w:val="1"/>
          <w:color w:val="auto"/>
        </w:rPr>
        <w:t>notes</w:t>
      </w:r>
      <w:r>
        <w:rPr>
          <w:rFonts w:ascii="Arial" w:cs="Arial" w:eastAsia="Arial" w:hAnsi="Arial"/>
          <w:sz w:val="18"/>
          <w:szCs w:val="18"/>
          <w:color w:val="auto"/>
        </w:rPr>
        <w:t>”) as of December 31, 2019. The notes were redeemed in full on January 3, 2020 and are no longer outstanding. In this description, “Clearway Operating LLC” refers only to Clearway Energy Operating LLC and not to any of its subsidiaries or parent entities.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Clearway Operating LLC issued the notes under an indenture among Clearway Operating LLC, the Guarantors named therein and Law Debenture Trust Company of New York, as trustee.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statements under this caption relating to the indenture and the notes are summaries and are not a complete description thereof, and where reference is made to particular provisions, such provisions, including the definitions of certain terms, are qualified in their entirety by reference to all of the provisions of the indenture and the notes and those terms made part of the indenture by the Trust Indenture Act of 1939, as amended (the “</w:t>
      </w:r>
      <w:r>
        <w:rPr>
          <w:rFonts w:ascii="Arial" w:cs="Arial" w:eastAsia="Arial" w:hAnsi="Arial"/>
          <w:sz w:val="17"/>
          <w:szCs w:val="17"/>
          <w:i w:val="1"/>
          <w:iCs w:val="1"/>
          <w:color w:val="auto"/>
        </w:rPr>
        <w:t>Trust Indenture</w:t>
      </w:r>
      <w:r>
        <w:rPr>
          <w:rFonts w:ascii="Arial" w:cs="Arial" w:eastAsia="Arial" w:hAnsi="Arial"/>
          <w:sz w:val="17"/>
          <w:szCs w:val="17"/>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The definitions of certain capitalized terms used in the following summary are set forth under the caption “—Certain Definitions.” Terms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“Description of Clearway Operating LLC’s 5.375% Senior Notes due 2024” section are defined only for the purpose of this section. Certain defined terms used in this description but not defined below under “—Certain Definitions” have the meanings assigned to them in the indenture. The indenture is an exhibit to this Annual Report on Form 10-K and is incorporated by reference herein. In addition, copies of the indenture are available upon request from Clearway Inc. References in this section to any subsections are references only to subsections of this section.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registered holder of a note is treated as the owner of it for all purposes. Only registered holders of notes have rights under the indenture.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are general unsecured obligations of Clearway Operating LLC;</w:t>
      </w:r>
    </w:p>
    <w:p>
      <w:pPr>
        <w:spacing w:after="0" w:line="225" w:lineRule="exact"/>
        <w:rPr>
          <w:rFonts w:ascii="Arial" w:cs="Arial" w:eastAsia="Arial" w:hAnsi="Arial"/>
          <w:sz w:val="18"/>
          <w:szCs w:val="18"/>
          <w:color w:val="auto"/>
        </w:rPr>
      </w:pPr>
    </w:p>
    <w:p>
      <w:pPr>
        <w:ind w:left="1960" w:right="20" w:hanging="1304"/>
        <w:spacing w:after="0" w:line="277" w:lineRule="auto"/>
        <w:tabs>
          <w:tab w:leader="none" w:pos="98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Clearway Operating LLC, including Clearway Operating LLC’s Indebtedness under the Credit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are senior in right of payment to any future subordinated Indebtedness of Clearway Operating LLC;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are fully and unconditionally guaranteed on a joint and several basis by the Guarantors.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However, the notes are effectively subordinated to all borrowings under the Credit Agreement, which is secured by substantially all of the assets of Clearway Operating LLC and the Guarantors, and any other secured Indebtedness (including any secured Hedging Obligations) of Clearway Operating LLC or the Guarantors, in each case to the extent of the value of the assets that secure the Credit Agreement or such other secured Indebtedness.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Parent Guarantor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are guaranteed by Clearway LLC (the “</w:t>
      </w:r>
      <w:r>
        <w:rPr>
          <w:rFonts w:ascii="Arial" w:cs="Arial" w:eastAsia="Arial" w:hAnsi="Arial"/>
          <w:sz w:val="18"/>
          <w:szCs w:val="18"/>
          <w:i w:val="1"/>
          <w:iCs w:val="1"/>
          <w:color w:val="auto"/>
        </w:rPr>
        <w:t>Parent Guarantor</w:t>
      </w:r>
      <w:r>
        <w:rPr>
          <w:rFonts w:ascii="Arial" w:cs="Arial" w:eastAsia="Arial" w:hAnsi="Arial"/>
          <w:sz w:val="18"/>
          <w:szCs w:val="18"/>
          <w:color w:val="auto"/>
        </w:rPr>
        <w:t>”). The Parent Guarantee of the notes:</w:t>
      </w:r>
    </w:p>
    <w:p>
      <w:pPr>
        <w:spacing w:after="0" w:line="225" w:lineRule="exact"/>
        <w:rPr>
          <w:sz w:val="20"/>
          <w:szCs w:val="20"/>
          <w:color w:val="auto"/>
        </w:rPr>
      </w:pPr>
    </w:p>
    <w:p>
      <w:pPr>
        <w:ind w:left="980" w:hanging="324"/>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 a general unsecured obligation of the Parent Guarantor;</w:t>
      </w:r>
    </w:p>
    <w:p>
      <w:pPr>
        <w:spacing w:after="0" w:line="225" w:lineRule="exact"/>
        <w:rPr>
          <w:rFonts w:ascii="Arial" w:cs="Arial" w:eastAsia="Arial" w:hAnsi="Arial"/>
          <w:sz w:val="18"/>
          <w:szCs w:val="18"/>
          <w:color w:val="auto"/>
        </w:rPr>
      </w:pPr>
    </w:p>
    <w:p>
      <w:pPr>
        <w:ind w:left="1960" w:hanging="1304"/>
        <w:spacing w:after="0" w:line="277" w:lineRule="auto"/>
        <w:tabs>
          <w:tab w:leader="none" w:pos="9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the Parent Guarantor, including the Parent Guarantor’s guarantee under the Credit Agreement;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 senior in right of payment to any future subordinated Indebtedness of the Parent Guarantor.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However, the Parent Guarantor’s guarantee of the notes is effectively subordinated to the Parent Guarantor’s guarantee under the Credit Agreement and any other secured Indebtedness of the Parent Guarantor (including any secured Hedging Obligations), in each case, to the extent of the value of the assets of the Parent Guarantor that secure the Credit Agreement or such other secured Indebtedness.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Subsidiary Guarantors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the Parent Guarantee, the notes are guaranteed by each Wholly Owned Subsidiary of Clearway Operating LLC that guarantees any obligations of Clearway Operating LLC under the Credit Agreement of Clearway Operating LLC. Each Subsidiary Guarantee of the notes:</w:t>
      </w:r>
    </w:p>
    <w:p>
      <w:pPr>
        <w:spacing w:after="0" w:line="147" w:lineRule="exact"/>
        <w:rPr>
          <w:sz w:val="20"/>
          <w:szCs w:val="20"/>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is a general unsecured obligation of the Subsidiary Guarantor;</w:t>
      </w:r>
    </w:p>
    <w:p>
      <w:pPr>
        <w:spacing w:after="0" w:line="225" w:lineRule="exact"/>
        <w:rPr>
          <w:rFonts w:ascii="Arial" w:cs="Arial" w:eastAsia="Arial" w:hAnsi="Arial"/>
          <w:sz w:val="18"/>
          <w:szCs w:val="18"/>
          <w:color w:val="auto"/>
        </w:rPr>
      </w:pPr>
    </w:p>
    <w:p>
      <w:pPr>
        <w:ind w:left="1960" w:hanging="1304"/>
        <w:spacing w:after="0" w:line="277" w:lineRule="auto"/>
        <w:tabs>
          <w:tab w:leader="none" w:pos="9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that Subsidiary Guarantor, including such Subsidiary Guarantor’s guarantee under the Credit Agreement;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is senior in right of payment to any future subordinated Indebtedness of that Subsidiary Guarantor.</w:t>
      </w:r>
    </w:p>
    <w:p>
      <w:pPr>
        <w:sectPr>
          <w:pgSz w:w="11900" w:h="16838" w:orient="portrait"/>
          <w:cols w:equalWidth="0" w:num="1">
            <w:col w:w="11420"/>
          </w:cols>
          <w:pgMar w:left="240" w:top="121" w:right="239" w:bottom="0" w:gutter="0" w:footer="0" w:header="0"/>
        </w:sectPr>
      </w:pPr>
    </w:p>
    <w:bookmarkStart w:id="166" w:name="page167"/>
    <w:bookmarkEnd w:id="166"/>
    <w:p>
      <w:pPr>
        <w:jc w:val="both"/>
        <w:ind w:firstLine="648"/>
        <w:spacing w:after="0" w:line="286" w:lineRule="auto"/>
        <w:rPr>
          <w:sz w:val="20"/>
          <w:szCs w:val="20"/>
          <w:color w:val="auto"/>
        </w:rPr>
      </w:pPr>
      <w:r>
        <w:rPr>
          <w:rFonts w:ascii="Arial" w:cs="Arial" w:eastAsia="Arial" w:hAnsi="Arial"/>
          <w:sz w:val="17"/>
          <w:szCs w:val="17"/>
          <w:color w:val="auto"/>
        </w:rPr>
        <w:t>However, each Subsidiary Guarantor’s guarantee of the notes is effectively subordinated to such Subsidiary Guarantor’s guarantee under the Credit Agreement and any other secured Indebtedness of such Subsidiary Guarantor (including any secured Hedging Obligations), in each case, to the extent of the value of the assets of such Subsidiary Guarantor that secure the Credit Agreement or such other secured Indebtedness.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operations of Clearway Operating LLC are primarily conducted through its subsidiaries and, therefore, Clearway Operating LLC depends on the cash flow of its subsidiaries to meet its obligations, including its obligations under the notes. Not all of Clearway Operating LLC’s subsidiaries guarantee the notes. The notes are effectively subordinated in right of payment to all Indebtedness and other liabilities and commitments (including trade payables, lease obligations, project financing and other indebtedness for borrowed money and Hedging Obligations) of these non-guarantor subsidiaries. Any right of Clearway Operating LLC to receive assets of any of its subsidiaries upon the subsidiary’s liquidation or reorganization (and the consequent right of the holders of notes to participate in those assets) is effectively subordinated to the claims of that subsidiary’s creditors, except to the extent that Clearway Operating LLC is itself recognized as a creditor of the subsidiary, in which case its claims would still be subordinate in right of payment to any security in the assets of the subsidiary and any indebtedness of the subsidiary senior to that held by Clearway Operating LLC.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Clearway Operating LLC issued $500 million aggregate principal amount of notes on the issue date. Clearway Operating LLC may issue additional notes of the same series under the indenture from time to time after the issue date. Any issuance of additional notes is subject to all of the covenants in the indenture. The notes and any additional notes of the same series subsequently issued under the indenture are treated as a single class for all purposes under the indenture, including, without limitation, waivers, amendments, redemptions and offers to purchase.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Clearway Operating LLC issued notes in denominations of $2,000 and integral multiples of $1,000 in excess thereof. The notes will mature on August 15,2024.</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accrues at the rate of 5.375% per annum and is payable semi-annually in arrears on February 15 and August 15 of each year. Clearway Operating LLC makes each interest payment to the holders of record on the immediately preceding February 1 and August 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on the notes accrues from the date of original issuance or, if interest has already been paid, from the date it was most recently paid. Interest is computed on the basis of a 360-day year comprised of twelve 30-day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holder of notes has given wire transfer instructions to Clearway Operating LLC, Clearway Operating LLC pays or causes to be paid all principal, interest and premium on that holder’s notes in accordance with those instructions. All other payments on notes are made at the office or agency of the paying agent and registrar within the City and State of New York unless Clearway Operating LLC elects to make interest payments by check mailed to the holders of the notes at their address set forth in the register of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acts as paying agent and registrar. Clearway Operating LLC may change the paying agent or registrar without prior notice to the holders of the notes and Clearway Operating LLC or any of its Subsidiaries or parent entities may act as paying agent or registrar.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of the notes will be required to pay all taxes due on transfer. Clearway Operating LLC is not required to transfer or exchange any note selected for redemption. Also, Clearway Operating LLC is not required to transfer or exchange any note for a period of 15 days before a selection of notes to be redeemed.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Guarantee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Clearway Operating LLC’s payment obligations under the notes are guaranteed on a full and unconditional basis by the Parent Guarantor. The obligations of the Parent Guarantor under the Parent Guarantee are limited as necessary to prevent the Parent Guarantee from constituting a fraudulent conveyance under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Clearway Operating LLC’s payment obligations under the notes are guaranteed on a full and unconditional basis by each of the Subsidiary Guarantors. These Subsidiary Guarantees are joint and several obligations of the Subsidiary Guarantors. The obligations of each Subsidiary Guarantor under its Subsidiary Guarantee are limited as necessary to prevent that Subsidiary Guarantee from constituting a fraudulent conveyance under Applicable Law.</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Subsidiary Guarantee of a Subsidiary Guarantor will be released automatically:</w:t>
      </w:r>
    </w:p>
    <w:p>
      <w:pPr>
        <w:spacing w:after="0" w:line="225" w:lineRule="exact"/>
        <w:rPr>
          <w:sz w:val="20"/>
          <w:szCs w:val="20"/>
          <w:color w:val="auto"/>
        </w:rPr>
      </w:pPr>
    </w:p>
    <w:p>
      <w:pPr>
        <w:jc w:val="both"/>
        <w:ind w:left="660" w:hanging="4"/>
        <w:spacing w:after="0" w:line="264" w:lineRule="auto"/>
        <w:tabs>
          <w:tab w:leader="none" w:pos="92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Clearway Operating LLC or a Subsidiary of Clearway Operating LLC;</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1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Subsidiary Guarantor to a Person that is not (either before or after giving effect to such transaction) Clearway Operating LLC or a Subsidiary of Clearway Operating LLC, if following such sale or other disposition, that Subsidiary Guarantor is no longer a direct or indirect Subsidiary of Clearway Operating LLC;</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rFonts w:ascii="Arial" w:cs="Arial" w:eastAsia="Arial" w:hAnsi="Arial"/>
          <w:sz w:val="18"/>
          <w:szCs w:val="18"/>
          <w:color w:val="auto"/>
        </w:rPr>
      </w:pPr>
    </w:p>
    <w:p>
      <w:pPr>
        <w:ind w:left="660" w:hanging="4"/>
        <w:spacing w:after="0" w:line="277" w:lineRule="auto"/>
        <w:tabs>
          <w:tab w:leader="none" w:pos="91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upon defeasance or satisfaction and discharge of the notes as provided below under the captions “—Legal Defeasance and Covenant Defeasance” and “—Satisfaction and Discharge;”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the indenture; or</w:t>
      </w:r>
    </w:p>
    <w:p>
      <w:pPr>
        <w:sectPr>
          <w:pgSz w:w="11900" w:h="16838" w:orient="portrait"/>
          <w:cols w:equalWidth="0" w:num="1">
            <w:col w:w="11420"/>
          </w:cols>
          <w:pgMar w:left="240" w:top="125" w:right="239" w:bottom="0" w:gutter="0" w:footer="0" w:header="0"/>
        </w:sectPr>
      </w:pPr>
    </w:p>
    <w:bookmarkStart w:id="167" w:name="page168"/>
    <w:bookmarkEnd w:id="167"/>
    <w:p>
      <w:pPr>
        <w:ind w:left="920" w:hanging="264"/>
        <w:spacing w:after="0"/>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upon the prior consent of holders of at least a majority in aggregate principal amount of the notes then outstanding;</w:t>
      </w:r>
    </w:p>
    <w:p>
      <w:pPr>
        <w:spacing w:after="0" w:line="225" w:lineRule="exact"/>
        <w:rPr>
          <w:rFonts w:ascii="Arial" w:cs="Arial" w:eastAsia="Arial" w:hAnsi="Arial"/>
          <w:sz w:val="18"/>
          <w:szCs w:val="18"/>
          <w:color w:val="auto"/>
        </w:rPr>
      </w:pPr>
    </w:p>
    <w:p>
      <w:pPr>
        <w:jc w:val="both"/>
        <w:ind w:left="1300" w:firstLine="5"/>
        <w:spacing w:after="0" w:line="273" w:lineRule="auto"/>
        <w:tabs>
          <w:tab w:leader="none" w:pos="157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if Clearway Operating LLC has Indebtedness outstanding under the Credit Agreement at that time, upon the consent of the requisite lenders under the Credit Agreement to the release of such Subsidiary Guarantor’s Guarantee of all Obligations under the Credit Agreement, or, if there is no Indebtedness of Clearway Operating LLC outstanding under the Credit Agreement at that time, upon the requisite consent of the holders of all other Material Indebtedness of Clearway Operating LLC that is guaranteed by such Subsidiary Guarantor at that time outstanding to the release of such Subsidiary Guarantor’s Guarantee of all Obligations with respect to all such other Material Indebtedness that is guaranteed by such Subsidiary Guarantor at that time; or</w:t>
      </w:r>
    </w:p>
    <w:p>
      <w:pPr>
        <w:spacing w:after="0" w:line="178" w:lineRule="exact"/>
        <w:rPr>
          <w:rFonts w:ascii="Arial" w:cs="Arial" w:eastAsia="Arial" w:hAnsi="Arial"/>
          <w:sz w:val="17"/>
          <w:szCs w:val="17"/>
          <w:color w:val="auto"/>
        </w:rPr>
      </w:pPr>
    </w:p>
    <w:p>
      <w:pPr>
        <w:jc w:val="both"/>
        <w:ind w:left="1300" w:firstLine="5"/>
        <w:spacing w:after="0" w:line="302" w:lineRule="auto"/>
        <w:tabs>
          <w:tab w:leader="none" w:pos="155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if Clearway Operating LLC has Indebtedness outstanding under the Credit Agreement at that time, upon the release of such Subsidiary Guarantor’s Guarantee of all Obligations of Clearway Operating LLC under the Credit Agreement, or, if there is no Indebtedness of Clearway Operating LLC outstanding under the Credit Agreement at that time, upon the release of such Subsidiary Guarantor’s Guarantee of all Obligations with respect to all other Material Indebtedness of Clearway Operating LLC at that time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or after August 15, 2019, Clearway Operating LLC may on any one or more occasions redeem all or a part of the notes upon not less than 30 nor more than 60 days’ prior notice, at the redemption prices (expressed as percentages of principal amount) set forth below plus accrued and unpaid interest, if any, on the notes redeemed, to the applicable redemption date, if redeemed during the 12-month period beginning on August 15 of the years indicated below, subject to the rights of holders of notes on the relevant record date to receive interest on the relevant interest payment date.</w:t>
      </w:r>
    </w:p>
    <w:p>
      <w:pPr>
        <w:spacing w:after="0" w:line="316"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Percentage</w:t>
            </w:r>
          </w:p>
        </w:tc>
      </w:tr>
      <w:tr>
        <w:trPr>
          <w:trHeight w:val="48"/>
        </w:trPr>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76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7140" w:type="dxa"/>
            <w:vAlign w:val="bottom"/>
            <w:tcBorders>
              <w:bottom w:val="single" w:sz="8" w:color="B6DDE8"/>
            </w:tcBorders>
            <w:gridSpan w:val="3"/>
            <w:shd w:val="clear" w:color="auto" w:fill="B6DDE8"/>
          </w:tcPr>
          <w:p>
            <w:pPr>
              <w:ind w:left="20"/>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B6DDE8"/>
            </w:tcBorders>
            <w:gridSpan w:val="2"/>
            <w:shd w:val="clear" w:color="auto" w:fill="B6DDE8"/>
          </w:tcPr>
          <w:p>
            <w:pPr>
              <w:jc w:val="right"/>
              <w:ind w:right="200"/>
              <w:spacing w:after="0"/>
              <w:rPr>
                <w:sz w:val="20"/>
                <w:szCs w:val="20"/>
                <w:color w:val="auto"/>
              </w:rPr>
            </w:pPr>
            <w:r>
              <w:rPr>
                <w:rFonts w:ascii="Arial" w:cs="Arial" w:eastAsia="Arial" w:hAnsi="Arial"/>
                <w:sz w:val="18"/>
                <w:szCs w:val="18"/>
                <w:color w:val="auto"/>
              </w:rPr>
              <w:t>102.688</w:t>
            </w:r>
          </w:p>
        </w:tc>
      </w:tr>
      <w:tr>
        <w:trPr>
          <w:trHeight w:val="243"/>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2020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101.792%</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40" w:type="dxa"/>
            <w:vAlign w:val="bottom"/>
            <w:tcBorders>
              <w:bottom w:val="single" w:sz="8" w:color="B6DDE8"/>
            </w:tcBorders>
            <w:gridSpan w:val="3"/>
            <w:shd w:val="clear" w:color="auto" w:fill="B6DDE8"/>
          </w:tcPr>
          <w:p>
            <w:pPr>
              <w:ind w:left="20"/>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B6DDE8"/>
            </w:tcBorders>
            <w:gridSpan w:val="2"/>
            <w:shd w:val="clear" w:color="auto" w:fill="B6DDE8"/>
          </w:tcPr>
          <w:p>
            <w:pPr>
              <w:jc w:val="right"/>
              <w:ind w:right="40"/>
              <w:spacing w:after="0"/>
              <w:rPr>
                <w:sz w:val="20"/>
                <w:szCs w:val="20"/>
                <w:color w:val="auto"/>
              </w:rPr>
            </w:pPr>
            <w:r>
              <w:rPr>
                <w:rFonts w:ascii="Arial" w:cs="Arial" w:eastAsia="Arial" w:hAnsi="Arial"/>
                <w:sz w:val="18"/>
                <w:szCs w:val="18"/>
                <w:color w:val="auto"/>
              </w:rPr>
              <w:t>100.896%</w:t>
            </w:r>
          </w:p>
        </w:tc>
      </w:tr>
      <w:tr>
        <w:trPr>
          <w:trHeight w:val="243"/>
        </w:trPr>
        <w:tc>
          <w:tcPr>
            <w:tcW w:w="20" w:type="dxa"/>
            <w:vAlign w:val="bottom"/>
          </w:tcPr>
          <w:p>
            <w:pPr>
              <w:spacing w:after="0"/>
              <w:rPr>
                <w:sz w:val="21"/>
                <w:szCs w:val="21"/>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2022 and thereafter</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Clearway Operating LLC and its affiliates are not prohibited, however, from acquiring the notes in market transactions by means other than a redemption, whether pursuant to a tender offer or otherwise, assuming such action does not otherwise violate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Operating LLC is not required to make mandatory redemption or sinking fund payments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Triggering Event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Change of Control Triggering Event occurs, each holder of notes will have the right to require Clearway Operating LLC to repurchase all or any part (equal to $2,000 or an integral multiple of $1,000 in excess thereof) of that holder’s notes pursuant to a Change of Control Offer on the terms set forth in the indenture.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Change of Control Offer, Clearway Operating LLC will offer a Change of Control Payment in cash equal to 101% of the aggregate principal amount of the notes, plus accrued and unpaid interest, if any, on the notes to the date of purchase, subject to the rights of holders of the notes on the relevant record date to receive interest due on the relevant interest payment date. Within 30 days following any Change of Control Triggering Event, Clearway Operating LLC will mail a notice to each holder describing the transaction or transactions 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Clearway Operating LLC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Clearway Operating LLC will comply with the applicable securities laws and regulations and will not be deemed to have breached its obligations under the Change of Control provisions of the indenture by virtue of such compliance.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Clearway Operating LLC will, to the extent lawful:</w:t>
      </w:r>
    </w:p>
    <w:p>
      <w:pPr>
        <w:spacing w:after="0" w:line="225" w:lineRule="exact"/>
        <w:rPr>
          <w:sz w:val="20"/>
          <w:szCs w:val="20"/>
          <w:color w:val="auto"/>
        </w:rPr>
      </w:pPr>
    </w:p>
    <w:p>
      <w:pPr>
        <w:ind w:left="920" w:hanging="264"/>
        <w:spacing w:after="0"/>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hanging="4"/>
        <w:spacing w:after="0" w:line="277" w:lineRule="auto"/>
        <w:tabs>
          <w:tab w:leader="none" w:pos="93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Clearway Operating LLC.</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paying agent will promptly mail to each holder of notes properly tendered the Change of Control Payment for the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principal amount of $2,000 or an integral multiple of $1,000 in excess thereof. Clearway Operating LLC will publicly announce the results of the Change of Control Offer on or as soon as practicable after the Change of Control Payment Date.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described above that require Clearway Operating LLC to make a Change of Control Offer following a Change of Control Triggering Event are applicable whether or not any other provisions of the indenture are applicable.</w:t>
      </w:r>
    </w:p>
    <w:p>
      <w:pPr>
        <w:sectPr>
          <w:pgSz w:w="11900" w:h="16838" w:orient="portrait"/>
          <w:cols w:equalWidth="0" w:num="1">
            <w:col w:w="11420"/>
          </w:cols>
          <w:pgMar w:left="240" w:top="193" w:right="239" w:bottom="0" w:gutter="0" w:footer="0" w:header="0"/>
        </w:sectPr>
      </w:pPr>
    </w:p>
    <w:bookmarkStart w:id="168" w:name="page169"/>
    <w:bookmarkEnd w:id="168"/>
    <w:p>
      <w:pPr>
        <w:jc w:val="both"/>
        <w:ind w:right="20" w:firstLine="648"/>
        <w:spacing w:after="0" w:line="342" w:lineRule="auto"/>
        <w:rPr>
          <w:sz w:val="20"/>
          <w:szCs w:val="20"/>
          <w:color w:val="auto"/>
        </w:rPr>
      </w:pPr>
      <w:r>
        <w:rPr>
          <w:rFonts w:ascii="Arial" w:cs="Arial" w:eastAsia="Arial" w:hAnsi="Arial"/>
          <w:sz w:val="16"/>
          <w:szCs w:val="16"/>
          <w:color w:val="auto"/>
        </w:rPr>
        <w:t>Except as described above with respect to a Change of Control Triggering Event, the indenture does not contain provisions that permit the holders of the notes to require that Clearway Operating LLC repurchase or redeem the notes in the event of a takeover, recapitalization or similar transaction.</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Clearway Operating LLC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Clearway Operating LLC and purchases all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lease, transfer, conveyance or other disposition of “all or substantially all” of the properties or assets of Clearway Operating LLC and its Subsidiaries taken as a whole. There is a limited body of case law interpreting the phrase “substantially all,” and there is no precise established definition of the phrase under Applicable Law. Accordingly, the ability of a holder of notes to require Clearway Operating LLC to repurchase its notes as a result of a sale, lease, transfer, conveyance or other disposition of less than all of the assets of Clearway Operating LLC and its Subsidiaries taken as a whole to another Person or group may be uncertain.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less than all of the notes are to be redeemed at any time, the trustee for the notes will select notes for redemption on a pro rata basis unless otherwise required by law or applicable stock exchange requirements.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 notes of $2,000 or less can be redeemed in part. Notices of redemption will be mailed by first class mail at least 30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Any redemption notice may, in Clearway Operating LLC’s discretion, be subject to the satisfaction of one or more conditions precedent. If a redemption notice is subject to satisfaction of one or more conditions precedent, such notice will state that, at Clearway Operating LLC’s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Clearway Operating LLC has deposited with the paying agent funds sufficient to pay the principal of, plus accrued and unpaid interest and premium, if any, on, the notes to be redeemed.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Clearway Operating LLC will not, and will not permit any Subsidiary Guarantor, to create or permit to exist any Lien upon any Principal Property owned by Clearway Operating LLC or any Subsidiary Guarantor or upon any Equity Interests issued by, or Indebtedness of, any direct or indirect Subsidiary of Clearway Operating LLC to secure any Indebtedness of Clearway Operating LLC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restriction will not apply to, or prevent the creation or existence of:</w:t>
      </w:r>
    </w:p>
    <w:p>
      <w:pPr>
        <w:spacing w:after="0" w:line="158" w:lineRule="exact"/>
        <w:rPr>
          <w:sz w:val="20"/>
          <w:szCs w:val="20"/>
          <w:color w:val="auto"/>
        </w:rPr>
      </w:pPr>
    </w:p>
    <w:p>
      <w:pPr>
        <w:jc w:val="both"/>
        <w:ind w:left="660" w:hanging="4"/>
        <w:spacing w:after="0" w:line="286" w:lineRule="auto"/>
        <w:tabs>
          <w:tab w:leader="none" w:pos="94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Liens securing Indebtedness of Clearway Operating LLC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jc w:val="both"/>
        <w:ind w:left="660" w:hanging="4"/>
        <w:spacing w:after="0" w:line="255" w:lineRule="auto"/>
        <w:tabs>
          <w:tab w:leader="none" w:pos="94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Liens securing Indebtedness of any Person that (a) is acquired by Clearway Operating LLC or any of its Subsidiaries after the date of the indenture, (b) is merged or amalgamated with or into Clearway Operating LLC or any of its Subsidiaries after the date of the indenture or (c) becomes consolidated in the financial statements of Clearway Operating LLC or any of its Subsidiaries after the date of the indenture in accordance with GAAP;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Clearway Operating LLC or any of its Subsidiaries;</w:t>
      </w:r>
    </w:p>
    <w:p>
      <w:pPr>
        <w:spacing w:after="0" w:line="189" w:lineRule="exact"/>
        <w:rPr>
          <w:rFonts w:ascii="Arial" w:cs="Arial" w:eastAsia="Arial" w:hAnsi="Arial"/>
          <w:sz w:val="18"/>
          <w:szCs w:val="18"/>
          <w:color w:val="auto"/>
        </w:rPr>
      </w:pPr>
    </w:p>
    <w:p>
      <w:pPr>
        <w:jc w:val="both"/>
        <w:ind w:left="660" w:hanging="4"/>
        <w:spacing w:after="0" w:line="279" w:lineRule="auto"/>
        <w:tabs>
          <w:tab w:leader="none" w:pos="92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Liens securing Indebtedness of Clearway Operating LLC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Indebtedness is only secured by Liens on the Equity Interests and assets acquired, constructed or improved in such financing;</w:t>
      </w:r>
    </w:p>
    <w:p>
      <w:pPr>
        <w:spacing w:after="0" w:line="171" w:lineRule="exact"/>
        <w:rPr>
          <w:rFonts w:ascii="Arial" w:cs="Arial" w:eastAsia="Arial" w:hAnsi="Arial"/>
          <w:sz w:val="17"/>
          <w:szCs w:val="17"/>
          <w:color w:val="auto"/>
        </w:rPr>
      </w:pPr>
    </w:p>
    <w:p>
      <w:pPr>
        <w:ind w:left="920" w:hanging="264"/>
        <w:spacing w:after="0"/>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in favor of Clearway Operating LLC or any of its Subsidiaries;</w:t>
      </w:r>
    </w:p>
    <w:p>
      <w:pPr>
        <w:spacing w:after="0" w:line="225" w:lineRule="exact"/>
        <w:rPr>
          <w:rFonts w:ascii="Arial" w:cs="Arial" w:eastAsia="Arial" w:hAnsi="Arial"/>
          <w:sz w:val="18"/>
          <w:szCs w:val="18"/>
          <w:color w:val="auto"/>
        </w:rPr>
      </w:pPr>
    </w:p>
    <w:p>
      <w:pPr>
        <w:ind w:left="660" w:hanging="4"/>
        <w:spacing w:after="0" w:line="277" w:lineRule="auto"/>
        <w:tabs>
          <w:tab w:leader="none" w:pos="92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Clearway Operating LLC in its reasonable discretion acting in good faith);</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Liens relating to current or future escrow arrangements securing Indebtedness of Clearway Operating LLC or any Subsidiary Guarantor;</w:t>
      </w:r>
    </w:p>
    <w:p>
      <w:pPr>
        <w:spacing w:after="0" w:line="236" w:lineRule="exact"/>
        <w:rPr>
          <w:rFonts w:ascii="Arial" w:cs="Arial" w:eastAsia="Arial" w:hAnsi="Arial"/>
          <w:sz w:val="17"/>
          <w:szCs w:val="17"/>
          <w:color w:val="auto"/>
        </w:rPr>
      </w:pPr>
    </w:p>
    <w:p>
      <w:pPr>
        <w:ind w:left="660" w:hanging="4"/>
        <w:spacing w:after="0" w:line="277" w:lineRule="auto"/>
        <w:tabs>
          <w:tab w:leader="none" w:pos="92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ectPr>
          <w:pgSz w:w="11900" w:h="16838" w:orient="portrait"/>
          <w:cols w:equalWidth="0" w:num="1">
            <w:col w:w="11420"/>
          </w:cols>
          <w:pgMar w:left="240" w:top="125" w:right="239" w:bottom="112" w:gutter="0" w:footer="0" w:header="0"/>
        </w:sectPr>
      </w:pPr>
    </w:p>
    <w:bookmarkStart w:id="169" w:name="page170"/>
    <w:bookmarkEnd w:id="169"/>
    <w:p>
      <w:pPr>
        <w:ind w:left="660" w:hanging="4"/>
        <w:spacing w:after="0" w:line="277" w:lineRule="auto"/>
        <w:tabs>
          <w:tab w:leader="none" w:pos="9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Clearway Operating LLC or any Guarantor, including rights of offset and set-off;</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on the stock or assets of Project Subsidiaries securing Project Debt of one or more Project Subsidiaries;</w:t>
      </w:r>
    </w:p>
    <w:p>
      <w:pPr>
        <w:spacing w:after="0" w:line="225" w:lineRule="exact"/>
        <w:rPr>
          <w:rFonts w:ascii="Arial" w:cs="Arial" w:eastAsia="Arial" w:hAnsi="Arial"/>
          <w:sz w:val="18"/>
          <w:szCs w:val="18"/>
          <w:color w:val="auto"/>
        </w:rPr>
      </w:pPr>
    </w:p>
    <w:p>
      <w:pPr>
        <w:jc w:val="both"/>
        <w:ind w:left="660" w:hanging="4"/>
        <w:spacing w:after="0" w:line="302" w:lineRule="auto"/>
        <w:tabs>
          <w:tab w:leader="none" w:pos="102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securing Indebtedness incurred to finance an acquisition of assets or a business or multiple businesses; </w:t>
      </w:r>
      <w:r>
        <w:rPr>
          <w:rFonts w:ascii="Arial" w:cs="Arial" w:eastAsia="Arial" w:hAnsi="Arial"/>
          <w:sz w:val="16"/>
          <w:szCs w:val="16"/>
          <w:i w:val="1"/>
          <w:iCs w:val="1"/>
          <w:color w:val="auto"/>
        </w:rPr>
        <w:t>provided</w:t>
      </w:r>
      <w:r>
        <w:rPr>
          <w:rFonts w:ascii="Arial" w:cs="Arial" w:eastAsia="Arial" w:hAnsi="Arial"/>
          <w:sz w:val="16"/>
          <w:szCs w:val="16"/>
          <w:color w:val="auto"/>
        </w:rPr>
        <w:t>, that within 180 days from the date the related Indebtedness was Incurred, such cash or cash equivalents are used to (a) fund the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(or a similar transaction), including any related fees and expenses, and the related Indebtedness is (1) secured by Liens otherwise permitted under this covenant or (2) unsecured; or (b) retire or repay the Indebtedness that it secures and to pay any related fees and expenses; and</w:t>
      </w:r>
    </w:p>
    <w:p>
      <w:pPr>
        <w:spacing w:after="0" w:line="154" w:lineRule="exact"/>
        <w:rPr>
          <w:rFonts w:ascii="Arial" w:cs="Arial" w:eastAsia="Arial" w:hAnsi="Arial"/>
          <w:sz w:val="16"/>
          <w:szCs w:val="16"/>
          <w:color w:val="auto"/>
        </w:rPr>
      </w:pPr>
    </w:p>
    <w:p>
      <w:pPr>
        <w:jc w:val="both"/>
        <w:ind w:left="660" w:hanging="4"/>
        <w:spacing w:after="0" w:line="264" w:lineRule="auto"/>
        <w:tabs>
          <w:tab w:leader="none" w:pos="10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Clearway Operating LLC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Liens securing Indebtedness under the Credit Agreement existing on the date of the indenture will be deemed to have been incurred on such date in reliance on the exception provided by clause (1) above. For purposes of determining compliance with this “Liens” covenant, in the event that a proposed Lien meets the criteria of more than one of the categories of Liens described in clauses (1) through (13) above, Clearway Operating LLC will be permitted to classify such Lien on the date of its incurrence, or later reclassify all or a portion of such Lien, in any manner that complies with this covenant.</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Clearway Operating LLC or any Subsidiary Guarantor proposes to create or permit to exist any Lien upon any Principal Property owned by Clearway Operating LLC or any Subsidiary Guarantor or upon any Equity Interests or Indebtedness of any direct or indirect Subsidiary of Clearway Operating LLC to secure any Indebtedness, other than as permitted by clauses (1) through (13) of the previous paragraph, Clearway Operating LLC will give prior written notice thereof to the trustee, who will give notice to the holders of notes, and Clearway Operating LLC will further agree, prior to or simultaneously with the creation of such Lien, effectively to secure all the notes equally and ratably with (or prior to) such other Indebtedness, for so long as such other Indebtedness is so secured.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Neither the Parent Guarantor nor Clearway Operating LLC will, directly or indirectly: (1) consolidate or merge with or into another Person (whether or not the Parent Guarantor or Clearway Operating LLC is the surviving Person); or (2) sell, assign, transfer, convey or otherwise dispose of all or substantially all of the properties or assets of the Parent Guarantor or the Parent Guarantor and its Subsidiaries taken as a whole or Clearway Operating LLC or Clearway Operating LLC and its Subsidiaries taken as a whole, in one or more related transactions, to another Person; unless:</w:t>
      </w:r>
    </w:p>
    <w:p>
      <w:pPr>
        <w:spacing w:after="0" w:line="171" w:lineRule="exact"/>
        <w:rPr>
          <w:sz w:val="20"/>
          <w:szCs w:val="20"/>
          <w:color w:val="auto"/>
        </w:rPr>
      </w:pPr>
    </w:p>
    <w:p>
      <w:pPr>
        <w:jc w:val="both"/>
        <w:ind w:left="660" w:hanging="4"/>
        <w:spacing w:after="0" w:line="272" w:lineRule="auto"/>
        <w:tabs>
          <w:tab w:leader="none" w:pos="91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either: (a) the Parent Guarantor or Clearway Operating LLC, as the case may be, is the surviving Person; or (b) the Person formed by or surviving any such consolidation or merger (if other than the Parent Guarantor or Clearway Operating LLC,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177" w:lineRule="exact"/>
        <w:rPr>
          <w:rFonts w:ascii="Arial" w:cs="Arial" w:eastAsia="Arial" w:hAnsi="Arial"/>
          <w:sz w:val="17"/>
          <w:szCs w:val="17"/>
          <w:color w:val="auto"/>
        </w:rPr>
      </w:pPr>
    </w:p>
    <w:p>
      <w:pPr>
        <w:jc w:val="both"/>
        <w:ind w:left="660" w:hanging="4"/>
        <w:spacing w:after="0" w:line="259" w:lineRule="auto"/>
        <w:tabs>
          <w:tab w:leader="none" w:pos="92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Parent Guarantor or Clearway Operating LLC, as the case may be) or the Person to which such sale, assignment, transfer, conveyance or other disposition has been made assumes all the obligations of the Parent Guarantor or Clearway Operating LLC, as the case may be, under the notes and the indenture pursuant to a supplemental indenture or other documents and agreements reasonably satisfactory to the trustee; and</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neither the Parent Guarantor nor Clearway Operating LLC may, directly or indirectly, lease all or substantially all of its and its respective Subsidiaries’ properties or assets, in one or more related transactions, to any other Person.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“Merger, Consolidation or Sale of Assets” covenant will not apply to (1) a merger of the Parent Guarantor or Clearway Operating LLC, as the case may be, with an Affiliate solely for the purpose of reforming the Parent Guarantor or Clearway Operating LLC, as the case may be, in another jurisdiction or forming a direct or indirect holding company of Clearway Operating LLC that is a Wholly Owned Subsidiary of the Parent Guarantor; and (2) any sale, transfer, assignment, conveyance, lease or other disposition of assets between or among the Parent Guarantor, Clearway Operating LLC and their respective Subsidiaries, including by way of merger or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Guarantees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660" w:hanging="4"/>
        <w:spacing w:after="0" w:line="277" w:lineRule="auto"/>
        <w:tabs>
          <w:tab w:leader="none" w:pos="92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Clearway Operating LLC or any of its Subsidiaries acquires or creates another Wholly Owned Subsidiary after the issue date and such Wholly Owned Subsidiary Guarantees any Obligations of Clearway Operating LLC under the Credit Agreement, or</w:t>
      </w:r>
    </w:p>
    <w:p>
      <w:pPr>
        <w:spacing w:after="0" w:line="170" w:lineRule="exact"/>
        <w:rPr>
          <w:rFonts w:ascii="Arial" w:cs="Arial" w:eastAsia="Arial" w:hAnsi="Arial"/>
          <w:sz w:val="18"/>
          <w:szCs w:val="18"/>
          <w:color w:val="auto"/>
        </w:rPr>
      </w:pPr>
    </w:p>
    <w:p>
      <w:pPr>
        <w:ind w:left="660" w:hanging="4"/>
        <w:spacing w:after="0" w:line="277" w:lineRule="auto"/>
        <w:tabs>
          <w:tab w:leader="none" w:pos="91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Wholly Owned Subsidiary of Clearway Operating LLC that does not currently Guarantee any Obligations of Clearway Operating LLC under the Credit Agreement subsequently Guarantees any Obligations of Clearway Operating LLC under the Credit Agreement, or</w:t>
      </w:r>
    </w:p>
    <w:p>
      <w:pPr>
        <w:spacing w:after="0" w:line="170" w:lineRule="exact"/>
        <w:rPr>
          <w:rFonts w:ascii="Arial" w:cs="Arial" w:eastAsia="Arial" w:hAnsi="Arial"/>
          <w:sz w:val="18"/>
          <w:szCs w:val="18"/>
          <w:color w:val="auto"/>
        </w:rPr>
      </w:pPr>
    </w:p>
    <w:p>
      <w:pPr>
        <w:jc w:val="both"/>
        <w:ind w:left="660" w:hanging="4"/>
        <w:spacing w:after="0" w:line="255" w:lineRule="auto"/>
        <w:tabs>
          <w:tab w:leader="none" w:pos="92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there is no Indebtedness of Clearway Operating LLC outstanding under the Credit Agreement at that time, any Wholly Owned Subsidiary of Clearway Operating LLC (including any newly acquired or created Wholly Owned Subsidiary) Guarantees any Obligations with respect to any other Material Indebtedness of Clearway Operating LLC, then such newly acquired or created Wholly Owned Subsidiary or Wholly Owned Subsidiary that subsequently fully and unconditionally Guarantees obligations under the Credit Agreement or other Material Indebtedness of Clearway Operating LLC, as the case may be, will become a Guarantor of the notes and execute a supplemental indenture and deliver an opinion of counsel satisfactory to the trustee within 30 business days of the date on which it was acquired or created or guaranteed other Material Indebtedness of Clearway Operating LLC, as the case may be.</w:t>
      </w:r>
    </w:p>
    <w:p>
      <w:pPr>
        <w:sectPr>
          <w:pgSz w:w="11900" w:h="16838" w:orient="portrait"/>
          <w:cols w:equalWidth="0" w:num="1">
            <w:col w:w="11420"/>
          </w:cols>
          <w:pgMar w:left="240" w:top="125" w:right="239" w:bottom="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Whether or not required by the Commission’s rules and regulations, so long as any notes are outstanding, Clearway Operating LLC will furnish or cause to be furnished to the holders of notes or cause the trustee to furnish to the holders of notes, within the time periods (including any extensions thereof) specified in the Commission’s rules and regulations:</w:t>
      </w:r>
    </w:p>
    <w:p>
      <w:pPr>
        <w:spacing w:after="0" w:line="181" w:lineRule="exact"/>
        <w:rPr>
          <w:sz w:val="20"/>
          <w:szCs w:val="20"/>
          <w:color w:val="auto"/>
        </w:rPr>
      </w:pPr>
    </w:p>
    <w:p>
      <w:pPr>
        <w:ind w:left="660" w:hanging="4"/>
        <w:spacing w:after="0" w:line="277" w:lineRule="auto"/>
        <w:tabs>
          <w:tab w:leader="none" w:pos="9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Commission on Forms 10-Q and 10-K if Clearway Operating LLC were required to file such reports; and</w:t>
      </w:r>
    </w:p>
    <w:p>
      <w:pPr>
        <w:spacing w:after="0" w:line="170" w:lineRule="exact"/>
        <w:rPr>
          <w:rFonts w:ascii="Arial" w:cs="Arial" w:eastAsia="Arial" w:hAnsi="Arial"/>
          <w:sz w:val="18"/>
          <w:szCs w:val="18"/>
          <w:color w:val="auto"/>
        </w:rPr>
      </w:pPr>
    </w:p>
    <w:p>
      <w:pPr>
        <w:ind w:left="660" w:hanging="4"/>
        <w:spacing w:after="0" w:line="277" w:lineRule="auto"/>
        <w:tabs>
          <w:tab w:leader="none" w:pos="92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Commission on Form 8-K if Clearway Operating LLC were required to file such reports,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quarterly report for the period ended June 30, 2014 was not required to be furnished prior to 45 days after the issue date.</w:t>
      </w:r>
    </w:p>
    <w:p>
      <w:pPr>
        <w:spacing w:after="0" w:line="24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Clearway Operating LLC’s consolidated financial statements by Clearway Operating LLC’s independent registered public accounting firm. In addition, Clearway Operating LLC will file a copy of each of the reports referred to in clauses (1) and (2) above with the Commission for public availability within the time periods specified in the rules and regulations applicable to such reports (unless the Commission will not accept such a filing). To the extent such filings are made, the reports will be deemed to be furnished to the trustee and holders of notes.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Clearway Operating LLC is not subject to the periodic reporting requirements of the Exchange Act for any reason, Clearway Operating LLC will nevertheless continue filing the reports specified in the preceding paragraph with the Commission within the time periods specified above unless the Commission will not accept such a filing. Clearway Operating LLC agrees that it will not take any action for the purpose of causing the Commission not to accept any such filings. If, notwithstanding the foregoing, the Commission will not accept Clearway Operating LLC’s filings for any reason, Clearway Operating LLC will post the reports referred to in the preceding paragraph on Clearway Inc.’s website within the time periods that would apply if Clearway Operating LLC were required to file those reports with the Commission.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 long as the Parent Guarantor continues to own, directly or indirectly, all of the Equity Interests of Clearway Operating LLC,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Clearway Operating LLC under this reporting covenant.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Clearway Operating LLC, the Parent Guarantor and the Subsidiary Guarantors agree that, for so long as any notes remain outstanding, at any time they are not required to file the reports required by the preceding paragraphs with the Commission, they will furnish to the holders of the notes and to securities analysts and prospective investors, upon their request, the information required to be delivered pursuant to Rule 144A(d)(4) under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Status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70" w:lineRule="exact"/>
        <w:rPr>
          <w:sz w:val="20"/>
          <w:szCs w:val="20"/>
          <w:color w:val="auto"/>
        </w:rPr>
      </w:pPr>
    </w:p>
    <w:p>
      <w:pPr>
        <w:ind w:left="920" w:hanging="264"/>
        <w:spacing w:after="0"/>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ownership of debt or equity interests in Clearway Operating LLC;</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25" w:lineRule="exact"/>
        <w:rPr>
          <w:rFonts w:ascii="Arial" w:cs="Arial" w:eastAsia="Arial" w:hAnsi="Arial"/>
          <w:sz w:val="18"/>
          <w:szCs w:val="18"/>
          <w:color w:val="auto"/>
        </w:rPr>
      </w:pPr>
    </w:p>
    <w:p>
      <w:pPr>
        <w:ind w:left="660" w:hanging="4"/>
        <w:spacing w:after="0" w:line="277" w:lineRule="auto"/>
        <w:tabs>
          <w:tab w:leader="none" w:pos="94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participating in tax, accounting and other administrative activities as the parent of a consolidated group of companies, including Clearway Operating LLC;</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making distributions to holders of its debt or equity interests or to Clearway Operating LLC or any Subsidiary of Clearway Operating LLC;</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jc w:val="both"/>
        <w:ind w:left="660" w:hanging="4"/>
        <w:spacing w:after="0" w:line="264" w:lineRule="auto"/>
        <w:tabs>
          <w:tab w:leader="none" w:pos="93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Clearway Inc., Clearway Operating LLC or any Subsidiary of Clearway Operating LLC and the execution and delivery of any agreements related to the foregoing, including credit agreements, indentures, security agreements, notes and registration rights agreements;</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225" w:lineRule="exact"/>
        <w:rPr>
          <w:sz w:val="20"/>
          <w:szCs w:val="20"/>
          <w:color w:val="auto"/>
        </w:rPr>
      </w:pPr>
    </w:p>
    <w:p>
      <w:pPr>
        <w:ind w:left="920" w:hanging="264"/>
        <w:spacing w:after="0"/>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225" w:lineRule="exact"/>
        <w:rPr>
          <w:rFonts w:ascii="Arial" w:cs="Arial" w:eastAsia="Arial" w:hAnsi="Arial"/>
          <w:sz w:val="18"/>
          <w:szCs w:val="18"/>
          <w:color w:val="auto"/>
        </w:rPr>
      </w:pPr>
    </w:p>
    <w:p>
      <w:pPr>
        <w:ind w:left="660" w:hanging="4"/>
        <w:spacing w:after="0" w:line="277" w:lineRule="auto"/>
        <w:tabs>
          <w:tab w:leader="none" w:pos="92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failure by Clearway Operating LLC or any Guarantor for 45 days after written notice given by the trustee or holders, to comply with any of the other agreements in the indenture;</w:t>
      </w:r>
    </w:p>
    <w:p>
      <w:pPr>
        <w:spacing w:after="0" w:line="170" w:lineRule="exact"/>
        <w:rPr>
          <w:rFonts w:ascii="Arial" w:cs="Arial" w:eastAsia="Arial" w:hAnsi="Arial"/>
          <w:sz w:val="18"/>
          <w:szCs w:val="18"/>
          <w:color w:val="auto"/>
        </w:rPr>
      </w:pPr>
    </w:p>
    <w:p>
      <w:pPr>
        <w:jc w:val="both"/>
        <w:ind w:left="660" w:hanging="4"/>
        <w:spacing w:after="0" w:line="286" w:lineRule="auto"/>
        <w:tabs>
          <w:tab w:leader="none" w:pos="9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Clearway Operating LLC or any Guarantor (or the payment of which is guaranteed by Clearway Operating LLC or any Guarantor) whether such Indebtedness or guarantee now exists, or is created after the issue date, if that default:</w:t>
      </w:r>
    </w:p>
    <w:p>
      <w:pPr>
        <w:sectPr>
          <w:pgSz w:w="11900" w:h="16838" w:orient="portrait"/>
          <w:cols w:equalWidth="0" w:num="1">
            <w:col w:w="11420"/>
          </w:cols>
          <w:pgMar w:left="240" w:top="193" w:right="239" w:bottom="0" w:gutter="0" w:footer="0" w:header="0"/>
        </w:sectPr>
      </w:pPr>
    </w:p>
    <w:bookmarkStart w:id="171" w:name="page172"/>
    <w:bookmarkEnd w:id="171"/>
    <w:p>
      <w:pPr>
        <w:ind w:left="1300" w:firstLine="5"/>
        <w:spacing w:after="0" w:line="277" w:lineRule="auto"/>
        <w:tabs>
          <w:tab w:leader="none" w:pos="15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jc w:val="both"/>
        <w:ind w:left="1300" w:firstLine="5"/>
        <w:spacing w:after="0" w:line="264" w:lineRule="auto"/>
        <w:tabs>
          <w:tab w:leader="none" w:pos="158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(i) 1.5% of Total Assets and (ii) $75.0 million;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clause (4) shall not apply to (i) secured Indebtedness that becomes due as a result of the voluntary sale or transfer of the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or assets securing such Indebtedness to a Person that is not an Affiliate of Clearway Operating LLC; and (ii) Non-Recourse Debt of Clearway Operating LLC or any of its Subsidiaries (except to the extent that Clearway Operating LLC or any Guarantors that are not parties to such Non-Recourse Debt become directly or indirectly liable, including pursuant to any contingent obligation, for any such Non-Recourse Debt and such liability, individually or in the aggregate, exceeds the greater of (i) 1.5% of Total Assets and (ii) $75.0 million);</w:t>
      </w:r>
    </w:p>
    <w:p>
      <w:pPr>
        <w:spacing w:after="0" w:line="188" w:lineRule="exact"/>
        <w:rPr>
          <w:sz w:val="20"/>
          <w:szCs w:val="20"/>
          <w:color w:val="auto"/>
        </w:rPr>
      </w:pPr>
    </w:p>
    <w:p>
      <w:pPr>
        <w:jc w:val="both"/>
        <w:ind w:firstLine="656"/>
        <w:spacing w:after="0" w:line="259" w:lineRule="auto"/>
        <w:tabs>
          <w:tab w:leader="none" w:pos="92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the greater of (i) 1.5% of Total Assets and (ii) $75.0 million (excluding therefrom any amount reasonably expected to be covered by insurance) shall be rendered against Clearway Operating LLC or any Guarantor or Guarantors or any combination thereof and the same shall not have been paid, discharged or stayed for a period of 60 days after such judgment became final and non-appealable;</w:t>
      </w:r>
    </w:p>
    <w:p>
      <w:pPr>
        <w:spacing w:after="0" w:line="186" w:lineRule="exact"/>
        <w:rPr>
          <w:rFonts w:ascii="Arial" w:cs="Arial" w:eastAsia="Arial" w:hAnsi="Arial"/>
          <w:sz w:val="18"/>
          <w:szCs w:val="18"/>
          <w:color w:val="auto"/>
        </w:rPr>
      </w:pPr>
    </w:p>
    <w:p>
      <w:pPr>
        <w:jc w:val="both"/>
        <w:ind w:firstLine="656"/>
        <w:spacing w:after="0" w:line="302" w:lineRule="auto"/>
        <w:tabs>
          <w:tab w:leader="none" w:pos="92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except as permitted by the indenture, any Guarantee shall be held in any final and non-appealable judicial proceeding to be unenforceable or invalid or shall cease for any reason to be in full force and effect or any Guarantor (or any group of Guarantors) that, if Subsidiaries of Clearway Operating LLC, would constitute a Significant Subsidiary, or any Person acting on behalf of any Guarantor (or any group of Guarantors) that, if Subsidiaries of Clearway Operating LLC, would constitute a Significant Subsidiary, shall deny or disaffirm its or their obligations under its or their Guarantee(s); and</w:t>
      </w:r>
    </w:p>
    <w:p>
      <w:pPr>
        <w:spacing w:after="0" w:line="154" w:lineRule="exact"/>
        <w:rPr>
          <w:rFonts w:ascii="Arial" w:cs="Arial" w:eastAsia="Arial" w:hAnsi="Arial"/>
          <w:sz w:val="16"/>
          <w:szCs w:val="16"/>
          <w:color w:val="auto"/>
        </w:rPr>
      </w:pPr>
    </w:p>
    <w:p>
      <w:pPr>
        <w:jc w:val="both"/>
        <w:ind w:right="20" w:firstLine="656"/>
        <w:spacing w:after="0" w:line="264" w:lineRule="auto"/>
        <w:tabs>
          <w:tab w:leader="none" w:pos="93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Clearway Operating LLC or any Guarantor that, if a Subsidiary of Clearway Operating LLC, would constitute a Significant Subsidiary or any group of Guarantors that, if Subsidiaries of Clearway Operating LLC, taken together, would constitute a Significant Subsidiary.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case of an Event of Default with respect to the notes arising from certain events of bankruptcy or insolvency with respect to Clearway Operating LLC, any Guarantor or any group of Guarantors that, if subsidiaries of Clearway Operating LLC, taken together, would constitute a Significant Subsidiary, all such notes that are outstanding will become due and payable immediately without further action or notice. If any other Event of Default occurs and is continuing, the trustee or the holders of at least 25% in principal amount of such notes that are outstanding may declare all the notes to be due and payable immediately.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certain limitations, holders of a majority in principal amount of the notes that are then outstanding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under the indenture, the trustee will be under no obligation to exercise any of the rights or powers under the indenture at the request or direction of any holders of the notes unless such holders have offered to the trustee reasonable indemnity or security against any loss, liability or expense. Except to enforce the right to receive payment of principal, premium (if any) or interest when due, no holder of a note may pursue any remedy with respect to the indenture unless:</w:t>
      </w:r>
    </w:p>
    <w:p>
      <w:pPr>
        <w:spacing w:after="0" w:line="154" w:lineRule="exact"/>
        <w:rPr>
          <w:sz w:val="20"/>
          <w:szCs w:val="20"/>
          <w:color w:val="auto"/>
        </w:rPr>
      </w:pPr>
    </w:p>
    <w:p>
      <w:pPr>
        <w:ind w:left="920" w:hanging="264"/>
        <w:spacing w:after="0"/>
        <w:tabs>
          <w:tab w:leader="none" w:pos="9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notes that are then outstanding have requested the trustee to pursue the remedy;</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thereof and the offer of security or indemnity; and</w:t>
      </w:r>
    </w:p>
    <w:p>
      <w:pPr>
        <w:spacing w:after="0" w:line="225" w:lineRule="exact"/>
        <w:rPr>
          <w:rFonts w:ascii="Arial" w:cs="Arial" w:eastAsia="Arial" w:hAnsi="Arial"/>
          <w:sz w:val="18"/>
          <w:szCs w:val="18"/>
          <w:color w:val="auto"/>
        </w:rPr>
      </w:pPr>
    </w:p>
    <w:p>
      <w:pPr>
        <w:ind w:left="660" w:hanging="4"/>
        <w:spacing w:after="0" w:line="277" w:lineRule="auto"/>
        <w:tabs>
          <w:tab w:leader="none" w:pos="9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that are then outstanding have not given the trustee a direction inconsistent with such request within such 60-day period.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holders of a majority in aggregate principal amount of the notes then outstanding by notice to the trustee may, on behalf of the holders of the notes, rescind an acceleration or waive any existing Default or Event of Default and its consequences under the indenture except a continuing Default or Event of Default in the payment of interest on, or the principal of, such notes.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Clearway Operating LLC is required to deliver to the trustee annually a statement regarding compliance with the indenture. Upon becoming aware of any Default or Event of Default, Clearway Operating LLC is required to deliver to the trustee a statement specifying such Default or Event of Default.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 director, officer, employee, incorporator, stockholder, member or unitholder of Clearway Operating LLC or any Guarantor, as such, has any liability for any obligations of Clearway Operating LLC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Clearway Operating LLC may, at its option and at any time, elect to have all of its obligations discharged with respect to the notes that are outstanding and all obligations of the Guarantors of such notes discharged with respect to their Guarantees (“</w:t>
      </w:r>
      <w:r>
        <w:rPr>
          <w:rFonts w:ascii="Arial" w:cs="Arial" w:eastAsia="Arial" w:hAnsi="Arial"/>
          <w:sz w:val="17"/>
          <w:szCs w:val="17"/>
          <w:i w:val="1"/>
          <w:iCs w:val="1"/>
          <w:color w:val="auto"/>
        </w:rPr>
        <w:t>Legal Defeasance</w:t>
      </w:r>
      <w:r>
        <w:rPr>
          <w:rFonts w:ascii="Arial" w:cs="Arial" w:eastAsia="Arial" w:hAnsi="Arial"/>
          <w:sz w:val="17"/>
          <w:szCs w:val="17"/>
          <w:color w:val="auto"/>
        </w:rPr>
        <w:t>”), except for:</w:t>
      </w:r>
    </w:p>
    <w:p>
      <w:pPr>
        <w:spacing w:after="0" w:line="147" w:lineRule="exact"/>
        <w:rPr>
          <w:sz w:val="20"/>
          <w:szCs w:val="20"/>
          <w:color w:val="auto"/>
        </w:rPr>
      </w:pPr>
    </w:p>
    <w:p>
      <w:pPr>
        <w:ind w:left="660" w:right="20" w:hanging="4"/>
        <w:spacing w:after="0" w:line="277" w:lineRule="auto"/>
        <w:tabs>
          <w:tab w:leader="none" w:pos="91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rights of holders of the notes that are then outstanding to receive payments in respect of the principal of, or interest or premium on such notes when such payments are due from the trust referred to below;</w:t>
      </w:r>
    </w:p>
    <w:p>
      <w:pPr>
        <w:sectPr>
          <w:pgSz w:w="11900" w:h="16838" w:orient="portrait"/>
          <w:cols w:equalWidth="0" w:num="1">
            <w:col w:w="11420"/>
          </w:cols>
          <w:pgMar w:left="240" w:top="125" w:right="239" w:bottom="112" w:gutter="0" w:footer="0" w:header="0"/>
        </w:sectPr>
      </w:pPr>
    </w:p>
    <w:bookmarkStart w:id="172" w:name="page173"/>
    <w:bookmarkEnd w:id="172"/>
    <w:p>
      <w:pPr>
        <w:ind w:left="660" w:hanging="4"/>
        <w:spacing w:after="0" w:line="277" w:lineRule="auto"/>
        <w:tabs>
          <w:tab w:leader="none" w:pos="9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Clearway Operating LLC’s obligations with respect to the notes concerning issuing temporary notes, registration of notes, mutilated, destroyed, lost or stolen notes and the maintenance of an office or agency for payment and money for security payments held in trust;</w:t>
      </w:r>
    </w:p>
    <w:p>
      <w:pPr>
        <w:spacing w:after="0" w:line="170" w:lineRule="exact"/>
        <w:rPr>
          <w:rFonts w:ascii="Arial" w:cs="Arial" w:eastAsia="Arial" w:hAnsi="Arial"/>
          <w:sz w:val="18"/>
          <w:szCs w:val="18"/>
          <w:color w:val="auto"/>
        </w:rPr>
      </w:pPr>
    </w:p>
    <w:p>
      <w:pPr>
        <w:ind w:left="660" w:hanging="4"/>
        <w:spacing w:after="0" w:line="277" w:lineRule="auto"/>
        <w:tabs>
          <w:tab w:leader="none" w:pos="9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for the notes, and Clearway Operating LLC’s and the Guarantors’ obligations in connection therewith;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Legal Defeasance provisions of the indenture governing such notes.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Clearway Operating LLC may, at its option and at any time, elect to have the obligations of Clearway Operating LLC and the Guarantors released with respect to certain covenants (including its obligation to make Change of Control Offers) that are described in the indenture (“</w:t>
      </w:r>
      <w:r>
        <w:rPr>
          <w:rFonts w:ascii="Arial" w:cs="Arial" w:eastAsia="Arial" w:hAnsi="Arial"/>
          <w:sz w:val="17"/>
          <w:szCs w:val="17"/>
          <w:i w:val="1"/>
          <w:iCs w:val="1"/>
          <w:color w:val="auto"/>
        </w:rPr>
        <w:t>Covenant</w:t>
      </w:r>
      <w:r>
        <w:rPr>
          <w:rFonts w:ascii="Arial" w:cs="Arial" w:eastAsia="Arial" w:hAnsi="Arial"/>
          <w:sz w:val="17"/>
          <w:szCs w:val="17"/>
          <w:color w:val="auto"/>
        </w:rPr>
        <w:t xml:space="preserve"> </w:t>
      </w:r>
      <w:r>
        <w:rPr>
          <w:rFonts w:ascii="Arial" w:cs="Arial" w:eastAsia="Arial" w:hAnsi="Arial"/>
          <w:sz w:val="17"/>
          <w:szCs w:val="17"/>
          <w:i w:val="1"/>
          <w:iCs w:val="1"/>
          <w:color w:val="auto"/>
        </w:rPr>
        <w:t>Defeasance</w:t>
      </w:r>
      <w:r>
        <w:rPr>
          <w:rFonts w:ascii="Arial" w:cs="Arial" w:eastAsia="Arial" w:hAnsi="Arial"/>
          <w:sz w:val="17"/>
          <w:szCs w:val="17"/>
          <w:color w:val="auto"/>
        </w:rPr>
        <w:t>”) and thereafter any omission to comply with those covenants will not constitute a Default or Event of Default with respect to the notes.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jc w:val="both"/>
        <w:ind w:left="660" w:hanging="4"/>
        <w:spacing w:after="0" w:line="297" w:lineRule="auto"/>
        <w:tabs>
          <w:tab w:leader="none" w:pos="92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Clearway Operating LLC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on such notes that are then outstanding on the Stated Maturity or on the applicable redemption date, as the case may be, and Clearway Operating LLC must specify whether such notes are being defeased to maturity or to a particular redemption date;</w:t>
      </w:r>
    </w:p>
    <w:p>
      <w:pPr>
        <w:spacing w:after="0" w:line="158" w:lineRule="exact"/>
        <w:rPr>
          <w:rFonts w:ascii="Arial" w:cs="Arial" w:eastAsia="Arial" w:hAnsi="Arial"/>
          <w:sz w:val="16"/>
          <w:szCs w:val="16"/>
          <w:color w:val="auto"/>
        </w:rPr>
      </w:pPr>
    </w:p>
    <w:p>
      <w:pPr>
        <w:jc w:val="both"/>
        <w:ind w:left="660" w:hanging="4"/>
        <w:spacing w:after="0" w:line="273" w:lineRule="auto"/>
        <w:tabs>
          <w:tab w:leader="none" w:pos="9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 the case of Legal Defeasance, Clearway Operating LLC has delivered to the trustee an opinion of counsel reasonably acceptable to the trustee confirming that (a) Clearway Operating LLC has received from, or there has been published by, the Internal Revenue Service a ruling or (b) since the issue date, there has been a change in the applicable federal income tax law, in either case to the effect that, and based thereon such opinion of counsel will confirm that, the holders of the notes that are then outstanding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8" w:lineRule="exact"/>
        <w:rPr>
          <w:rFonts w:ascii="Arial" w:cs="Arial" w:eastAsia="Arial" w:hAnsi="Arial"/>
          <w:sz w:val="17"/>
          <w:szCs w:val="17"/>
          <w:color w:val="auto"/>
        </w:rPr>
      </w:pPr>
    </w:p>
    <w:p>
      <w:pPr>
        <w:jc w:val="both"/>
        <w:ind w:left="660" w:hanging="4"/>
        <w:spacing w:after="0" w:line="259" w:lineRule="auto"/>
        <w:tabs>
          <w:tab w:leader="none" w:pos="93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case of Covenant Defeasance, Clearway Operating LLC has delivered to the trustee an opinion of counsel reasonably acceptable to the trustee confirming that the holders of the notes that are then outstanding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left="660" w:hanging="4"/>
        <w:spacing w:after="0" w:line="277" w:lineRule="auto"/>
        <w:tabs>
          <w:tab w:leader="none" w:pos="91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on the date of such deposit (other than a Default or Event of Default resulting from the borrowing of funds to be applied to such deposit);</w:t>
      </w:r>
    </w:p>
    <w:p>
      <w:pPr>
        <w:spacing w:after="0" w:line="170" w:lineRule="exact"/>
        <w:rPr>
          <w:rFonts w:ascii="Arial" w:cs="Arial" w:eastAsia="Arial" w:hAnsi="Arial"/>
          <w:sz w:val="18"/>
          <w:szCs w:val="18"/>
          <w:color w:val="auto"/>
        </w:rPr>
      </w:pPr>
    </w:p>
    <w:p>
      <w:pPr>
        <w:jc w:val="both"/>
        <w:ind w:left="660" w:right="20" w:hanging="4"/>
        <w:spacing w:after="0" w:line="264" w:lineRule="auto"/>
        <w:tabs>
          <w:tab w:leader="none" w:pos="91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Clearway Operating LLC or any of its Subsidiaries or the Parent Guarantor is a party or by which Clearway Operating LLC or any of its Subsidiaries or the Parent Guarantor is bound;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Clearway Operating LLC must deliver to the trustee an officers’ certificate stating that the deposit was not made by Clearway Operating LLC with the intent of preferring the holders of the notes over the other creditors of Clearway Operating LLC with the intent of defeating, hindering, delaying or defrauding creditors of Clearway Operating LLC or others; and</w:t>
      </w:r>
    </w:p>
    <w:p>
      <w:pPr>
        <w:spacing w:after="0" w:line="181" w:lineRule="exact"/>
        <w:rPr>
          <w:rFonts w:ascii="Arial" w:cs="Arial" w:eastAsia="Arial" w:hAnsi="Arial"/>
          <w:sz w:val="18"/>
          <w:szCs w:val="18"/>
          <w:color w:val="auto"/>
        </w:rPr>
      </w:pPr>
    </w:p>
    <w:p>
      <w:pPr>
        <w:ind w:left="660" w:hanging="4"/>
        <w:spacing w:after="0" w:line="277" w:lineRule="auto"/>
        <w:tabs>
          <w:tab w:leader="none" w:pos="9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Clearway Operating LLC must deliver to the trustee an officers’ certificate and an opinion of counsel, each stating that all conditions precedent relating to the Legal Defeasance or the Covenant Defeasance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Except as provided in the next two succeeding paragraphs, the indenture or the notes outstanding thereunder may be amended or supplemented with the consent of the holders of at least a majority in principal amount of notes then outstanding (including, without limitation, consents obtained in connection with a purchase of, or tender offer or exchange offer for, the notes), and any existing default or compliance with any provision of the indenture or the notes outstanding thereunder may be waived with the consent of the holders of a majority in principal amount of the notes that are then outstanding (including, without limitation, consents obtained in connection with a purchase of, or tender offer or exchange offer for, the notes).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Without the consent of each holder of notes affected, an amendment or waiver may not (with respect to any such notes held by a non-consenting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left="920" w:hanging="264"/>
        <w:spacing w:after="0"/>
        <w:tabs>
          <w:tab w:leader="none" w:pos="9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 supplement or waiver;</w:t>
      </w:r>
    </w:p>
    <w:p>
      <w:pPr>
        <w:spacing w:after="0" w:line="225" w:lineRule="exact"/>
        <w:rPr>
          <w:rFonts w:ascii="Arial" w:cs="Arial" w:eastAsia="Arial" w:hAnsi="Arial"/>
          <w:sz w:val="18"/>
          <w:szCs w:val="18"/>
          <w:color w:val="auto"/>
        </w:rPr>
      </w:pPr>
    </w:p>
    <w:p>
      <w:pPr>
        <w:jc w:val="both"/>
        <w:ind w:left="660" w:hanging="4"/>
        <w:spacing w:after="0" w:line="264" w:lineRule="auto"/>
        <w:tabs>
          <w:tab w:leader="none" w:pos="92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such note or alter the provisions with respect to the redemption of such notes (other than provisions relating to the covenants described above under the caption “—Repurchase at the Option of Holders” and provisions relating to the number of days of notice to be given in the event of a redemption);</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w:t>
      </w:r>
    </w:p>
    <w:p>
      <w:pPr>
        <w:spacing w:after="0" w:line="225" w:lineRule="exact"/>
        <w:rPr>
          <w:rFonts w:ascii="Arial" w:cs="Arial" w:eastAsia="Arial" w:hAnsi="Arial"/>
          <w:sz w:val="18"/>
          <w:szCs w:val="18"/>
          <w:color w:val="auto"/>
        </w:rPr>
      </w:pPr>
    </w:p>
    <w:p>
      <w:pPr>
        <w:jc w:val="both"/>
        <w:ind w:left="660" w:hanging="4"/>
        <w:spacing w:after="0" w:line="264" w:lineRule="auto"/>
        <w:tabs>
          <w:tab w:leader="none" w:pos="92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on such notes (except a rescission of acceleration of such notes by the holders of at least a majority in aggregate principal amount of such notes and a waiver of the payment default that resulted from such acceleration);</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notes;</w:t>
      </w:r>
    </w:p>
    <w:p>
      <w:pPr>
        <w:spacing w:after="0" w:line="225" w:lineRule="exact"/>
        <w:rPr>
          <w:rFonts w:ascii="Arial" w:cs="Arial" w:eastAsia="Arial" w:hAnsi="Arial"/>
          <w:sz w:val="18"/>
          <w:szCs w:val="18"/>
          <w:color w:val="auto"/>
        </w:rPr>
      </w:pPr>
    </w:p>
    <w:p>
      <w:pPr>
        <w:ind w:left="660" w:hanging="4"/>
        <w:spacing w:after="0" w:line="277" w:lineRule="auto"/>
        <w:tabs>
          <w:tab w:leader="none" w:pos="91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such notes to receive payments of principal of, or interest or premium on such notes;</w:t>
      </w:r>
    </w:p>
    <w:p>
      <w:pPr>
        <w:sectPr>
          <w:pgSz w:w="11900" w:h="16838" w:orient="portrait"/>
          <w:cols w:equalWidth="0" w:num="1">
            <w:col w:w="11420"/>
          </w:cols>
          <w:pgMar w:left="240" w:top="126" w:right="239" w:bottom="0" w:gutter="0" w:footer="0" w:header="0"/>
        </w:sectPr>
      </w:pPr>
    </w:p>
    <w:bookmarkStart w:id="173" w:name="page174"/>
    <w:bookmarkEnd w:id="173"/>
    <w:p>
      <w:pPr>
        <w:ind w:left="660" w:right="20" w:hanging="4"/>
        <w:spacing w:after="0" w:line="277" w:lineRule="auto"/>
        <w:tabs>
          <w:tab w:leader="none" w:pos="9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waive a redemption payment with respect to any such note (other than a payment required by one of the covenants described above under the caption “—Repurchase at the Option of Holders”); or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Notwithstanding the preceding, without the consent of any holder of notes, Clearway Operating LLC, the Guarantors and the trustee may amend or supplement the indenture or the notes:</w:t>
      </w:r>
    </w:p>
    <w:p>
      <w:pPr>
        <w:spacing w:after="0" w:line="170" w:lineRule="exact"/>
        <w:rPr>
          <w:sz w:val="20"/>
          <w:szCs w:val="20"/>
          <w:color w:val="auto"/>
        </w:rPr>
      </w:pPr>
    </w:p>
    <w:p>
      <w:pPr>
        <w:ind w:left="920" w:hanging="264"/>
        <w:spacing w:after="0"/>
        <w:tabs>
          <w:tab w:leader="none" w:pos="9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cure any ambiguity, mistake, defect or inconsistency;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25" w:lineRule="exact"/>
        <w:rPr>
          <w:rFonts w:ascii="Arial" w:cs="Arial" w:eastAsia="Arial" w:hAnsi="Arial"/>
          <w:sz w:val="18"/>
          <w:szCs w:val="18"/>
          <w:color w:val="auto"/>
        </w:rPr>
      </w:pPr>
    </w:p>
    <w:p>
      <w:pPr>
        <w:ind w:left="660" w:hanging="4"/>
        <w:spacing w:after="0" w:line="277" w:lineRule="auto"/>
        <w:tabs>
          <w:tab w:leader="none" w:pos="9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provide for the assumption of Clearway Operating LLC’s obligations to holders of notes in the case of a merger or consolidation or sale of all or substantially all of Clearway Operating LLC’s assets;</w:t>
      </w:r>
    </w:p>
    <w:p>
      <w:pPr>
        <w:spacing w:after="0" w:line="170" w:lineRule="exact"/>
        <w:rPr>
          <w:rFonts w:ascii="Arial" w:cs="Arial" w:eastAsia="Arial" w:hAnsi="Arial"/>
          <w:sz w:val="18"/>
          <w:szCs w:val="18"/>
          <w:color w:val="auto"/>
        </w:rPr>
      </w:pPr>
    </w:p>
    <w:p>
      <w:pPr>
        <w:ind w:left="660" w:hanging="4"/>
        <w:spacing w:after="0" w:line="277" w:lineRule="auto"/>
        <w:tabs>
          <w:tab w:leader="none" w:pos="9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any indenture of any such holder;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comply with requirements of the Commission in order to effect or maintain the qualification of any indenture under the Trust Indenture Act;</w:t>
      </w:r>
    </w:p>
    <w:p>
      <w:pPr>
        <w:spacing w:after="0" w:line="248" w:lineRule="exact"/>
        <w:rPr>
          <w:rFonts w:ascii="Arial" w:cs="Arial" w:eastAsia="Arial" w:hAnsi="Arial"/>
          <w:sz w:val="16"/>
          <w:szCs w:val="16"/>
          <w:color w:val="auto"/>
        </w:rPr>
      </w:pPr>
    </w:p>
    <w:p>
      <w:pPr>
        <w:ind w:left="660" w:right="20" w:hanging="4"/>
        <w:spacing w:after="0" w:line="277" w:lineRule="auto"/>
        <w:tabs>
          <w:tab w:leader="none" w:pos="93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the “Description of the Notes” in the offering memorandum of Clearway Operating LLC dated July 31, 2014;”</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evidence and provide for the acceptance and appointment under the indenture of a successor trustee pursuant to the requirements thereof;</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the indenture as of the date hereof;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Subsidiary Guarantee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225" w:lineRule="exact"/>
        <w:rPr>
          <w:sz w:val="20"/>
          <w:szCs w:val="20"/>
          <w:color w:val="auto"/>
        </w:rPr>
      </w:pPr>
    </w:p>
    <w:p>
      <w:pPr>
        <w:ind w:left="920" w:hanging="264"/>
        <w:spacing w:after="0"/>
        <w:tabs>
          <w:tab w:leader="none" w:pos="9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1300" w:firstLine="5"/>
        <w:spacing w:after="0" w:line="264" w:lineRule="auto"/>
        <w:tabs>
          <w:tab w:leader="none" w:pos="155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such notes that have been authenticated, except lost, stolen or destroyed notes that have been replaced or paid and notes for whose payment money has been deposited in trust and thereafter repaid to Clearway Operating LLC, have been delivered to the trustee for such notes for cancellation; or</w:t>
      </w:r>
    </w:p>
    <w:p>
      <w:pPr>
        <w:spacing w:after="0" w:line="181" w:lineRule="exact"/>
        <w:rPr>
          <w:rFonts w:ascii="Arial" w:cs="Arial" w:eastAsia="Arial" w:hAnsi="Arial"/>
          <w:sz w:val="18"/>
          <w:szCs w:val="18"/>
          <w:color w:val="auto"/>
        </w:rPr>
      </w:pPr>
    </w:p>
    <w:p>
      <w:pPr>
        <w:jc w:val="both"/>
        <w:ind w:left="1300" w:firstLine="5"/>
        <w:spacing w:after="0" w:line="293" w:lineRule="auto"/>
        <w:tabs>
          <w:tab w:leader="none" w:pos="156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all such notes that have not been delivered to the trustee for cancellation have become due and payable by reason of the mailing of a notice of redemption or otherwise or will become due and payable within one year and Clearway Operating LLC or any Guarantor has irrevocably deposited or caused to be deposited with the trustee as trust funds in trust solely for the benefit of the holders of notes,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164" w:lineRule="exact"/>
        <w:rPr>
          <w:rFonts w:ascii="Arial" w:cs="Arial" w:eastAsia="Arial" w:hAnsi="Arial"/>
          <w:sz w:val="16"/>
          <w:szCs w:val="16"/>
          <w:color w:val="auto"/>
        </w:rPr>
      </w:pPr>
    </w:p>
    <w:p>
      <w:pPr>
        <w:jc w:val="both"/>
        <w:ind w:left="660" w:hanging="4"/>
        <w:spacing w:after="0" w:line="259" w:lineRule="auto"/>
        <w:tabs>
          <w:tab w:leader="none" w:pos="9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Default or Event of Default under such indenture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Clearway Operating LLC or any Guarantor is a party or by which Clearway Operating LLC or any Guarantor is bound;</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Clearway Operating LLC or any Guarantor has paid or caused to be paid all sums payable by it under the indenture; and</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94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Clearway Operating LLC has delivered irrevocable instructions to the trustee under the indenture to apply the deposited money toward the payment of the notes at maturity or the redemption date, as the case may be.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Clearway Operating LLC must deliver an officers’ certificate and an opinion of counsel to the trustee stating that all conditions precedent to satisfaction and discharge have been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If the trustee becomes a creditor of Clearway Operating LLC or any Guarantor, the indenture limits its right to obtain payment of claims in certain cases, or to realize on certain property received in respect of any such claim as security or otherwise. The trustee will be permitted to engage in other transactions; </w:t>
      </w:r>
      <w:r>
        <w:rPr>
          <w:rFonts w:ascii="Arial" w:cs="Arial" w:eastAsia="Arial" w:hAnsi="Arial"/>
          <w:sz w:val="18"/>
          <w:szCs w:val="18"/>
          <w:i w:val="1"/>
          <w:iCs w:val="1"/>
          <w:color w:val="auto"/>
        </w:rPr>
        <w:t>however</w:t>
      </w:r>
      <w:r>
        <w:rPr>
          <w:rFonts w:ascii="Arial" w:cs="Arial" w:eastAsia="Arial" w:hAnsi="Arial"/>
          <w:sz w:val="18"/>
          <w:szCs w:val="18"/>
          <w:color w:val="auto"/>
        </w:rPr>
        <w:t>, if it acquires any conflicting interest it must eliminate such conflict within 90 days, apply to the Commission for permission to continue (if such indenture has been qualified under the Trust Indenture Act) or resign.</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holders of a majority in principal amount of the notes that are outstanding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 Subject to the provisions of the indenture,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ectPr>
          <w:pgSz w:w="11900" w:h="16838" w:orient="portrait"/>
          <w:cols w:equalWidth="0" w:num="1">
            <w:col w:w="11420"/>
          </w:cols>
          <w:pgMar w:left="240" w:top="125" w:right="239" w:bottom="0" w:gutter="0" w:footer="0" w:header="0"/>
        </w:sectPr>
      </w:pPr>
    </w:p>
    <w:bookmarkStart w:id="174" w:name="page175"/>
    <w:bookmarkEnd w:id="174"/>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LTM CAFD</w:t>
      </w:r>
      <w:r>
        <w:rPr>
          <w:rFonts w:ascii="Arial" w:cs="Arial" w:eastAsia="Arial" w:hAnsi="Arial"/>
          <w:sz w:val="18"/>
          <w:szCs w:val="18"/>
          <w:color w:val="auto"/>
        </w:rPr>
        <w:t>” means, as of any date of determination (for purposes of this definition, the “</w:t>
      </w:r>
      <w:r>
        <w:rPr>
          <w:rFonts w:ascii="Arial" w:cs="Arial" w:eastAsia="Arial" w:hAnsi="Arial"/>
          <w:sz w:val="18"/>
          <w:szCs w:val="18"/>
          <w:i w:val="1"/>
          <w:iCs w:val="1"/>
          <w:color w:val="auto"/>
        </w:rPr>
        <w:t>Calculation Date</w:t>
      </w:r>
      <w:r>
        <w:rPr>
          <w:rFonts w:ascii="Arial" w:cs="Arial" w:eastAsia="Arial" w:hAnsi="Arial"/>
          <w:sz w:val="18"/>
          <w:szCs w:val="18"/>
          <w:color w:val="auto"/>
        </w:rPr>
        <w:t>”), the net income of Clearway Operating LLC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81" w:lineRule="exact"/>
        <w:rPr>
          <w:sz w:val="20"/>
          <w:szCs w:val="20"/>
          <w:color w:val="auto"/>
        </w:rPr>
      </w:pPr>
    </w:p>
    <w:p>
      <w:pPr>
        <w:ind w:left="920" w:hanging="264"/>
        <w:spacing w:after="0"/>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plus, income tax expense, net of income tax benefit, to the extent deducted in calculating net income during such four-quarter period;</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minus equity in earnings of unconsolidated affiliates to the extent included in net income during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plus, cash distributions from unconsolidated affiliates, to the extent not included in net income during such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minus cash interest payments made by Subsidiaries of Clearway Operating LLC that were added back to net income pursuant to clause (1) above;</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minus cash income tax payments made by Clearway Operating LLC and its Subsidiaries that were added back to net income pursuant to clause</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left="660" w:right="20" w:hanging="4"/>
        <w:spacing w:after="0" w:line="277" w:lineRule="auto"/>
        <w:tabs>
          <w:tab w:leader="none" w:pos="94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Clearway Operating LLC’s Subsidiaries, to the extent not deducted in calculating net income during such four-quarter period;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plus, any decrease or minus any increase in amounts attributable to contract amortization and any recurring changes in other assets;</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minus maintenance capital expenditures, to the extent not deducted in calculating net income during such four-quarter period;</w:t>
      </w:r>
    </w:p>
    <w:p>
      <w:pPr>
        <w:spacing w:after="0" w:line="225" w:lineRule="exact"/>
        <w:rPr>
          <w:rFonts w:ascii="Arial" w:cs="Arial" w:eastAsia="Arial" w:hAnsi="Arial"/>
          <w:sz w:val="18"/>
          <w:szCs w:val="18"/>
          <w:color w:val="auto"/>
        </w:rPr>
      </w:pPr>
    </w:p>
    <w:p>
      <w:pPr>
        <w:jc w:val="both"/>
        <w:ind w:left="660" w:hanging="4"/>
        <w:spacing w:after="0" w:line="312" w:lineRule="auto"/>
        <w:tabs>
          <w:tab w:leader="none" w:pos="100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plus any expenses or charges related to any equity offering, investment, acquisition, disposition, recapitalization or incurrence of Indebtedness permitted to be incurred by the indenture including a refinancing thereof (whether or not successful), including such fees, expenses or charges related to the offering of the notes and the Credit Agreement, to the extent deducted in calculating net income during such four-quarter period; and</w:t>
      </w:r>
    </w:p>
    <w:p>
      <w:pPr>
        <w:spacing w:after="0" w:line="146" w:lineRule="exact"/>
        <w:rPr>
          <w:rFonts w:ascii="Arial" w:cs="Arial" w:eastAsia="Arial" w:hAnsi="Arial"/>
          <w:sz w:val="16"/>
          <w:szCs w:val="16"/>
          <w:color w:val="auto"/>
        </w:rPr>
      </w:pPr>
    </w:p>
    <w:p>
      <w:pPr>
        <w:ind w:left="660" w:hanging="4"/>
        <w:spacing w:after="0" w:line="277" w:lineRule="auto"/>
        <w:tabs>
          <w:tab w:leader="none" w:pos="100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plus, any professional and underwriting fees related to any equity offering, investment, acquisition, recapitalization or Indebtedness permitted to be incurred under the indenture, to the extent deducted in calculating net income during such four-quarter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jc w:val="both"/>
        <w:ind w:left="660" w:hanging="4"/>
        <w:spacing w:after="0" w:line="276" w:lineRule="auto"/>
        <w:tabs>
          <w:tab w:leader="none" w:pos="95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investments and acquisitions that have been made by Clearway Operating LLC or any of its Subsidiaries, including through mergers or consolidations, or any Person or any of its Subsidiaries acquired by Clearway Operating LLC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72" w:lineRule="exact"/>
        <w:rPr>
          <w:rFonts w:ascii="Arial" w:cs="Arial" w:eastAsia="Arial" w:hAnsi="Arial"/>
          <w:sz w:val="17"/>
          <w:szCs w:val="17"/>
          <w:color w:val="auto"/>
        </w:rPr>
      </w:pPr>
    </w:p>
    <w:p>
      <w:pPr>
        <w:ind w:left="660" w:hanging="4"/>
        <w:spacing w:after="0" w:line="277" w:lineRule="auto"/>
        <w:tabs>
          <w:tab w:leader="none" w:pos="93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Person that is a Subsidiary on the Calculation Date will be deemed to have been a Subsidiary at all times during such four-quarter period; and</w:t>
      </w:r>
    </w:p>
    <w:p>
      <w:pPr>
        <w:spacing w:after="0" w:line="248" w:lineRule="exact"/>
        <w:rPr>
          <w:rFonts w:ascii="Arial" w:cs="Arial" w:eastAsia="Arial" w:hAnsi="Arial"/>
          <w:sz w:val="16"/>
          <w:szCs w:val="16"/>
          <w:color w:val="auto"/>
        </w:rPr>
      </w:pPr>
    </w:p>
    <w:p>
      <w:pPr>
        <w:ind w:left="660" w:right="20" w:hanging="4"/>
        <w:spacing w:after="0" w:line="277" w:lineRule="auto"/>
        <w:tabs>
          <w:tab w:leader="none" w:pos="92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Person that is not a Subsidiary on the Calculation Date will be deemed not to have been a Subsidiary at any time during such four-quarter period.</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Laws</w:t>
      </w:r>
      <w:r>
        <w:rPr>
          <w:rFonts w:ascii="Arial" w:cs="Arial" w:eastAsia="Arial" w:hAnsi="Arial"/>
          <w:sz w:val="18"/>
          <w:szCs w:val="18"/>
          <w:color w:val="auto"/>
        </w:rPr>
        <w:t>” means, as to any Person, any law, rule, regulation, ordinance or treaty, or any determination, ruling or other directive by or 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225" w:lineRule="exact"/>
        <w:rPr>
          <w:sz w:val="20"/>
          <w:szCs w:val="20"/>
          <w:color w:val="auto"/>
        </w:rPr>
      </w:pPr>
    </w:p>
    <w:p>
      <w:pPr>
        <w:ind w:left="920" w:hanging="264"/>
        <w:spacing w:after="0"/>
        <w:tabs>
          <w:tab w:leader="none" w:pos="9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jc w:val="both"/>
        <w:ind w:left="1300" w:right="20" w:firstLine="5"/>
        <w:spacing w:after="0" w:line="259" w:lineRule="auto"/>
        <w:tabs>
          <w:tab w:leader="none" w:pos="155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August 15, 2019 (such redemption price being set forth in the table appearing above under the caption “—Optional Redemption”)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August 15, 2019 (excluding accrued but unpaid interest to the redemption date), computed using a discount rate equal to the Treasury Rate as of such redemption date plus 50 basis points; over</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“Beneficially Owns” and “Beneficially Owned” have a corresponding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 means:</w:t>
      </w:r>
    </w:p>
    <w:p>
      <w:pPr>
        <w:sectPr>
          <w:pgSz w:w="11900" w:h="16838" w:orient="portrait"/>
          <w:cols w:equalWidth="0" w:num="1">
            <w:col w:w="11420"/>
          </w:cols>
          <w:pgMar w:left="240" w:top="193" w:right="239" w:bottom="0" w:gutter="0" w:footer="0" w:header="0"/>
        </w:sectPr>
      </w:pPr>
    </w:p>
    <w:bookmarkStart w:id="175" w:name="page176"/>
    <w:bookmarkEnd w:id="175"/>
    <w:p>
      <w:pPr>
        <w:spacing w:after="0" w:line="137" w:lineRule="exact"/>
        <w:rPr>
          <w:sz w:val="20"/>
          <w:szCs w:val="20"/>
          <w:color w:val="auto"/>
        </w:rPr>
      </w:pPr>
    </w:p>
    <w:p>
      <w:pPr>
        <w:ind w:left="920" w:hanging="264"/>
        <w:spacing w:after="0"/>
        <w:tabs>
          <w:tab w:leader="none" w:pos="9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 Stock” means:</w:t>
      </w:r>
    </w:p>
    <w:p>
      <w:pPr>
        <w:spacing w:after="0" w:line="225" w:lineRule="exact"/>
        <w:rPr>
          <w:sz w:val="20"/>
          <w:szCs w:val="20"/>
          <w:color w:val="auto"/>
        </w:rPr>
      </w:pPr>
    </w:p>
    <w:p>
      <w:pPr>
        <w:ind w:left="920" w:hanging="264"/>
        <w:spacing w:after="0"/>
        <w:tabs>
          <w:tab w:leader="none" w:pos="9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hanging="4"/>
        <w:spacing w:after="0" w:line="277" w:lineRule="auto"/>
        <w:tabs>
          <w:tab w:leader="none" w:pos="92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interests (whether general or limited) or membership interests; and</w:t>
      </w:r>
    </w:p>
    <w:p>
      <w:pPr>
        <w:spacing w:after="0" w:line="236" w:lineRule="exact"/>
        <w:rPr>
          <w:rFonts w:ascii="Arial" w:cs="Arial" w:eastAsia="Arial" w:hAnsi="Arial"/>
          <w:sz w:val="17"/>
          <w:szCs w:val="17"/>
          <w:color w:val="auto"/>
        </w:rPr>
      </w:pPr>
    </w:p>
    <w:p>
      <w:pPr>
        <w:jc w:val="both"/>
        <w:ind w:left="660" w:hanging="4"/>
        <w:spacing w:after="0" w:line="264" w:lineRule="auto"/>
        <w:tabs>
          <w:tab w:leader="none" w:pos="91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jc w:val="both"/>
        <w:ind w:left="660" w:hanging="4"/>
        <w:spacing w:after="0" w:line="279" w:lineRule="auto"/>
        <w:tabs>
          <w:tab w:leader="none" w:pos="92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direct or indirect sale, transfer, conveyance or other disposition (other than by way of merger or consolidation), in one or a series of related transactions, of all or substantially all of the properties or assets of Clearway Operating LLC and its Subsidiaries taken as a whole to any “person” (as that term is used in Section 13(d) of the Exchange Act, but excluding any employee benefit plan of Clearway Operating LLC or any of its Subsidiaries, and any person or entity acting in its capacity as trustee, agent or other fiduciary or administrator of such plan);</w:t>
      </w:r>
    </w:p>
    <w:p>
      <w:pPr>
        <w:spacing w:after="0" w:line="171" w:lineRule="exact"/>
        <w:rPr>
          <w:rFonts w:ascii="Arial" w:cs="Arial" w:eastAsia="Arial" w:hAnsi="Arial"/>
          <w:sz w:val="17"/>
          <w:szCs w:val="17"/>
          <w:color w:val="auto"/>
        </w:rPr>
      </w:pPr>
    </w:p>
    <w:p>
      <w:pPr>
        <w:ind w:left="920" w:hanging="264"/>
        <w:spacing w:after="0"/>
        <w:tabs>
          <w:tab w:leader="none" w:pos="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Clearway Inc., the Parent Guarantor or Clearway Operating LLC;</w:t>
      </w:r>
    </w:p>
    <w:p>
      <w:pPr>
        <w:spacing w:after="0" w:line="225" w:lineRule="exact"/>
        <w:rPr>
          <w:rFonts w:ascii="Arial" w:cs="Arial" w:eastAsia="Arial" w:hAnsi="Arial"/>
          <w:sz w:val="18"/>
          <w:szCs w:val="18"/>
          <w:color w:val="auto"/>
        </w:rPr>
      </w:pPr>
    </w:p>
    <w:p>
      <w:pPr>
        <w:jc w:val="both"/>
        <w:ind w:left="660" w:hanging="4"/>
        <w:spacing w:after="0" w:line="279" w:lineRule="auto"/>
        <w:tabs>
          <w:tab w:leader="none" w:pos="93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(as defined above), other than (i) Clearway Inc. or (ii) a corporation owned directly or indirectly by the stockholders of Clearway Inc. in substantially the same proportion as their ownership of stock of Clearway Inc. prior to such transaction, becomes the Beneficial Owner, directly or indirectly, of more than 50% of the Voting Stock of Clearway Inc., measured by voting power rather than number of shares;</w:t>
      </w:r>
    </w:p>
    <w:p>
      <w:pPr>
        <w:spacing w:after="0" w:line="171" w:lineRule="exact"/>
        <w:rPr>
          <w:rFonts w:ascii="Arial" w:cs="Arial" w:eastAsia="Arial" w:hAnsi="Arial"/>
          <w:sz w:val="17"/>
          <w:szCs w:val="17"/>
          <w:color w:val="auto"/>
        </w:rPr>
      </w:pPr>
    </w:p>
    <w:p>
      <w:pPr>
        <w:ind w:left="660" w:hanging="4"/>
        <w:spacing w:after="0" w:line="277" w:lineRule="auto"/>
        <w:tabs>
          <w:tab w:leader="none" w:pos="9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first day on which either (i) Clearway Inc. ceases to be the sole managing member of the Parent Guarantor or (ii) Clearway Operating LLC ceases to be a Wholly Owned Subsidiary of the Parent Guarantor; or</w:t>
      </w:r>
    </w:p>
    <w:p>
      <w:pPr>
        <w:spacing w:after="0" w:line="170" w:lineRule="exact"/>
        <w:rPr>
          <w:rFonts w:ascii="Arial" w:cs="Arial" w:eastAsia="Arial" w:hAnsi="Arial"/>
          <w:sz w:val="18"/>
          <w:szCs w:val="18"/>
          <w:color w:val="auto"/>
        </w:rPr>
      </w:pPr>
    </w:p>
    <w:p>
      <w:pPr>
        <w:ind w:left="660" w:hanging="4"/>
        <w:spacing w:after="0" w:line="277" w:lineRule="auto"/>
        <w:tabs>
          <w:tab w:leader="none" w:pos="93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the Board of Directors Clearway Inc. are not Continuing Directors. “</w:t>
      </w: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Offer</w:t>
      </w:r>
      <w:r>
        <w:rPr>
          <w:rFonts w:ascii="Arial" w:cs="Arial" w:eastAsia="Arial" w:hAnsi="Arial"/>
          <w:sz w:val="18"/>
          <w:szCs w:val="18"/>
          <w:color w:val="auto"/>
        </w:rPr>
        <w:t>” has the meaning assigned to it in the indenture governing the notes.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(i) a Change of Control has occurred and (ii) the notes are downgraded by both S&amp;P and Moody’s on any date during the period commencing 60 days prior to the consummation of such Change of Control and ending 60 days following consummation of such Change of Control.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w:t>
      </w:r>
      <w:r>
        <w:rPr>
          <w:rFonts w:ascii="Arial" w:cs="Arial" w:eastAsia="Arial" w:hAnsi="Arial"/>
          <w:sz w:val="18"/>
          <w:szCs w:val="18"/>
          <w:color w:val="auto"/>
        </w:rPr>
        <w:t>” means, as of any date of determination, any member of the Board of Directors of Clearway Inc. who:</w:t>
      </w:r>
    </w:p>
    <w:p>
      <w:pPr>
        <w:spacing w:after="0" w:line="225" w:lineRule="exact"/>
        <w:rPr>
          <w:sz w:val="20"/>
          <w:szCs w:val="20"/>
          <w:color w:val="auto"/>
        </w:rPr>
      </w:pPr>
    </w:p>
    <w:p>
      <w:pPr>
        <w:ind w:left="920" w:hanging="264"/>
        <w:spacing w:after="0"/>
        <w:tabs>
          <w:tab w:leader="none" w:pos="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225" w:lineRule="exact"/>
        <w:rPr>
          <w:rFonts w:ascii="Arial" w:cs="Arial" w:eastAsia="Arial" w:hAnsi="Arial"/>
          <w:sz w:val="18"/>
          <w:szCs w:val="18"/>
          <w:color w:val="auto"/>
        </w:rPr>
      </w:pPr>
    </w:p>
    <w:p>
      <w:pPr>
        <w:ind w:left="660" w:hanging="4"/>
        <w:spacing w:after="0" w:line="277" w:lineRule="auto"/>
        <w:tabs>
          <w:tab w:leader="none" w:pos="91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at the time of such nomination or election.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the Amended and Restated Credit Agreement, dated April 25, 2014, among Clearway Operating LLC, the Parent Guarantor, each other guarantor from time to time party thereto, each lender from time to time party thereto, JPMorgan Chase Bank, N.A., as the administrative agent, and JPMorgan Chase Bank, N.A., Royal Bank of Canada, Bank of America, N.A. and Barclays Bank PLC, as letter of credit issuers , as the same may be amended, restated, modified, renewed, refunded, replaced or refinanced from time to time.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(i) one or more debt facilities (including, without limitation, the Credit Agreement) or commercial paper facilities, in 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CapEx Debt</w:t>
      </w:r>
      <w:r>
        <w:rPr>
          <w:rFonts w:ascii="Arial" w:cs="Arial" w:eastAsia="Arial" w:hAnsi="Arial"/>
          <w:sz w:val="18"/>
          <w:szCs w:val="18"/>
          <w:color w:val="auto"/>
        </w:rPr>
        <w:t>” means Indebtedness of Clearway Operating LLC or any of its Subsidiaries incurred for the purpose of financing capital expenditures to the extent deemed reasonably necessary, as determined by Clearway Operating LLC or any of its Subsidiaries, as applicable, in good faith and pursuant to prudent judgment, to comply with applicable Environmental Laws.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means all former, current and future federal, state, local and foreign laws (including common law), treaties, regulations, rules, ordinances and codes, and legally binding decrees, judgments, directives and orders (including consent orders), in each case, relating to protection of the</w:t>
      </w:r>
    </w:p>
    <w:p>
      <w:pPr>
        <w:sectPr>
          <w:pgSz w:w="11900" w:h="16975" w:orient="portrait"/>
          <w:cols w:equalWidth="0" w:num="1">
            <w:col w:w="11420"/>
          </w:cols>
          <w:pgMar w:left="240" w:top="260" w:right="239" w:bottom="0" w:gutter="0" w:footer="0" w:header="0"/>
        </w:sectPr>
      </w:pPr>
    </w:p>
    <w:bookmarkStart w:id="176" w:name="page177"/>
    <w:bookmarkEnd w:id="176"/>
    <w:p>
      <w:pPr>
        <w:jc w:val="both"/>
        <w:spacing w:after="0" w:line="264" w:lineRule="auto"/>
        <w:rPr>
          <w:sz w:val="20"/>
          <w:szCs w:val="20"/>
          <w:color w:val="auto"/>
        </w:rPr>
      </w:pPr>
      <w:r>
        <w:rPr>
          <w:rFonts w:ascii="Arial" w:cs="Arial" w:eastAsia="Arial" w:hAnsi="Arial"/>
          <w:sz w:val="18"/>
          <w:szCs w:val="18"/>
          <w:color w:val="auto"/>
        </w:rPr>
        <w:t>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Offerings</w:t>
      </w:r>
      <w:r>
        <w:rPr>
          <w:rFonts w:ascii="Arial" w:cs="Arial" w:eastAsia="Arial" w:hAnsi="Arial"/>
          <w:sz w:val="18"/>
          <w:szCs w:val="18"/>
          <w:color w:val="auto"/>
        </w:rPr>
        <w:t>” means any public or private sale after the issue date of Capital Stock of the Parent Guarantor or Clearway Inc., the proceeds of which have been contributed to Clearway Operating LLC as common equity, other than:</w:t>
      </w:r>
    </w:p>
    <w:p>
      <w:pPr>
        <w:spacing w:after="0" w:line="170" w:lineRule="exact"/>
        <w:rPr>
          <w:sz w:val="20"/>
          <w:szCs w:val="20"/>
          <w:color w:val="auto"/>
        </w:rPr>
      </w:pPr>
    </w:p>
    <w:p>
      <w:pPr>
        <w:ind w:left="920" w:hanging="264"/>
        <w:spacing w:after="0"/>
        <w:tabs>
          <w:tab w:leader="none" w:pos="9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public offerings with respect to Clearway Inc.’s common stock registered on Form S-4 or Form S-8;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issuances to any Subsidiary of Clearway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Agreement</w:t>
      </w:r>
      <w:r>
        <w:rPr>
          <w:rFonts w:ascii="Arial" w:cs="Arial" w:eastAsia="Arial" w:hAnsi="Arial"/>
          <w:sz w:val="18"/>
          <w:szCs w:val="18"/>
          <w:color w:val="auto"/>
        </w:rPr>
        <w:t>” means the Amended and Restated Exchange Agreement, dated as of May 14, 2015 by and among Global Infrastructure Investors III, LLC (as successor in interest to NRG Energy, Inc. pursuant to that certain Assignment and Assumption Agreement, dated as of August 31, 2018), Clearway Inc. and the Parent Guarantor and each of the other parties thereto from time to time, as amended, supplemented or otherwise modified from time to time.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Liens</w:t>
      </w:r>
      <w:r>
        <w:rPr>
          <w:rFonts w:ascii="Arial" w:cs="Arial" w:eastAsia="Arial" w:hAnsi="Arial"/>
          <w:sz w:val="18"/>
          <w:szCs w:val="18"/>
          <w:color w:val="auto"/>
        </w:rPr>
        <w:t>” means Liens on the property or assets of Clearway Operating LLC and/or any of its Subsidiaries existing on the date of the indenture securing Indebtedness of Clearway Operating LLC or any of its Subsidiaries (other than Liens incurred pursuant to clause (1) of the covenant described above under the caption “—Liens”).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operating lease would be recharacterized as a capital lease due to changes in the accounting treatment of such operating leases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GAAP since the issue date, then solely with respect to the accounting treatment of any such lease, GAAP shall be interpreted as it was in effect on the issue date.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the issuer’s option.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225" w:lineRule="exact"/>
        <w:rPr>
          <w:sz w:val="20"/>
          <w:szCs w:val="20"/>
          <w:color w:val="auto"/>
        </w:rPr>
      </w:pPr>
    </w:p>
    <w:p>
      <w:pPr>
        <w:ind w:left="920" w:hanging="264"/>
        <w:spacing w:after="0"/>
        <w:tabs>
          <w:tab w:leader="none" w:pos="9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Parent Guarantor;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Subsidiary Guarantors, until such time as they are released pursuant to the provisions of the indenture; and</w:t>
      </w:r>
    </w:p>
    <w:p>
      <w:pPr>
        <w:spacing w:after="0" w:line="225" w:lineRule="exact"/>
        <w:rPr>
          <w:rFonts w:ascii="Arial" w:cs="Arial" w:eastAsia="Arial" w:hAnsi="Arial"/>
          <w:sz w:val="18"/>
          <w:szCs w:val="18"/>
          <w:color w:val="auto"/>
        </w:rPr>
      </w:pPr>
    </w:p>
    <w:p>
      <w:pPr>
        <w:ind w:left="660" w:right="540" w:hanging="4"/>
        <w:spacing w:after="0" w:line="530" w:lineRule="auto"/>
        <w:tabs>
          <w:tab w:leader="none" w:pos="91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any other Person that executes a Guarantee in accordance with the provisions of the indenture, and their respective successors and assigns. “</w:t>
      </w:r>
      <w:r>
        <w:rPr>
          <w:rFonts w:ascii="Arial" w:cs="Arial" w:eastAsia="Arial" w:hAnsi="Arial"/>
          <w:sz w:val="17"/>
          <w:szCs w:val="17"/>
          <w:i w:val="1"/>
          <w:iCs w:val="1"/>
          <w:color w:val="auto"/>
        </w:rPr>
        <w:t>Hedging Obligations</w:t>
      </w:r>
      <w:r>
        <w:rPr>
          <w:rFonts w:ascii="Arial" w:cs="Arial" w:eastAsia="Arial" w:hAnsi="Arial"/>
          <w:sz w:val="17"/>
          <w:szCs w:val="17"/>
          <w:color w:val="auto"/>
        </w:rPr>
        <w:t>” means, with respect to any specified Person, the obligations of such Person under:</w:t>
      </w:r>
    </w:p>
    <w:p>
      <w:pPr>
        <w:spacing w:after="0" w:line="1" w:lineRule="exact"/>
        <w:rPr>
          <w:sz w:val="20"/>
          <w:szCs w:val="20"/>
          <w:color w:val="auto"/>
        </w:rPr>
      </w:pPr>
    </w:p>
    <w:p>
      <w:pPr>
        <w:ind w:left="660" w:hanging="4"/>
        <w:spacing w:after="0" w:line="277" w:lineRule="auto"/>
        <w:tabs>
          <w:tab w:leader="none" w:pos="93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jc w:val="both"/>
        <w:ind w:left="660" w:hanging="4"/>
        <w:spacing w:after="0" w:line="257" w:lineRule="auto"/>
        <w:tabs>
          <w:tab w:leader="none" w:pos="93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except as provided in clause (5) below), whether or not contingent: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 respect of borrowed money;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(2)evidenced by bonds, notes, debentures or similar instruments or letters of credit (or reimbursement agreements in respect thereof);</w:t>
      </w:r>
    </w:p>
    <w:p>
      <w:pPr>
        <w:spacing w:after="0" w:line="225" w:lineRule="exact"/>
        <w:rPr>
          <w:sz w:val="20"/>
          <w:szCs w:val="20"/>
          <w:color w:val="auto"/>
        </w:rPr>
      </w:pPr>
    </w:p>
    <w:p>
      <w:pPr>
        <w:ind w:left="920" w:hanging="264"/>
        <w:spacing w:after="0"/>
        <w:tabs>
          <w:tab w:leader="none" w:pos="9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660" w:hanging="4"/>
        <w:spacing w:after="0" w:line="277" w:lineRule="auto"/>
        <w:tabs>
          <w:tab w:leader="none" w:pos="92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70" w:lineRule="exact"/>
        <w:rPr>
          <w:rFonts w:ascii="Arial" w:cs="Arial" w:eastAsia="Arial" w:hAnsi="Arial"/>
          <w:sz w:val="18"/>
          <w:szCs w:val="18"/>
          <w:color w:val="auto"/>
        </w:rPr>
      </w:pPr>
    </w:p>
    <w:p>
      <w:pPr>
        <w:ind w:left="660" w:hanging="4"/>
        <w:spacing w:after="0" w:line="308" w:lineRule="auto"/>
        <w:tabs>
          <w:tab w:leader="none" w:pos="91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ectPr>
          <w:pgSz w:w="11900" w:h="16838" w:orient="portrait"/>
          <w:cols w:equalWidth="0" w:num="1">
            <w:col w:w="11420"/>
          </w:cols>
          <w:pgMar w:left="240" w:top="125" w:right="239" w:bottom="89" w:gutter="0" w:footer="0" w:header="0"/>
        </w:sectPr>
      </w:pPr>
    </w:p>
    <w:bookmarkStart w:id="177" w:name="page178"/>
    <w:bookmarkEnd w:id="177"/>
    <w:p>
      <w:pPr>
        <w:jc w:val="both"/>
        <w:ind w:firstLine="648"/>
        <w:spacing w:after="0" w:line="259"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August 5,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w:t>
      </w:r>
    </w:p>
    <w:p>
      <w:pPr>
        <w:spacing w:after="0" w:line="225" w:lineRule="exact"/>
        <w:rPr>
          <w:sz w:val="20"/>
          <w:szCs w:val="20"/>
          <w:color w:val="auto"/>
        </w:rPr>
      </w:pPr>
    </w:p>
    <w:p>
      <w:pPr>
        <w:ind w:left="660" w:hanging="4"/>
        <w:spacing w:after="0" w:line="277" w:lineRule="auto"/>
        <w:tabs>
          <w:tab w:leader="none" w:pos="95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9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left="660" w:hanging="4"/>
        <w:spacing w:after="0" w:line="277" w:lineRule="auto"/>
        <w:tabs>
          <w:tab w:leader="none" w:pos="91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as of any date, any series of Indebtedness with an aggregate principal amount outstanding in excess of the greater of (i) 1.5% of Total Assets, as of such date, and (ii) $75.0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entity.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Necessary CapEx Debt</w:t>
      </w:r>
      <w:r>
        <w:rPr>
          <w:rFonts w:ascii="Arial" w:cs="Arial" w:eastAsia="Arial" w:hAnsi="Arial"/>
          <w:sz w:val="18"/>
          <w:szCs w:val="18"/>
          <w:color w:val="auto"/>
        </w:rPr>
        <w:t>” means Indebtedness of Clearway Operating LLC or any of its Subsidiaries incurred for the purpose of financing capital expenditures (other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as to which neither Clearway Operating LLC, the Parent Guarantor nor any Subsidiaries of Clearway Operating LLC is liable as a guarantor or otherwise.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Guarantee</w:t>
      </w:r>
      <w:r>
        <w:rPr>
          <w:rFonts w:ascii="Arial" w:cs="Arial" w:eastAsia="Arial" w:hAnsi="Arial"/>
          <w:sz w:val="18"/>
          <w:szCs w:val="18"/>
          <w:color w:val="auto"/>
        </w:rPr>
        <w:t>” means the Guarantee by the Parent Guarantor of Clearway Operating LLC’s obligations under the indenture and on the notes, executed pursuant to the provisions of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Clearway LLC and its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any building, structure or other facility, and all related property, plant or equipment or other long-term assets used or useful in the ownership, development, construction or operation of such building, structure or other facility owned or leased by Clearway Operating LLC or any Guarantor and having a net book value in excess of 2.0% of Total Assets, except any such building, structure or other facility (or related property, plant or equipment) that in the opinion of the Board of Directors is not of material importance to the business conducted by Clearway Operating LLC and its consolidated Subsidiaries, taken as a whole.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 Forma Cost Savings</w:t>
      </w:r>
      <w:r>
        <w:rPr>
          <w:rFonts w:ascii="Arial" w:cs="Arial" w:eastAsia="Arial" w:hAnsi="Arial"/>
          <w:sz w:val="17"/>
          <w:szCs w:val="17"/>
          <w:color w:val="auto"/>
        </w:rPr>
        <w:t>” means, without duplication, with respect to any period, reductions in costs and related adjustments that have been actually realized or are projected by Clearway Operating LLC’s Chief Financial Officer in good faith to result from reasonably identifiable and factually supportable actions or events, but only to the extent such reductions in costs and related adjustments are so projected by Clearway Operating LLC to be realized prior to the end of the consecutive four-quarter period commencing after the transaction giving rise to such calculation.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Debt</w:t>
      </w:r>
      <w:r>
        <w:rPr>
          <w:rFonts w:ascii="Arial" w:cs="Arial" w:eastAsia="Arial" w:hAnsi="Arial"/>
          <w:sz w:val="18"/>
          <w:szCs w:val="18"/>
          <w:color w:val="auto"/>
        </w:rPr>
        <w:t xml:space="preserve">” means Indebtedness of one or more Project Subsidiaries incurred for the purpose of holding, constructing or acquiring power generation facilities or related or ancillary assets or properties;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Clearway Operating LLC is not liable with respect to such Indebtedness except to the extent of a non-recourse pledge of equity interests in one or more Project Subsidiaries.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Project Subsidiary</w:t>
      </w:r>
      <w:r>
        <w:rPr>
          <w:rFonts w:ascii="Arial" w:cs="Arial" w:eastAsia="Arial" w:hAnsi="Arial"/>
          <w:sz w:val="17"/>
          <w:szCs w:val="17"/>
          <w:color w:val="auto"/>
        </w:rPr>
        <w:t xml:space="preserve">” means any Subsidiary of Clearway Operating LLC held for the purpose of holding, constructing or acquiring power generation facilities or related or ancillary assets or properties and any Subsidiary of Clearway Operating LLC whose assets consist primarily of equity interests in one or more other Project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Subsidiary will cease to be a Project Subsidiary if it Guarantees any Indebtedness of Clearway Operating LLC other than obligations of Clearway Operating LLC related to Project Debt of one or more Project Subsidiaries.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Refinancing Liens</w:t>
      </w:r>
      <w:r>
        <w:rPr>
          <w:rFonts w:ascii="Arial" w:cs="Arial" w:eastAsia="Arial" w:hAnsi="Arial"/>
          <w:sz w:val="17"/>
          <w:szCs w:val="17"/>
          <w:color w:val="auto"/>
        </w:rPr>
        <w:t xml:space="preserve">” means Liens granted in connection with amending, extending, modifying, renewing, replacing, refunding or refinancing in whole or in part any Indebtedness secured by Liens described in clauses (2) through (10) of the covenant described above under the caption “—Liens;”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Refinancing Liens do not (a) extend to property or assets other than property or assets of the type that were subject to the original Lien or (b)</w:t>
      </w:r>
      <w:r>
        <w:rPr>
          <w:rFonts w:ascii="Arial" w:cs="Arial" w:eastAsia="Arial" w:hAnsi="Arial"/>
          <w:sz w:val="17"/>
          <w:szCs w:val="17"/>
          <w:i w:val="1"/>
          <w:iCs w:val="1"/>
          <w:color w:val="auto"/>
        </w:rPr>
        <w:t xml:space="preserve"> </w:t>
      </w:r>
      <w:r>
        <w:rPr>
          <w:rFonts w:ascii="Arial" w:cs="Arial" w:eastAsia="Arial" w:hAnsi="Arial"/>
          <w:sz w:val="17"/>
          <w:szCs w:val="17"/>
          <w:color w:val="auto"/>
        </w:rPr>
        <w:t>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Group or any successor entity.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date of the indenture.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Stated Maturity</w:t>
      </w:r>
      <w:r>
        <w:rPr>
          <w:rFonts w:ascii="Arial" w:cs="Arial" w:eastAsia="Arial" w:hAnsi="Arial"/>
          <w:sz w:val="17"/>
          <w:szCs w:val="17"/>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ectPr>
          <w:pgSz w:w="11900" w:h="16838" w:orient="portrait"/>
          <w:cols w:equalWidth="0" w:num="1">
            <w:col w:w="11420"/>
          </w:cols>
          <w:pgMar w:left="240" w:top="125" w:right="239" w:bottom="0" w:gutter="0" w:footer="0" w:header="0"/>
        </w:sectPr>
      </w:pPr>
    </w:p>
    <w:bookmarkStart w:id="178" w:name="page179"/>
    <w:bookmarkEnd w:id="17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jc w:val="both"/>
        <w:ind w:left="660" w:hanging="4"/>
        <w:spacing w:after="0" w:line="302" w:lineRule="auto"/>
        <w:tabs>
          <w:tab w:leader="none" w:pos="94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54" w:lineRule="exact"/>
        <w:rPr>
          <w:rFonts w:ascii="Arial" w:cs="Arial" w:eastAsia="Arial" w:hAnsi="Arial"/>
          <w:sz w:val="16"/>
          <w:szCs w:val="16"/>
          <w:color w:val="auto"/>
        </w:rPr>
      </w:pPr>
    </w:p>
    <w:p>
      <w:pPr>
        <w:ind w:left="660" w:hanging="4"/>
        <w:spacing w:after="0" w:line="308" w:lineRule="auto"/>
        <w:tabs>
          <w:tab w:leader="none" w:pos="91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Guarantee</w:t>
      </w:r>
      <w:r>
        <w:rPr>
          <w:rFonts w:ascii="Arial" w:cs="Arial" w:eastAsia="Arial" w:hAnsi="Arial"/>
          <w:sz w:val="18"/>
          <w:szCs w:val="18"/>
          <w:color w:val="auto"/>
        </w:rPr>
        <w:t>” means the Guarantee by each Subsidiary Guarantor of Clearway Operating LLC’s obligations under the indenture and on the notes, executed pursuant to the provisions of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“Subsidiary Guarantors” means:</w:t>
      </w:r>
    </w:p>
    <w:p>
      <w:pPr>
        <w:spacing w:after="0" w:line="225" w:lineRule="exact"/>
        <w:rPr>
          <w:sz w:val="20"/>
          <w:szCs w:val="20"/>
          <w:color w:val="auto"/>
        </w:rPr>
      </w:pPr>
    </w:p>
    <w:p>
      <w:pPr>
        <w:ind w:left="660" w:right="20" w:hanging="4"/>
        <w:spacing w:after="0" w:line="277" w:lineRule="auto"/>
        <w:tabs>
          <w:tab w:leader="none" w:pos="93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of Clearway Operating LLC’s Wholly Owned Subsidiaries that Guarantees the notes on the date of the indenture, until such time as it is released pursuant to the provisions of the indenture; and</w:t>
      </w:r>
    </w:p>
    <w:p>
      <w:pPr>
        <w:spacing w:after="0" w:line="170" w:lineRule="exact"/>
        <w:rPr>
          <w:rFonts w:ascii="Arial" w:cs="Arial" w:eastAsia="Arial" w:hAnsi="Arial"/>
          <w:sz w:val="18"/>
          <w:szCs w:val="18"/>
          <w:color w:val="auto"/>
        </w:rPr>
      </w:pPr>
    </w:p>
    <w:p>
      <w:pPr>
        <w:ind w:left="660" w:hanging="4"/>
        <w:spacing w:after="0" w:line="277" w:lineRule="auto"/>
        <w:tabs>
          <w:tab w:leader="none" w:pos="91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the indenture, and their respective successors and assigns.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means, as of any date of determination, the total consolidated assets of Clearway Operating LLC and its Subsidiaries, determined on a consolidated basis in accordance with GAAP, as shown on the most recent publicly available balance sheet of Clearway Operating LLC as of such date.</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Secured Debt</w:t>
      </w:r>
      <w:r>
        <w:rPr>
          <w:rFonts w:ascii="Arial" w:cs="Arial" w:eastAsia="Arial" w:hAnsi="Arial"/>
          <w:sz w:val="18"/>
          <w:szCs w:val="18"/>
          <w:color w:val="auto"/>
        </w:rPr>
        <w:t xml:space="preserve">” means, as of any date of determination, the aggregate principal amount of Indebtedness of Clearway Operating LLC and the Guarantors outstanding on such date that is secured by a Lien on any property or assets of Clearway Operating LLC or any of the Guarantors (including Capital Stock of Subsidiaries of Clearway Operating LLC or Indebtedness of Subsidiaries of Clearway Operating LLC);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Total Secured Debt will include only the amount of payments that Clearway Operating LLC or any of the Guarantors would be required to make, on the date Total Secured Debt is being determined, in the event of any early termination or similar event on such date of determination and (ii) for the avoidance of doubt, Total Secured Debt will not include the undrawn amount of any outstanding letters of credit.</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August 15, 2019;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the redemption date to August 15, 2019 is less than one year, the weekly average yield on actually traded United States Treasury securities adjusted to a constant maturity of one year will be used.</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means, with respect to any specified Person, a direct or indirect Subsidiary of such Person, 100% of the outstanding Capital Stock or other ownership interests of which is at the time owned by such Person or by one or more Wholly Owned Subsidiaries of such Person.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Clearway Operating LLC’s 5.750% Senior Notes due 2025</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description of Clearway Operating LLC’s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 as of December 31, 2019. In this description, “Clearway Operating LLC” refers only to Clearway Energy Operating LLC and not to any of its subsidiaries or parent entities.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Clearway Operating LLC issued the notes under an indenture among Clearway Operating LLC, the Guarantors named therein and Delaware Trust Company, as trustee.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statements under this caption relating to the indenture and the notes are summaries and are not a complete description thereof, and where reference is made to particular provisions, such provisions, including the definitions of certain terms, are qualified in their entirety by reference to all of the provisions of the indenture and the notes and those terms made part of the indenture by the Trust Indenture Act of 1939, as amended (the “</w:t>
      </w:r>
      <w:r>
        <w:rPr>
          <w:rFonts w:ascii="Arial" w:cs="Arial" w:eastAsia="Arial" w:hAnsi="Arial"/>
          <w:sz w:val="17"/>
          <w:szCs w:val="17"/>
          <w:i w:val="1"/>
          <w:iCs w:val="1"/>
          <w:color w:val="auto"/>
        </w:rPr>
        <w:t>Trust Indenture</w:t>
      </w:r>
      <w:r>
        <w:rPr>
          <w:rFonts w:ascii="Arial" w:cs="Arial" w:eastAsia="Arial" w:hAnsi="Arial"/>
          <w:sz w:val="17"/>
          <w:szCs w:val="17"/>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The definitions of certain capitalized terms used in the following summary are set forth under the caption “—Certain Definitions.” Terms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“Description of Clearway Operating LLC’s 5.750% Senior Notes due 2024” section are defined only for the purpose of this section. Certain defined terms used in this description but not defined below under “—Certain Definitions” have the meanings assigned to them in the indenture. The indenture is an exhibit to this Annual Report on Form 10-K and is incorporated by reference herein. In addition, copies of the indenture are available upon request from Clearway Inc. References in this section to any subsections are references only to subsections of this section.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registered holder of a note is treated as the owner of it for all purposes. Only registered holders of notes have rights under the indenture.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1300" w:hanging="64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are general unsecured obligations of Clearway Operating LLC;</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Clearway Operating LLC, including Clearway Operating LLC’s Indebtedness under the Credit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are senior in right of payment to any future subordinated Indebtedness of Clearway Operating LLC;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are unconditionally guaranteed on a joint and several basis by the Guarantors.</w:t>
      </w:r>
    </w:p>
    <w:p>
      <w:pPr>
        <w:sectPr>
          <w:pgSz w:w="11900" w:h="16838" w:orient="portrait"/>
          <w:cols w:equalWidth="0" w:num="1">
            <w:col w:w="11420"/>
          </w:cols>
          <w:pgMar w:left="240" w:top="193" w:right="239" w:bottom="0" w:gutter="0" w:footer="0" w:header="0"/>
        </w:sectPr>
      </w:pPr>
    </w:p>
    <w:bookmarkStart w:id="179" w:name="page180"/>
    <w:bookmarkEnd w:id="179"/>
    <w:p>
      <w:pPr>
        <w:spacing w:after="0" w:line="1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notes are effectively subordinated to all borrowings under the Credit Agreement, which is secured by substantially all of the assets of Clearway Operating LLC and the Guarantors, and any other secured Indebtedness (including any secured Hedging Obligations) of Clearway Operating LLC or the Guarantors, in each case to the extent of the value of the assets that secure the Credit Agreement or such other secured Indebtedness.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Parent Guarantor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are guaranteed by Clearway LLC (the “</w:t>
      </w:r>
      <w:r>
        <w:rPr>
          <w:rFonts w:ascii="Arial" w:cs="Arial" w:eastAsia="Arial" w:hAnsi="Arial"/>
          <w:sz w:val="18"/>
          <w:szCs w:val="18"/>
          <w:i w:val="1"/>
          <w:iCs w:val="1"/>
          <w:color w:val="auto"/>
        </w:rPr>
        <w:t>Parent Guarantor</w:t>
      </w:r>
      <w:r>
        <w:rPr>
          <w:rFonts w:ascii="Arial" w:cs="Arial" w:eastAsia="Arial" w:hAnsi="Arial"/>
          <w:sz w:val="18"/>
          <w:szCs w:val="18"/>
          <w:color w:val="auto"/>
        </w:rPr>
        <w:t>”). The Parent Guarantee of the notes:</w:t>
      </w:r>
    </w:p>
    <w:p>
      <w:pPr>
        <w:spacing w:after="0" w:line="225" w:lineRule="exact"/>
        <w:rPr>
          <w:sz w:val="20"/>
          <w:szCs w:val="20"/>
          <w:color w:val="auto"/>
        </w:rPr>
      </w:pPr>
    </w:p>
    <w:p>
      <w:pPr>
        <w:ind w:left="1300" w:hanging="64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 a general unsecured obligation of the Parent Guarantor;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the Parent Guarantor, including the Parent Guarantor’s guarantee under the Credit Agreement;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 senior in right of payment to any future subordinated Indebtedness of the Parent Guarantor.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However, the Parent Guarantor’s guarantee of the notes is effectively subordinated to the Parent Guarantor’s guarantee under the Credit Agreement and any other secured Indebtedness of the Parent Guarantor (including any secured Hedging Obligations), in each case, to the extent of the value of the assets of the Parent Guarantor that secure the Credit Agreement or such other secured Indebtedness.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Subsidiary Guarantors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the Parent Guarantee, the notes are guaranteed by each Wholly Owned Subsidiary of Clearway Operating LLC that guarantees any obligations of Clearway Operating LLC under the Credit Agreement of Clearway Operating LLC. Each Subsidiary Guarantee of the notes:</w:t>
      </w:r>
    </w:p>
    <w:p>
      <w:pPr>
        <w:spacing w:after="0" w:line="147" w:lineRule="exact"/>
        <w:rPr>
          <w:sz w:val="20"/>
          <w:szCs w:val="20"/>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is a general unsecured obligation of the Subsidiary Guarantor;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that Subsidiary Guarantor, including such Subsidiary Guarantor’s guarantee under the Credit Agreement;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is senior in right of payment to any future subordinated Indebtedness of that Subsidiary Guarantor.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each Subsidiary Guarantor’s guarantee of the notes is effectively subordinated to such Subsidiary Guarantor’s guarantee under the Credit Agreement and any other secured Indebtedness of such Subsidiary Guarantor (including any secured Hedging Obligations), in each case, to the extent of the value of the assets of such Subsidiary Guarantor that secure the Credit Agreement or such other secured Indebtedness.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operations of Clearway Operating LLC are primarily conducted through its subsidiaries and, therefore, Clearway Operating LLC depends on the cash flow of its subsidiaries to meet its obligations, including its obligations under the notes. Not all of Clearway Operating LLC’s subsidiaries guarantee the notes. The notes are effectively subordinated in right of payment to all Indebtedness and other liabilities and commitments (including trade payables, lease obligations, project financing and other indebtedness for borrowed money and Hedging Obligations) of these non-guarantor subsidiaries. Any right of Clearway Operating LLC to receive assets of any of its subsidiaries upon the subsidiary’s liquidation or reorganization (and the consequent right of the holders of notes to participate in those assets) is effectively subordinated to the claims of that subsidiary’s creditors, except to the extent that Clearway Operating LLC is itself recognized as a creditor of the subsidiary, in which case its claims would still be subordinated in right of payment to any security in the assets of the subsidiary and any indebtedness of the subsidiary senior to that held by Clearway Operating LLC.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Clearway Operating LLC issued $600.0 million aggregate principal amount of notes on the issue date. Clearway Operating LLC may issue additional notes of the same series under the indenture from time to time after the issue date. Any issuance of additional notes is subject to all of the covenants in the indenture. The notes and any additional notes of the same series subsequently issued under the indenture are treated as a single class for all purposes under the indenture, including, without limitation, waivers, amendments, redemptions and offers to purchase.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Clearway Operating LLC issued notes in denominations of $2,000 and integral multiples of $1,000 in excess thereof. The notes will mature on October 15, 2025.</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accrues at the rate of 5.750% per annum and is payable semi-annually in arrears on April 15 and October 15 of each year. Clearway Operating LLC makes each interest payment to the holders of record on the immediately preceding April 1 and October 1,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on the notes accrues from the date it was most recently paid. Interest is computed on the basis of a 360-day year comprised of twelve 30-day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holder of notes has given wire transfer instructions to Clearway Operating LLC, Clearway Operating LLC pays or causes to be paid all principal, interest and premium on that holder’s notes in accordance with those instructions. All other payments on notes are made at the office or agency of the paying agent and registrar within the City and State of New York unless Clearway Operating LLC elects to make interest payments by check mailed to the holders of the notes at their address set forth in the register of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acts as paying agent and registrar. Clearway Operating LLC may change the paying agent or registrar without prior notice to the holders of the notes, and Clearway Operating LLC or any of its Subsidiaries or parent entities may act as paying agent or registrar.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of the notes will be required</w:t>
      </w:r>
    </w:p>
    <w:p>
      <w:pPr>
        <w:sectPr>
          <w:pgSz w:w="11900" w:h="16975" w:orient="portrait"/>
          <w:cols w:equalWidth="0" w:num="1">
            <w:col w:w="11420"/>
          </w:cols>
          <w:pgMar w:left="240" w:top="260" w:right="239" w:bottom="0" w:gutter="0" w:footer="0" w:header="0"/>
        </w:sectPr>
      </w:pPr>
    </w:p>
    <w:bookmarkStart w:id="180" w:name="page181"/>
    <w:bookmarkEnd w:id="180"/>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pay all taxes due on transfer. Clearway Operating LLC is not required to transfer or exchange any note selected for redemption. Also, Clearway Operating LLC is not required to transfer or exchange any note for a period of 15 days before a selection of notes to be redeemed.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Guarantee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Clearway Operating LLC’s payment obligations under the notes are guaranteed on a full and unconditional basis by the Parent Guarantor. The obligations of the Parent Guarantor under the Parent Guarantee are limited as necessary to prevent the Parent Guarantee from constituting a fraudulent conveyance under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Clearway Operating LLC’s payment obligations under the notes are guaranteed on a full and unconditional basis by each of the Subsidiary Guarantors. These Subsidiary Guarantees are joint and several obligations of the Subsidiary Guarantors. The obligations of each Subsidiary Guarantor under its Subsidiary Guarantee are limited as necessary to prevent that Subsidiary Guarantee from constituting a fraudulent conveyance under Applicable Law.</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Subsidiary Guarantee of a Subsidiary Guarantor will be released automatically:</w:t>
      </w:r>
    </w:p>
    <w:p>
      <w:pPr>
        <w:spacing w:after="0" w:line="225" w:lineRule="exact"/>
        <w:rPr>
          <w:sz w:val="20"/>
          <w:szCs w:val="20"/>
          <w:color w:val="auto"/>
        </w:rPr>
      </w:pPr>
    </w:p>
    <w:p>
      <w:pPr>
        <w:jc w:val="both"/>
        <w:ind w:left="660" w:hanging="4"/>
        <w:spacing w:after="0" w:line="264" w:lineRule="auto"/>
        <w:tabs>
          <w:tab w:leader="none" w:pos="92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Clearway Operating LLC or a Subsidiary of Clearway Operating LLC;</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1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Subsidiary Guarantor to a Person that is not (either before or after giving effect to such transaction) Clearway Operating LLC or a Subsidiary of Clearway Operating LLC, if following such sale or other disposition, that Subsidiary Guarantor is no longer a direct or indirect Subsidiary of Clearway Operating LLC;</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rFonts w:ascii="Arial" w:cs="Arial" w:eastAsia="Arial" w:hAnsi="Arial"/>
          <w:sz w:val="18"/>
          <w:szCs w:val="18"/>
          <w:color w:val="auto"/>
        </w:rPr>
      </w:pPr>
    </w:p>
    <w:p>
      <w:pPr>
        <w:ind w:left="660" w:hanging="4"/>
        <w:spacing w:after="0" w:line="277" w:lineRule="auto"/>
        <w:tabs>
          <w:tab w:leader="none" w:pos="91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upon defeasance or satisfaction and discharge of the notes as provided below under the captions “—Legal Defeasance and Covenant Defeasance” and “—Satisfaction and Discharge;”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the indenture;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upon the prior consent of holders of at least a majority in aggregate principal amount of the notes then outstanding;</w:t>
      </w:r>
    </w:p>
    <w:p>
      <w:pPr>
        <w:spacing w:after="0" w:line="225" w:lineRule="exact"/>
        <w:rPr>
          <w:rFonts w:ascii="Arial" w:cs="Arial" w:eastAsia="Arial" w:hAnsi="Arial"/>
          <w:sz w:val="18"/>
          <w:szCs w:val="18"/>
          <w:color w:val="auto"/>
        </w:rPr>
      </w:pPr>
    </w:p>
    <w:p>
      <w:pPr>
        <w:jc w:val="both"/>
        <w:ind w:left="1300" w:firstLine="5"/>
        <w:spacing w:after="0" w:line="273" w:lineRule="auto"/>
        <w:tabs>
          <w:tab w:leader="none" w:pos="157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if Clearway Operating LLC has Indebtedness outstanding under the Credit Agreement at that time, upon the consent of the requisite lenders under the Credit Agreement to the release of such Subsidiary Guarantor’s Guarantee of all Obligations under the Credit Agreement, or, if there is no Indebtedness of Clearway Operating LLC outstanding under the Credit Agreement at that time, upon the requisite consent of the holders of all other Material Indebtedness of Clearway Operating LLC that is guaranteed by such Subsidiary Guarantor at that time outstanding to the release of such Subsidiary Guarantor’s Guarantee of all Obligations with respect to all such other Material Indebtedness that is guaranteed by such Subsidiary Guarantor at that time; or</w:t>
      </w:r>
    </w:p>
    <w:p>
      <w:pPr>
        <w:spacing w:after="0" w:line="178" w:lineRule="exact"/>
        <w:rPr>
          <w:rFonts w:ascii="Arial" w:cs="Arial" w:eastAsia="Arial" w:hAnsi="Arial"/>
          <w:sz w:val="17"/>
          <w:szCs w:val="17"/>
          <w:color w:val="auto"/>
        </w:rPr>
      </w:pPr>
    </w:p>
    <w:p>
      <w:pPr>
        <w:jc w:val="both"/>
        <w:ind w:left="1300" w:firstLine="5"/>
        <w:spacing w:after="0" w:line="302" w:lineRule="auto"/>
        <w:tabs>
          <w:tab w:leader="none" w:pos="155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if Clearway Operating LLC has Indebtedness outstanding under the Credit Agreement at that time, upon the release of such Subsidiary Guarantor’s Guarantee of all Obligations of Clearway Operating LLC under the Credit Agreement, or, if there is no Indebtedness of Clearway Operating LLC outstanding under the Credit Agreement at that time, upon the release of such Subsidiary Guarantor’s Guarantee of all Obligations with respect to all other Material Indebtedness of Clearway Operating LLC at that time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At any time prior to October 15, 2021, Clearway Operating LLC may on any one or more occasions redeem up to 35% of the aggregate principal amount of the notes, upon not less than 15 nor more than 60 days’ prior notice, at a redemption price equal to 105.750%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54" w:lineRule="exact"/>
        <w:rPr>
          <w:sz w:val="20"/>
          <w:szCs w:val="20"/>
          <w:color w:val="auto"/>
        </w:rPr>
      </w:pPr>
    </w:p>
    <w:p>
      <w:pPr>
        <w:ind w:left="660" w:hanging="4"/>
        <w:spacing w:after="0" w:line="277" w:lineRule="auto"/>
        <w:tabs>
          <w:tab w:leader="none" w:pos="94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 least 65% of the aggregate principal amount of the notes issued on the isue date (excluding notes held by Clearway Operating LLC, its Subsidiaries and parent entities) remains outstanding immediately after the occurrence of such redemption;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any time prior to October 15, 2021, Clearway Operating LLC may on any one or more occasions redeem all or a part of the notes, upon not less than 15 nor more than 60 days’ prior notice, at a redemption price equal to 100% of the principal amount of notes redeemed plus the Applicable Premium as of, and accrued and unpaid interest, if any, to, the redemption date, subject to the rights of holders of notes on the relevant record date to receive interest due on the relevant interest payment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pursuant to the preceding paragraphs, the notes will not be redeemable at Clearway Operating LLC’s option prior to October 15, 2021.</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or after October 15, 2021, Clearway Operating LLC may on any one or more occasions redeem all or a part of the notes upon not less than 15 nor more than 60 days’ prior notice, at the redemption prices (expressed as percentages of principal amount) set forth below plus accrued and unpaid interest, if any, on the notes redeemed, to the applicable redemption date, if redeemed during the 12-month period beginning on October 15 of the years indicated below, subject to the rights of holders of notes on the relevant record date to receive interest on the relevant interest payment date.</w:t>
      </w:r>
    </w:p>
    <w:p>
      <w:pPr>
        <w:spacing w:after="0" w:line="31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w:t>
            </w:r>
          </w:p>
        </w:tc>
        <w:tc>
          <w:tcPr>
            <w:tcW w:w="43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Percentage</w:t>
            </w:r>
          </w:p>
        </w:tc>
      </w:tr>
      <w:tr>
        <w:trPr>
          <w:trHeight w:val="48"/>
        </w:trPr>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3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3680" w:type="dxa"/>
            <w:vAlign w:val="bottom"/>
            <w:tcBorders>
              <w:bottom w:val="single" w:sz="8" w:color="B6DDE8"/>
            </w:tcBorders>
            <w:gridSpan w:val="3"/>
            <w:shd w:val="clear" w:color="auto" w:fill="B6DDE8"/>
          </w:tcPr>
          <w:p>
            <w:pPr>
              <w:ind w:left="20"/>
              <w:spacing w:after="0"/>
              <w:rPr>
                <w:sz w:val="20"/>
                <w:szCs w:val="20"/>
                <w:color w:val="auto"/>
              </w:rPr>
            </w:pPr>
            <w:r>
              <w:rPr>
                <w:rFonts w:ascii="Arial" w:cs="Arial" w:eastAsia="Arial" w:hAnsi="Arial"/>
                <w:sz w:val="18"/>
                <w:szCs w:val="18"/>
                <w:color w:val="auto"/>
              </w:rPr>
              <w:t>2021</w:t>
            </w:r>
          </w:p>
        </w:tc>
        <w:tc>
          <w:tcPr>
            <w:tcW w:w="4340" w:type="dxa"/>
            <w:vAlign w:val="bottom"/>
            <w:tcBorders>
              <w:bottom w:val="single" w:sz="8" w:color="B6DDE8"/>
            </w:tcBorders>
            <w:gridSpan w:val="3"/>
            <w:shd w:val="clear" w:color="auto" w:fill="B6DDE8"/>
          </w:tcPr>
          <w:p>
            <w:pPr>
              <w:jc w:val="right"/>
              <w:ind w:right="40"/>
              <w:spacing w:after="0"/>
              <w:rPr>
                <w:sz w:val="20"/>
                <w:szCs w:val="20"/>
                <w:color w:val="auto"/>
              </w:rPr>
            </w:pPr>
            <w:r>
              <w:rPr>
                <w:rFonts w:ascii="Arial" w:cs="Arial" w:eastAsia="Arial" w:hAnsi="Arial"/>
                <w:sz w:val="18"/>
                <w:szCs w:val="18"/>
                <w:color w:val="auto"/>
              </w:rPr>
              <w:t>102.875%</w:t>
            </w:r>
          </w:p>
        </w:tc>
      </w:tr>
      <w:tr>
        <w:trPr>
          <w:trHeight w:val="24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2022</w:t>
            </w:r>
          </w:p>
        </w:tc>
        <w:tc>
          <w:tcPr>
            <w:tcW w:w="4340" w:type="dxa"/>
            <w:vAlign w:val="bottom"/>
            <w:gridSpan w:val="3"/>
          </w:tcPr>
          <w:p>
            <w:pPr>
              <w:jc w:val="right"/>
              <w:ind w:right="40"/>
              <w:spacing w:after="0"/>
              <w:rPr>
                <w:sz w:val="20"/>
                <w:szCs w:val="20"/>
                <w:color w:val="auto"/>
              </w:rPr>
            </w:pPr>
            <w:r>
              <w:rPr>
                <w:rFonts w:ascii="Arial" w:cs="Arial" w:eastAsia="Arial" w:hAnsi="Arial"/>
                <w:sz w:val="18"/>
                <w:szCs w:val="18"/>
                <w:color w:val="auto"/>
              </w:rPr>
              <w:t>101.437%</w:t>
            </w:r>
          </w:p>
        </w:tc>
      </w:tr>
      <w:tr>
        <w:trPr>
          <w:trHeight w:val="64"/>
        </w:trPr>
        <w:tc>
          <w:tcPr>
            <w:tcW w:w="20" w:type="dxa"/>
            <w:vAlign w:val="bottom"/>
            <w:tcBorders>
              <w:bottom w:val="single" w:sz="8" w:color="B6DDE8"/>
            </w:tcBorders>
          </w:tcPr>
          <w:p>
            <w:pPr>
              <w:spacing w:after="0"/>
              <w:rPr>
                <w:sz w:val="5"/>
                <w:szCs w:val="5"/>
                <w:color w:val="auto"/>
              </w:rPr>
            </w:pPr>
          </w:p>
        </w:tc>
        <w:tc>
          <w:tcPr>
            <w:tcW w:w="360" w:type="dxa"/>
            <w:vAlign w:val="bottom"/>
            <w:tcBorders>
              <w:bottom w:val="single" w:sz="8" w:color="B6DDE8"/>
            </w:tcBorders>
          </w:tcPr>
          <w:p>
            <w:pPr>
              <w:spacing w:after="0"/>
              <w:rPr>
                <w:sz w:val="5"/>
                <w:szCs w:val="5"/>
                <w:color w:val="auto"/>
              </w:rPr>
            </w:pPr>
          </w:p>
        </w:tc>
        <w:tc>
          <w:tcPr>
            <w:tcW w:w="3300" w:type="dxa"/>
            <w:vAlign w:val="bottom"/>
            <w:tcBorders>
              <w:bottom w:val="single" w:sz="8" w:color="B6DDE8"/>
            </w:tcBorders>
          </w:tcPr>
          <w:p>
            <w:pPr>
              <w:spacing w:after="0"/>
              <w:rPr>
                <w:sz w:val="5"/>
                <w:szCs w:val="5"/>
                <w:color w:val="auto"/>
              </w:rPr>
            </w:pPr>
          </w:p>
        </w:tc>
        <w:tc>
          <w:tcPr>
            <w:tcW w:w="3300" w:type="dxa"/>
            <w:vAlign w:val="bottom"/>
            <w:tcBorders>
              <w:bottom w:val="single" w:sz="8" w:color="B6DDE8"/>
            </w:tcBorders>
          </w:tcPr>
          <w:p>
            <w:pPr>
              <w:spacing w:after="0"/>
              <w:rPr>
                <w:sz w:val="5"/>
                <w:szCs w:val="5"/>
                <w:color w:val="auto"/>
              </w:rPr>
            </w:pPr>
          </w:p>
        </w:tc>
        <w:tc>
          <w:tcPr>
            <w:tcW w:w="860" w:type="dxa"/>
            <w:vAlign w:val="bottom"/>
            <w:tcBorders>
              <w:bottom w:val="single" w:sz="8" w:color="B6DDE8"/>
            </w:tcBorders>
          </w:tcPr>
          <w:p>
            <w:pPr>
              <w:spacing w:after="0"/>
              <w:rPr>
                <w:sz w:val="5"/>
                <w:szCs w:val="5"/>
                <w:color w:val="auto"/>
              </w:rPr>
            </w:pPr>
          </w:p>
        </w:tc>
        <w:tc>
          <w:tcPr>
            <w:tcW w:w="180" w:type="dxa"/>
            <w:vAlign w:val="bottom"/>
            <w:tcBorders>
              <w:bottom w:val="single" w:sz="8" w:color="B6DDE8"/>
            </w:tcBorders>
          </w:tcPr>
          <w:p>
            <w:pPr>
              <w:spacing w:after="0"/>
              <w:rPr>
                <w:sz w:val="5"/>
                <w:szCs w:val="5"/>
                <w:color w:val="auto"/>
              </w:rPr>
            </w:pPr>
          </w:p>
        </w:tc>
      </w:tr>
    </w:tbl>
    <w:p>
      <w:pPr>
        <w:sectPr>
          <w:pgSz w:w="11900" w:h="16900" w:orient="portrait"/>
          <w:cols w:equalWidth="0" w:num="1">
            <w:col w:w="11420"/>
          </w:cols>
          <w:pgMar w:left="240" w:top="125" w:right="239" w:bottom="0" w:gutter="0" w:footer="0" w:header="0"/>
        </w:sectPr>
      </w:pPr>
    </w:p>
    <w:bookmarkStart w:id="181" w:name="page182"/>
    <w:bookmarkEnd w:id="181"/>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43"/>
        </w:trPr>
        <w:tc>
          <w:tcPr>
            <w:tcW w:w="4340" w:type="dxa"/>
            <w:vAlign w:val="bottom"/>
            <w:shd w:val="clear" w:color="auto" w:fill="B6DDE8"/>
          </w:tcPr>
          <w:p>
            <w:pPr>
              <w:ind w:left="20"/>
              <w:spacing w:after="0"/>
              <w:rPr>
                <w:sz w:val="20"/>
                <w:szCs w:val="20"/>
                <w:color w:val="auto"/>
              </w:rPr>
            </w:pPr>
            <w:r>
              <w:rPr>
                <w:rFonts w:ascii="Arial" w:cs="Arial" w:eastAsia="Arial" w:hAnsi="Arial"/>
                <w:sz w:val="18"/>
                <w:szCs w:val="18"/>
                <w:color w:val="auto"/>
              </w:rPr>
              <w:t>2023 and thereafter</w:t>
            </w:r>
          </w:p>
        </w:tc>
        <w:tc>
          <w:tcPr>
            <w:tcW w:w="3680" w:type="dxa"/>
            <w:vAlign w:val="bottom"/>
            <w:shd w:val="clear" w:color="auto" w:fill="B6DDE8"/>
          </w:tcPr>
          <w:p>
            <w:pPr>
              <w:jc w:val="right"/>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Clearway Operating LLC and its affiliates are not prohibited, however, from acquiring the notes in market transactions by means other than a redemption, whether pursuant to a tender offer or otherwise, assuming such action does not otherwise violate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Operating LLC is not required to make mandatory redemption or sinking fund payments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Triggering Event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Change of Control Triggering Event occurs, each holder of notes will have the right to require Clearway Operating LLC to repurchase all or any part (equal to $2,000 or an integral multiple of $1,000 in excess thereof) of that holder’s notes pursuant to a Change of Control Offer on the terms set forth in the indenture.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Change of Control Offer, Clearway Operating LLC will offer a Change of Control Payment in cash equal to 101% of the aggregate principal amount of the notes, plus accrued and unpaid interest, if any, on the notes to the date of purchase, subject to the rights of holders of the notes on the relevant record date to receive interest due on the relevant interest payment date. Within 30 days following any Change of Control Triggering Event, Clearway Operating LLC will mail a notice to each holder describing the transaction or transactions that constitute the Change of Control and offering to repurchase notes on the Change of Control Payment Date specified in the notice, which date will be no earlier than 15 days and no later than 60 days from the date such notice is mailed, pursuant to the procedures required by the indenture and described in such notice. Clearway Operating LLC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Clearway Operating LLC will comply with the applicable securities laws and regulations and will not be deemed to have breached its obligations under the Change of Control provisions of the indenture by virtue of such compliance.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On the Change of Control Payment Date, Clearway Operating LLC will, to the extent lawful:</w:t>
      </w:r>
    </w:p>
    <w:p>
      <w:pPr>
        <w:spacing w:after="0" w:line="225" w:lineRule="exact"/>
        <w:rPr>
          <w:sz w:val="20"/>
          <w:szCs w:val="20"/>
          <w:color w:val="auto"/>
        </w:rPr>
      </w:pPr>
    </w:p>
    <w:p>
      <w:pPr>
        <w:ind w:left="920" w:hanging="264"/>
        <w:spacing w:after="0"/>
        <w:tabs>
          <w:tab w:leader="none" w:pos="9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hanging="4"/>
        <w:spacing w:after="0" w:line="277" w:lineRule="auto"/>
        <w:tabs>
          <w:tab w:leader="none" w:pos="93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Clearway Operating LLC.</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paying agent will promptly distribute to each holder of notes properly tendered the Change of Control Payment for the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principal amount of $2,000 or an integral multiple of $1,000 in excess thereof. Clearway Operating LLC will publicly announce the results of the Change of Control Offer on or as soon as practicable after the Change of Control Payment Date.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described above that require Clearway Operating LLC to make a Change of Control Offer following a Change of Control Triggering Event are applicable whether or not any other provisions of the indenture are applicable.</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Except as described above with respect to a Change of Control Triggering Event, the indenture does not contain provisions that permit the holders of the notes to require that Clearway Operating LLC repurchase or redeem the notes in the event of a takeover, recapitalization or similar transaction.</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Clearway Operating LLC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Clearway Operating LLC and purchases all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holders of not less than 90.0% in aggregate principal amount of the outstanding notes validly tender and not withdraw such notes in a Change of Control Offer and Clearway Operating LLC, or any third party making a Change of Control Offer in lieu of Clearway Operating LLC as described above, purchases all of the notes validly tendered and not withdrawn by such holders, all of the Holders of the Notes will be deemed to have validly tendered their notes and not withdrawn and, accordingly, Clearway Operating LLC will have the right, upon not less than 15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lease, transfer, conveyance or other disposition of “all or substantially all” of the properties or assets of Clearway Operating LLC and its Subsidiaries taken as a whole. There is a limited body of case law interpreting the phrase “substantially all,” and there is no precise established definition of the phrase under Applicable Law. Accordingly, the ability of a holder of notes to require Clearway Operating LLC to repurchase its notes as a result of a sale, lease, transfer, conveyance or other disposition of less than all of the assets of Clearway Operating LLC and its Subsidiaries taken as a whole to another Person or group may be uncertain.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less than all of the notes are to be redeemed at any time, the trustee for the notes will select notes for redemption on a pro rata basis unless otherwise required by law or applicable stock exchange requirements.</w:t>
      </w:r>
    </w:p>
    <w:p>
      <w:pPr>
        <w:sectPr>
          <w:pgSz w:w="11900" w:h="16838" w:orient="portrait"/>
          <w:cols w:equalWidth="0" w:num="1">
            <w:col w:w="11420"/>
          </w:cols>
          <w:pgMar w:left="240" w:top="140" w:right="239" w:bottom="0" w:gutter="0" w:footer="0" w:header="0"/>
        </w:sectPr>
      </w:pPr>
    </w:p>
    <w:bookmarkStart w:id="182" w:name="page183"/>
    <w:bookmarkEnd w:id="182"/>
    <w:p>
      <w:pPr>
        <w:jc w:val="both"/>
        <w:ind w:firstLine="648"/>
        <w:spacing w:after="0" w:line="272" w:lineRule="auto"/>
        <w:rPr>
          <w:sz w:val="20"/>
          <w:szCs w:val="20"/>
          <w:color w:val="auto"/>
        </w:rPr>
      </w:pPr>
      <w:r>
        <w:rPr>
          <w:rFonts w:ascii="Arial" w:cs="Arial" w:eastAsia="Arial" w:hAnsi="Arial"/>
          <w:sz w:val="17"/>
          <w:szCs w:val="17"/>
          <w:color w:val="auto"/>
        </w:rPr>
        <w:t>No notes of $2,000 or less can be redeemed in part. Notices of redemption will be mailed by first class mail at least 15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Any redemption notice may, in Clearway Operating LLC’s discretion, be subject to the satisfaction of one or more conditions precedent. If a redemption notice is subject to satisfaction of one or more conditions precedent, such notice will state that, at Clearway Operating LLC’s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Clearway Operating LLC has deposited with the paying agent funds sufficient to pay the principal of, plus accrued and unpaid interest and premium, if any, on, the notes to be redeemed.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Clearway Operating LLC will not, and will not permit any Subsidiary Guarantor, to create or permit to exist any Lien upon any Principal Property owned by Clearway Operating LLC or any Subsidiary Guarantor or upon any Equity Interests issued by, or Indebtedness of, any direct or indirect Subsidiary of Clearway Operating LLC to secure any Indebtedness of Clearway Operating LLC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restriction will not apply to, or prevent the creation or existence of:</w:t>
      </w:r>
    </w:p>
    <w:p>
      <w:pPr>
        <w:spacing w:after="0" w:line="158" w:lineRule="exact"/>
        <w:rPr>
          <w:sz w:val="20"/>
          <w:szCs w:val="20"/>
          <w:color w:val="auto"/>
        </w:rPr>
      </w:pPr>
    </w:p>
    <w:p>
      <w:pPr>
        <w:jc w:val="both"/>
        <w:ind w:left="660" w:hanging="4"/>
        <w:spacing w:after="0" w:line="286" w:lineRule="auto"/>
        <w:tabs>
          <w:tab w:leader="none" w:pos="94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Liens securing Indebtedness of Clearway Operating LLC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jc w:val="both"/>
        <w:ind w:left="660" w:hanging="4"/>
        <w:spacing w:after="0" w:line="255" w:lineRule="auto"/>
        <w:tabs>
          <w:tab w:leader="none" w:pos="94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Liens securing Indebtedness of any Person that (a) is acquired by Clearway Operating LLC or any of its Subsidiaries after the date of the indenture, (b) is merged or amalgamated with or into Clearway Operating LLC or any of its Subsidiaries after the date of the indenture or (c) becomes consolidated in the financial statements of Clearway Operating LLC or any of its Subsidiaries after the date of the indenture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Clearway Operating LLC or any of its Subsidiaries;</w:t>
      </w:r>
    </w:p>
    <w:p>
      <w:pPr>
        <w:spacing w:after="0" w:line="189" w:lineRule="exact"/>
        <w:rPr>
          <w:rFonts w:ascii="Arial" w:cs="Arial" w:eastAsia="Arial" w:hAnsi="Arial"/>
          <w:sz w:val="18"/>
          <w:szCs w:val="18"/>
          <w:color w:val="auto"/>
        </w:rPr>
      </w:pPr>
    </w:p>
    <w:p>
      <w:pPr>
        <w:jc w:val="both"/>
        <w:ind w:left="660" w:hanging="4"/>
        <w:spacing w:after="0" w:line="297" w:lineRule="auto"/>
        <w:tabs>
          <w:tab w:leader="none" w:pos="92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Liens securing Indebtedness of Clearway Operating LLC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158" w:lineRule="exact"/>
        <w:rPr>
          <w:rFonts w:ascii="Arial" w:cs="Arial" w:eastAsia="Arial" w:hAnsi="Arial"/>
          <w:sz w:val="16"/>
          <w:szCs w:val="16"/>
          <w:color w:val="auto"/>
        </w:rPr>
      </w:pPr>
    </w:p>
    <w:p>
      <w:pPr>
        <w:ind w:left="920" w:hanging="264"/>
        <w:spacing w:after="0"/>
        <w:tabs>
          <w:tab w:leader="none" w:pos="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Liens in favor of Clearway Operating LLC or any of its Subsidiaries;</w:t>
      </w:r>
    </w:p>
    <w:p>
      <w:pPr>
        <w:spacing w:after="0" w:line="225" w:lineRule="exact"/>
        <w:rPr>
          <w:rFonts w:ascii="Arial" w:cs="Arial" w:eastAsia="Arial" w:hAnsi="Arial"/>
          <w:sz w:val="18"/>
          <w:szCs w:val="18"/>
          <w:color w:val="auto"/>
        </w:rPr>
      </w:pPr>
    </w:p>
    <w:p>
      <w:pPr>
        <w:ind w:left="660" w:hanging="4"/>
        <w:spacing w:after="0" w:line="277" w:lineRule="auto"/>
        <w:tabs>
          <w:tab w:leader="none" w:pos="92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Clearway Operating LLC in its reasonable discretion acting in good faith);</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Liens relating to current or future escrow arrangements securing Indebtedness of Clearway Operating LLC or any Subsidiary Guarantor;</w:t>
      </w:r>
    </w:p>
    <w:p>
      <w:pPr>
        <w:spacing w:after="0" w:line="236" w:lineRule="exact"/>
        <w:rPr>
          <w:rFonts w:ascii="Arial" w:cs="Arial" w:eastAsia="Arial" w:hAnsi="Arial"/>
          <w:sz w:val="17"/>
          <w:szCs w:val="17"/>
          <w:color w:val="auto"/>
        </w:rPr>
      </w:pPr>
    </w:p>
    <w:p>
      <w:pPr>
        <w:ind w:left="660" w:hanging="4"/>
        <w:spacing w:after="0" w:line="277" w:lineRule="auto"/>
        <w:tabs>
          <w:tab w:leader="none" w:pos="92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Clearway Operating LLC or any Guarantor, including rights of offset and set-off;</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Liens on the stock or assets of Project Subsidiaries securing Project Debt or Tax Equity Financing of one or more Project Subsidiaries;</w:t>
      </w:r>
    </w:p>
    <w:p>
      <w:pPr>
        <w:spacing w:after="0" w:line="236" w:lineRule="exact"/>
        <w:rPr>
          <w:rFonts w:ascii="Arial" w:cs="Arial" w:eastAsia="Arial" w:hAnsi="Arial"/>
          <w:sz w:val="17"/>
          <w:szCs w:val="17"/>
          <w:color w:val="auto"/>
        </w:rPr>
      </w:pPr>
    </w:p>
    <w:p>
      <w:pPr>
        <w:jc w:val="both"/>
        <w:ind w:left="660" w:hanging="4"/>
        <w:spacing w:after="0" w:line="302" w:lineRule="auto"/>
        <w:tabs>
          <w:tab w:leader="none" w:pos="102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securing Indebtedness incurred to finance an acquisition of assets or a business or multiple businesses; </w:t>
      </w:r>
      <w:r>
        <w:rPr>
          <w:rFonts w:ascii="Arial" w:cs="Arial" w:eastAsia="Arial" w:hAnsi="Arial"/>
          <w:sz w:val="16"/>
          <w:szCs w:val="16"/>
          <w:i w:val="1"/>
          <w:iCs w:val="1"/>
          <w:color w:val="auto"/>
        </w:rPr>
        <w:t>provided</w:t>
      </w:r>
      <w:r>
        <w:rPr>
          <w:rFonts w:ascii="Arial" w:cs="Arial" w:eastAsia="Arial" w:hAnsi="Arial"/>
          <w:sz w:val="16"/>
          <w:szCs w:val="16"/>
          <w:color w:val="auto"/>
        </w:rPr>
        <w:t>, that within 180 days from the date the related Indebtedness was Incurred, such cash or cash equivalents are used to (a) fund the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(or a similar transaction), including any related fees and expenses, and the related Indebtedness is (1) secured by Liens otherwise permitted under this covenant or (2) unsecured; or (b) retire or repay the Indebtedness that it secures and to pay any related fees and expenses; and</w:t>
      </w:r>
    </w:p>
    <w:p>
      <w:pPr>
        <w:spacing w:after="0" w:line="154" w:lineRule="exact"/>
        <w:rPr>
          <w:rFonts w:ascii="Arial" w:cs="Arial" w:eastAsia="Arial" w:hAnsi="Arial"/>
          <w:sz w:val="16"/>
          <w:szCs w:val="16"/>
          <w:color w:val="auto"/>
        </w:rPr>
      </w:pPr>
    </w:p>
    <w:p>
      <w:pPr>
        <w:jc w:val="both"/>
        <w:ind w:left="660" w:hanging="4"/>
        <w:spacing w:after="0" w:line="264" w:lineRule="auto"/>
        <w:tabs>
          <w:tab w:leader="none" w:pos="10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Clearway Operating LLC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Liens securing Indebtedness under the Credit Agreement existing on the date of the indenture will be deemed to have been incurred on such date in reliance on the exception provided by clause (1) above. For purposes of determining compliance with this “Liens” covenant, in the event that a proposed Lien meets the criteria of more than one of the categories of Liens described in clauses (1) through (13) above, Clearway Operating LLC will be permitted to classify such Lien on the date of its incurrence, or later reclassify all or a portion of such Lien, in any manner that complies with this covenant.</w:t>
      </w:r>
    </w:p>
    <w:p>
      <w:pPr>
        <w:sectPr>
          <w:pgSz w:w="11900" w:h="16838" w:orient="portrait"/>
          <w:cols w:equalWidth="0" w:num="1">
            <w:col w:w="11420"/>
          </w:cols>
          <w:pgMar w:left="240" w:top="220" w:right="239" w:bottom="2" w:gutter="0" w:footer="0" w:header="0"/>
        </w:sectPr>
      </w:pPr>
    </w:p>
    <w:bookmarkStart w:id="183" w:name="page184"/>
    <w:bookmarkEnd w:id="183"/>
    <w:p>
      <w:pPr>
        <w:spacing w:after="0" w:line="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Clearway Operating LLC or any Subsidiary Guarantor proposes to create or permit to exist any Lien upon any Principal Property owned by Clearway Operating LLC or any Subsidiary Guarantor or upon any Equity Interests or Indebtedness of any direct or indirect Subsidiary of Clearway Operating LLC to secure any Indebtedness, other than as permitted by clauses (1) through (13) of the previous paragraph, Clearway Operating LLC will give prior written notice thereof to the trustee, who will give notice to the holders of notes, and Clearway Operating LLC will further agree, prior to or simultaneously with the creation of such Lien, effectively to secure all the notes equally and ratably with (or prior to) such other Indebtedness, for so long as such other Indebtedness is so secured.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Neither the Parent Guarantor nor Clearway Operating LLC will, directly or indirectly: (1) consolidate or merge with or into another Person (whether or not the Parent Guarantor or Clearway Operating LLC is the surviving Person); or (2) sell, assign, transfer, convey or otherwise dispose of all or substantially all of the properties or assets of the Parent Guarantor or the Parent Guarantor and its Subsidiaries taken as a whole or Clearway Operating LLC or Clearway Operating LLC and its Subsidiaries taken as a whole, in one or more related transactions, to another Person; unless:</w:t>
      </w:r>
    </w:p>
    <w:p>
      <w:pPr>
        <w:spacing w:after="0" w:line="171" w:lineRule="exact"/>
        <w:rPr>
          <w:sz w:val="20"/>
          <w:szCs w:val="20"/>
          <w:color w:val="auto"/>
        </w:rPr>
      </w:pPr>
    </w:p>
    <w:p>
      <w:pPr>
        <w:jc w:val="both"/>
        <w:ind w:left="660" w:hanging="4"/>
        <w:spacing w:after="0" w:line="272" w:lineRule="auto"/>
        <w:tabs>
          <w:tab w:leader="none" w:pos="91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either: (a) the Parent Guarantor or Clearway Operating LLC, as the case may be, is the surviving Person; or (b) the Person formed by or surviving any such consolidation or merger (if other than the Parent Guarantor or Clearway Operating LLC,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177" w:lineRule="exact"/>
        <w:rPr>
          <w:rFonts w:ascii="Arial" w:cs="Arial" w:eastAsia="Arial" w:hAnsi="Arial"/>
          <w:sz w:val="17"/>
          <w:szCs w:val="17"/>
          <w:color w:val="auto"/>
        </w:rPr>
      </w:pPr>
    </w:p>
    <w:p>
      <w:pPr>
        <w:jc w:val="both"/>
        <w:ind w:left="660" w:hanging="4"/>
        <w:spacing w:after="0" w:line="259" w:lineRule="auto"/>
        <w:tabs>
          <w:tab w:leader="none" w:pos="92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Parent Guarantor or Clearway Operating LLC, as the case may be) or the Person to which such sale, assignment, transfer, conveyance or other disposition has been made assumes all the obligations of the Parent Guarantor or Clearway Operating LLC, as the case may be, under the notes and the indenture pursuant to a supplemental indenture or other documents and agreements reasonably satisfactory to the trustee; and</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neither the Parent Guarantor nor Clearway Operating LLC may, directly or indirectly, lease all or substantially all of its and its respective Subsidiaries’ properties or assets, in one or more related transactions, to any other Person.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“Merger, Consolidation or Sale of Assets” covenant will not apply to (1) a merger of the Parent Guarantor or Clearway Operating LLC, as the case may be, with an Affiliate solely for the purpose of reforming the Parent Guarantor or Clearway Operating LLC, as the case may be, in another jurisdiction or forming a direct or indirect holding company of Clearway Operating LLC that is a Wholly Owned Subsidiary of the Parent Guarantor; and (2) any sale, transfer, assignment, conveyance, lease or other disposition of assets between or among the Parent Guarantor, Clearway Operating LLC and their respective Subsidiaries, including by way of merger or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Guarantees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660" w:hanging="4"/>
        <w:spacing w:after="0" w:line="277" w:lineRule="auto"/>
        <w:tabs>
          <w:tab w:leader="none" w:pos="92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Clearway Operating LLC or any of its Subsidiaries acquires or creates another Wholly Owned Subsidiary after the issue date and such Wholly Owned Subsidiary Guarantees any Obligations of Clearway Operating LLC under the Credit Agreement, or</w:t>
      </w:r>
    </w:p>
    <w:p>
      <w:pPr>
        <w:spacing w:after="0" w:line="170" w:lineRule="exact"/>
        <w:rPr>
          <w:rFonts w:ascii="Arial" w:cs="Arial" w:eastAsia="Arial" w:hAnsi="Arial"/>
          <w:sz w:val="18"/>
          <w:szCs w:val="18"/>
          <w:color w:val="auto"/>
        </w:rPr>
      </w:pPr>
    </w:p>
    <w:p>
      <w:pPr>
        <w:ind w:left="660" w:hanging="4"/>
        <w:spacing w:after="0" w:line="277" w:lineRule="auto"/>
        <w:tabs>
          <w:tab w:leader="none" w:pos="91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Wholly Owned Subsidiary of Clearway Operating LLC that does not currently Guarantee any Obligations of Clearway Operating LLC under the Credit Agreement subsequently Guarantees any Obligations of Clearway Operating LLC under the Credit Agreement, or</w:t>
      </w:r>
    </w:p>
    <w:p>
      <w:pPr>
        <w:spacing w:after="0" w:line="170" w:lineRule="exact"/>
        <w:rPr>
          <w:rFonts w:ascii="Arial" w:cs="Arial" w:eastAsia="Arial" w:hAnsi="Arial"/>
          <w:sz w:val="18"/>
          <w:szCs w:val="18"/>
          <w:color w:val="auto"/>
        </w:rPr>
      </w:pPr>
    </w:p>
    <w:p>
      <w:pPr>
        <w:jc w:val="both"/>
        <w:ind w:left="660" w:hanging="4"/>
        <w:spacing w:after="0" w:line="255" w:lineRule="auto"/>
        <w:tabs>
          <w:tab w:leader="none" w:pos="92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there is no Indebtedness of Clearway Operating LLC outstanding under the Credit Agreement at that time, any Wholly Owned Subsidiary of Clearway Operating LLC (including any newly acquired or created Wholly Owned Subsidiary) Guarantees any Obligations with respect to any other Material Indebtedness of Clearway Operating LLC, then such newly acquired or created Wholly Owned Subsidiary or Wholly Owned Subsidiary that subsequently fully and unconditionally Guarantees obligations under the Credit Agreement or other Material Indebtedness of Clearway Operating LLC, as the case may be, will become a Guarantor of the notes and execute a supplemental indenture and deliver an opinion of counsel satisfactory to the trustee within 60 business days of the date on which it was acquired or created or guaranteed other Material Indebtedness of Clearway Operating LLC, as the case may be.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Whether or not required by the Commission’s rules and regulations, so long as any notes are outstanding, Clearway Operating LLC will furnish or cause to be furnished to the holders of notes or cause the trustee to furnish to the holders of notes, within the time periods (including any extensions thereof) specified in the Commission’s rules and regulations:</w:t>
      </w:r>
    </w:p>
    <w:p>
      <w:pPr>
        <w:spacing w:after="0" w:line="181" w:lineRule="exact"/>
        <w:rPr>
          <w:sz w:val="20"/>
          <w:szCs w:val="20"/>
          <w:color w:val="auto"/>
        </w:rPr>
      </w:pPr>
    </w:p>
    <w:p>
      <w:pPr>
        <w:ind w:left="660" w:hanging="4"/>
        <w:spacing w:after="0" w:line="277" w:lineRule="auto"/>
        <w:tabs>
          <w:tab w:leader="none" w:pos="9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Commission on Forms 10-Q and 10-K if Clearway Operating LLC were required to file such reports; and</w:t>
      </w:r>
    </w:p>
    <w:p>
      <w:pPr>
        <w:spacing w:after="0" w:line="170" w:lineRule="exact"/>
        <w:rPr>
          <w:rFonts w:ascii="Arial" w:cs="Arial" w:eastAsia="Arial" w:hAnsi="Arial"/>
          <w:sz w:val="18"/>
          <w:szCs w:val="18"/>
          <w:color w:val="auto"/>
        </w:rPr>
      </w:pPr>
    </w:p>
    <w:p>
      <w:pPr>
        <w:ind w:left="660" w:hanging="4"/>
        <w:spacing w:after="0" w:line="277" w:lineRule="auto"/>
        <w:tabs>
          <w:tab w:leader="none" w:pos="92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Commission on Form 8-K if Clearway Operating LLC were required to file such reports.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Clearway Operating LLC’s consolidated financial statements by Clearway Operating LLC’s independent registered public accounting firm. In addition, Clearway Operating LLC will file a copy of each of the reports referred to in clauses (1) and (2) above with the Commission for public availability within the time periods specified in the rules and regulations applicable to such reports (unless the Commission will not accept such a filing). To the extent such filings are made, the reports will be deemed to be furnished to the trustee and holders of notes.</w:t>
      </w:r>
    </w:p>
    <w:p>
      <w:pPr>
        <w:spacing w:after="0" w:line="15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Clearway Operating LLC is no longer subject to the periodic reporting requirements of the Exchange Act for any reason, Clearway Operating LLC will nevertheless continue filing the reports specified in the preceding paragraph with the Commission within the time periods specified above unless the</w:t>
      </w:r>
    </w:p>
    <w:p>
      <w:pPr>
        <w:sectPr>
          <w:pgSz w:w="11900" w:h="16840" w:orient="portrait"/>
          <w:cols w:equalWidth="0" w:num="1">
            <w:col w:w="11420"/>
          </w:cols>
          <w:pgMar w:left="240" w:top="125" w:right="239" w:bottom="0" w:gutter="0" w:footer="0" w:header="0"/>
        </w:sectPr>
      </w:pPr>
    </w:p>
    <w:bookmarkStart w:id="184" w:name="page185"/>
    <w:bookmarkEnd w:id="184"/>
    <w:p>
      <w:pPr>
        <w:jc w:val="both"/>
        <w:ind w:right="20"/>
        <w:spacing w:after="0" w:line="259" w:lineRule="auto"/>
        <w:rPr>
          <w:sz w:val="20"/>
          <w:szCs w:val="20"/>
          <w:color w:val="auto"/>
        </w:rPr>
      </w:pPr>
      <w:r>
        <w:rPr>
          <w:rFonts w:ascii="Arial" w:cs="Arial" w:eastAsia="Arial" w:hAnsi="Arial"/>
          <w:sz w:val="18"/>
          <w:szCs w:val="18"/>
          <w:color w:val="auto"/>
        </w:rPr>
        <w:t>Commission will not accept such a filing. Clearway Operating LLC agrees that it will not take any action for the purpose of causing the Commission not to accept any such filings. If, notwithstanding the foregoing, the Commission will not accept Clearway Operating LLC’s filings for any reason, Clearway Operating LLC will post the reports referred to in the preceding paragraph on the website of Clearway Inc. within the time periods that would apply if Clearway Operating LLC were required to file those reports with the Commission.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 long as the Parent Guarantor continues to own, directly or indirectly, all of the Equity Interests of Clearway Operating LLC,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Clearway Operating LLC under this reporting covenant.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Clearway Operating LLC, the Parent Guarantor and the Subsidiary Guarantors agree that, for so long as any notes remain outstanding, at any time they are not required to file the reports required by the preceding paragraphs with the Commission, they will furnish to the holders of the notes and to securities analysts and prospective investors, upon their request, the information required to be delivered pursuant to Rule 144A(d)(4)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Status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70" w:lineRule="exact"/>
        <w:rPr>
          <w:sz w:val="20"/>
          <w:szCs w:val="20"/>
          <w:color w:val="auto"/>
        </w:rPr>
      </w:pPr>
    </w:p>
    <w:p>
      <w:pPr>
        <w:ind w:left="920" w:hanging="264"/>
        <w:spacing w:after="0"/>
        <w:tabs>
          <w:tab w:leader="none" w:pos="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ownership of debt or equity interests in Clearway Operating LLC;</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25" w:lineRule="exact"/>
        <w:rPr>
          <w:rFonts w:ascii="Arial" w:cs="Arial" w:eastAsia="Arial" w:hAnsi="Arial"/>
          <w:sz w:val="18"/>
          <w:szCs w:val="18"/>
          <w:color w:val="auto"/>
        </w:rPr>
      </w:pPr>
    </w:p>
    <w:p>
      <w:pPr>
        <w:ind w:left="660" w:hanging="4"/>
        <w:spacing w:after="0" w:line="277" w:lineRule="auto"/>
        <w:tabs>
          <w:tab w:leader="none" w:pos="94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participating in tax, accounting and other administrative activities as the parent of a consolidated group of companies, including Clearway Operating LLC;</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making distributions to holders of its debt or equity interests or to Clearway Operating LLC or any Subsidiary of Clearway Operating LLC;</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jc w:val="both"/>
        <w:ind w:left="660" w:hanging="4"/>
        <w:spacing w:after="0" w:line="264" w:lineRule="auto"/>
        <w:tabs>
          <w:tab w:leader="none" w:pos="93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Clearway Inc., Clearway Operating LLC or any Subsidiary of Clearway Operating LLC and the execution and delivery of any agreements related to the foregoing, including credit agreements, indentures, security agreements, notes and registration rights agreements;</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225" w:lineRule="exact"/>
        <w:rPr>
          <w:sz w:val="20"/>
          <w:szCs w:val="20"/>
          <w:color w:val="auto"/>
        </w:rPr>
      </w:pPr>
    </w:p>
    <w:p>
      <w:pPr>
        <w:ind w:left="920" w:hanging="264"/>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225" w:lineRule="exact"/>
        <w:rPr>
          <w:rFonts w:ascii="Arial" w:cs="Arial" w:eastAsia="Arial" w:hAnsi="Arial"/>
          <w:sz w:val="18"/>
          <w:szCs w:val="18"/>
          <w:color w:val="auto"/>
        </w:rPr>
      </w:pPr>
    </w:p>
    <w:p>
      <w:pPr>
        <w:ind w:left="660" w:hanging="4"/>
        <w:spacing w:after="0" w:line="277" w:lineRule="auto"/>
        <w:tabs>
          <w:tab w:leader="none" w:pos="9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failure by Clearway Operating LLC or any Guarantor for 60 days after written notice given by the trustee or the holders of at least 25% in aggregate principal amount of the notes that are then outstanding, to comply with any of the other agreements in the indenture;</w:t>
      </w:r>
    </w:p>
    <w:p>
      <w:pPr>
        <w:spacing w:after="0" w:line="170" w:lineRule="exact"/>
        <w:rPr>
          <w:rFonts w:ascii="Arial" w:cs="Arial" w:eastAsia="Arial" w:hAnsi="Arial"/>
          <w:sz w:val="18"/>
          <w:szCs w:val="18"/>
          <w:color w:val="auto"/>
        </w:rPr>
      </w:pPr>
    </w:p>
    <w:p>
      <w:pPr>
        <w:jc w:val="both"/>
        <w:ind w:left="660" w:hanging="4"/>
        <w:spacing w:after="0" w:line="286" w:lineRule="auto"/>
        <w:tabs>
          <w:tab w:leader="none" w:pos="9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Clearway Operating LLC or any Guarantor (or the payment of which is guaranteed by Clearway Operating LLC or any Guarantor) whether such Indebtedness or guarantee now exists, or is created after the issue date, if that default:</w:t>
      </w:r>
    </w:p>
    <w:p>
      <w:pPr>
        <w:spacing w:after="0" w:line="165" w:lineRule="exact"/>
        <w:rPr>
          <w:rFonts w:ascii="Arial" w:cs="Arial" w:eastAsia="Arial" w:hAnsi="Arial"/>
          <w:sz w:val="17"/>
          <w:szCs w:val="17"/>
          <w:color w:val="auto"/>
        </w:rPr>
      </w:pPr>
    </w:p>
    <w:p>
      <w:pPr>
        <w:ind w:left="1300" w:firstLine="5"/>
        <w:spacing w:after="0" w:line="277" w:lineRule="auto"/>
        <w:tabs>
          <w:tab w:leader="none" w:pos="155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jc w:val="both"/>
        <w:ind w:left="1960"/>
        <w:spacing w:after="0" w:line="264"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 (ii) $100.0 million;</w:t>
      </w:r>
    </w:p>
    <w:p>
      <w:pPr>
        <w:spacing w:after="0" w:line="18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clause (4) shall not apply to secured Indebtedness that becomes due as a result of the voluntary sale or transfer of the property or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securing such Indebtedness to a Person that is not an Affiliate of Clearway Operating LLC;</w:t>
      </w:r>
    </w:p>
    <w:p>
      <w:pPr>
        <w:spacing w:after="0" w:line="170" w:lineRule="exact"/>
        <w:rPr>
          <w:sz w:val="20"/>
          <w:szCs w:val="20"/>
          <w:color w:val="auto"/>
        </w:rPr>
      </w:pPr>
    </w:p>
    <w:p>
      <w:pPr>
        <w:jc w:val="both"/>
        <w:ind w:left="660" w:hanging="4"/>
        <w:spacing w:after="0" w:line="259" w:lineRule="auto"/>
        <w:tabs>
          <w:tab w:leader="none" w:pos="93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the greater of (i) 1.5% of Total Assets and (ii) $100.0 million (excluding therefrom any amount reasonably expected to be covered by insurance) shall be rendered against Clearway Operating LLC or any Guarantor or Guarantors or any combination thereof and the same shall not have been paid, discharged or stayed for a period of 60 days after such judgment became final and non-appealable;</w:t>
      </w:r>
    </w:p>
    <w:p>
      <w:pPr>
        <w:spacing w:after="0" w:line="186" w:lineRule="exact"/>
        <w:rPr>
          <w:rFonts w:ascii="Arial" w:cs="Arial" w:eastAsia="Arial" w:hAnsi="Arial"/>
          <w:sz w:val="18"/>
          <w:szCs w:val="18"/>
          <w:color w:val="auto"/>
        </w:rPr>
      </w:pPr>
    </w:p>
    <w:p>
      <w:pPr>
        <w:jc w:val="both"/>
        <w:ind w:left="660" w:hanging="4"/>
        <w:spacing w:after="0" w:line="257" w:lineRule="auto"/>
        <w:tabs>
          <w:tab w:leader="none" w:pos="93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as permitted by the indenture, any Guarantee shall be held in any final and non-appealable judicial proceeding to be unenforceable or invalid or shall cease for any reason to be in full force and effect or any Guarantor (or any group of Guarantors) that, if Subsidiaries of Clearway Operating LLC, would constitute a Significant Subsidiary, or any Person acting on behalf of any Guarantor (or any group of Guarantors) that, if Subsidiaries of Clearway Operating LLC, would constitute a Significant Subsidiary, shall deny or disaffirm its or their obligations under its or their Guarantee(s); and</w:t>
      </w:r>
    </w:p>
    <w:p>
      <w:pPr>
        <w:sectPr>
          <w:pgSz w:w="11900" w:h="16838" w:orient="portrait"/>
          <w:cols w:equalWidth="0" w:num="1">
            <w:col w:w="11420"/>
          </w:cols>
          <w:pgMar w:left="240" w:top="125" w:right="239" w:bottom="0" w:gutter="0" w:footer="0" w:header="0"/>
        </w:sectPr>
      </w:pPr>
    </w:p>
    <w:bookmarkStart w:id="185" w:name="page186"/>
    <w:bookmarkEnd w:id="185"/>
    <w:p>
      <w:pPr>
        <w:jc w:val="both"/>
        <w:ind w:left="660" w:hanging="4"/>
        <w:spacing w:after="0" w:line="264" w:lineRule="auto"/>
        <w:tabs>
          <w:tab w:leader="none" w:pos="94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Clearway Operating LLC or any Guarantor that, if a Subsidiary of Clearway Operating LLC, would constitute a Significant Subsidiary or any group of Guarantors that, if Subsidiaries of Clearway Operating LLC, taken together, would constitute a Significant Subsidiary.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case of an Event of Default with respect to the notes arising from certain events of bankruptcy or insolvency with respect to Clearway Operating LLC, any Guarantor or any group of Guarantors that, if subsidiaries of Clearway Operating LLC, taken together, would constitute a Significant Subsidiary, all such notes that are outstanding will become due and payable immediately without further action or notice. If any other Event of Default occurs and is continuing, the trustee or the holders of at least 25% in aggregate principal amount of such notes that are outstanding may declare all the notes to be due and payable immediately.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certain limitations, holders of a majority in principal amount of the notes that are then outstanding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under the indenture, the trustee will be under no obligation to exercise any of the rights or powers under the indenture at the request or direction of any holders of the notes unless such holders have offered to the trustee reasonable indemnity or security against any loss, liability or expense. Except to enforce the right to receive payment of principal, premium (if any) or interest when due, no holder of a note may pursue any remedy with respect to the indenture unless:</w:t>
      </w:r>
    </w:p>
    <w:p>
      <w:pPr>
        <w:spacing w:after="0" w:line="154" w:lineRule="exact"/>
        <w:rPr>
          <w:sz w:val="20"/>
          <w:szCs w:val="20"/>
          <w:color w:val="auto"/>
        </w:rPr>
      </w:pPr>
    </w:p>
    <w:p>
      <w:pPr>
        <w:ind w:left="920" w:hanging="264"/>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225" w:lineRule="exact"/>
        <w:rPr>
          <w:rFonts w:ascii="Arial" w:cs="Arial" w:eastAsia="Arial" w:hAnsi="Arial"/>
          <w:sz w:val="18"/>
          <w:szCs w:val="18"/>
          <w:color w:val="auto"/>
        </w:rPr>
      </w:pPr>
    </w:p>
    <w:p>
      <w:pPr>
        <w:ind w:left="660" w:hanging="4"/>
        <w:spacing w:after="0" w:line="277" w:lineRule="auto"/>
        <w:tabs>
          <w:tab w:leader="none" w:pos="92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notes that are then outstanding have made a written request to the trustee to pursue the remedy;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thereof and the offer of security or indemnity; and</w:t>
      </w:r>
    </w:p>
    <w:p>
      <w:pPr>
        <w:spacing w:after="0" w:line="225" w:lineRule="exact"/>
        <w:rPr>
          <w:rFonts w:ascii="Arial" w:cs="Arial" w:eastAsia="Arial" w:hAnsi="Arial"/>
          <w:sz w:val="18"/>
          <w:szCs w:val="18"/>
          <w:color w:val="auto"/>
        </w:rPr>
      </w:pPr>
    </w:p>
    <w:p>
      <w:pPr>
        <w:ind w:left="660" w:hanging="4"/>
        <w:spacing w:after="0" w:line="277" w:lineRule="auto"/>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that are then outstanding have not given the trustee a direction inconsistent with such request within such 60-day period.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holders of a majority in aggregate principal amount of the notes then outstanding by written notice to the trustee may, on behalf of the holders of the notes, rescind an acceleration or waive any existing Default or Event of Default and its consequences under the indenture except a continuing Default or Event of Default in the payment of interest on, or the principal of, such notes.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Clearway Operating LLC is required to deliver to the trustee annually a statement regarding compliance with the indenture. Upon becoming aware of any Default or Event of Default, Clearway Operating LLC is required to deliver to the trustee a statement specifying such Default or Event of Default.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 director, officer, employee, incorporator, stockholder, member or unitholder of Clearway Operating LLC or any Guarantor, as such, has any liability for any obligations of Clearway Operating LLC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Clearway Operating LLC may, at its option and at any time, elect to have all of its obligations discharged with respect to the notes that are outstanding and all obligations of the Guarantors of such notes discharged with respect to their Guarantees (“</w:t>
      </w:r>
      <w:r>
        <w:rPr>
          <w:rFonts w:ascii="Arial" w:cs="Arial" w:eastAsia="Arial" w:hAnsi="Arial"/>
          <w:sz w:val="17"/>
          <w:szCs w:val="17"/>
          <w:i w:val="1"/>
          <w:iCs w:val="1"/>
          <w:color w:val="auto"/>
        </w:rPr>
        <w:t>Legal Defeasance</w:t>
      </w:r>
      <w:r>
        <w:rPr>
          <w:rFonts w:ascii="Arial" w:cs="Arial" w:eastAsia="Arial" w:hAnsi="Arial"/>
          <w:sz w:val="17"/>
          <w:szCs w:val="17"/>
          <w:color w:val="auto"/>
        </w:rPr>
        <w:t>”), except for:</w:t>
      </w:r>
    </w:p>
    <w:p>
      <w:pPr>
        <w:spacing w:after="0" w:line="147" w:lineRule="exact"/>
        <w:rPr>
          <w:sz w:val="20"/>
          <w:szCs w:val="20"/>
          <w:color w:val="auto"/>
        </w:rPr>
      </w:pPr>
    </w:p>
    <w:p>
      <w:pPr>
        <w:ind w:left="660" w:right="20" w:hanging="4"/>
        <w:spacing w:after="0" w:line="277" w:lineRule="auto"/>
        <w:tabs>
          <w:tab w:leader="none" w:pos="91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rights of holders of the notes that are then outstanding to receive payments in respect of the principal of, or interest or premium on such notes when such payments are due from the trust referred to below;</w:t>
      </w:r>
    </w:p>
    <w:p>
      <w:pPr>
        <w:spacing w:after="0" w:line="170" w:lineRule="exact"/>
        <w:rPr>
          <w:rFonts w:ascii="Arial" w:cs="Arial" w:eastAsia="Arial" w:hAnsi="Arial"/>
          <w:sz w:val="18"/>
          <w:szCs w:val="18"/>
          <w:color w:val="auto"/>
        </w:rPr>
      </w:pPr>
    </w:p>
    <w:p>
      <w:pPr>
        <w:ind w:left="660" w:hanging="4"/>
        <w:spacing w:after="0" w:line="277" w:lineRule="auto"/>
        <w:tabs>
          <w:tab w:leader="none" w:pos="9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Clearway Operating LLC’s obligations with respect to the notes concerning issuing temporary notes, registration of notes, mutilated, destroyed, lost or stolen notes and the maintenance of an office or agency for payment and money for security payments held in trust;</w:t>
      </w:r>
    </w:p>
    <w:p>
      <w:pPr>
        <w:spacing w:after="0" w:line="170" w:lineRule="exact"/>
        <w:rPr>
          <w:rFonts w:ascii="Arial" w:cs="Arial" w:eastAsia="Arial" w:hAnsi="Arial"/>
          <w:sz w:val="18"/>
          <w:szCs w:val="18"/>
          <w:color w:val="auto"/>
        </w:rPr>
      </w:pPr>
    </w:p>
    <w:p>
      <w:pPr>
        <w:ind w:left="660" w:hanging="4"/>
        <w:spacing w:after="0" w:line="277" w:lineRule="auto"/>
        <w:tabs>
          <w:tab w:leader="none" w:pos="92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for the notes, and Clearway Operating LLC’s and the Guarantors’ obligations in connection therewith;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Legal Defeasance provisions of the indenture governing such notes.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Clearway Operating LLC may, at its option and at any time, elect to have the obligations of Clearway Operating LLC and the Guarantors released with respect to certain covenants (including its obligation to make Change of Control Offers) that are described in the indenture (“</w:t>
      </w:r>
      <w:r>
        <w:rPr>
          <w:rFonts w:ascii="Arial" w:cs="Arial" w:eastAsia="Arial" w:hAnsi="Arial"/>
          <w:sz w:val="17"/>
          <w:szCs w:val="17"/>
          <w:i w:val="1"/>
          <w:iCs w:val="1"/>
          <w:color w:val="auto"/>
        </w:rPr>
        <w:t>Covenant</w:t>
      </w:r>
      <w:r>
        <w:rPr>
          <w:rFonts w:ascii="Arial" w:cs="Arial" w:eastAsia="Arial" w:hAnsi="Arial"/>
          <w:sz w:val="17"/>
          <w:szCs w:val="17"/>
          <w:color w:val="auto"/>
        </w:rPr>
        <w:t xml:space="preserve"> </w:t>
      </w:r>
      <w:r>
        <w:rPr>
          <w:rFonts w:ascii="Arial" w:cs="Arial" w:eastAsia="Arial" w:hAnsi="Arial"/>
          <w:sz w:val="17"/>
          <w:szCs w:val="17"/>
          <w:i w:val="1"/>
          <w:iCs w:val="1"/>
          <w:color w:val="auto"/>
        </w:rPr>
        <w:t>Defeasance</w:t>
      </w:r>
      <w:r>
        <w:rPr>
          <w:rFonts w:ascii="Arial" w:cs="Arial" w:eastAsia="Arial" w:hAnsi="Arial"/>
          <w:sz w:val="17"/>
          <w:szCs w:val="17"/>
          <w:color w:val="auto"/>
        </w:rPr>
        <w:t>”) and thereafter any omission to comply with those covenants will not constitute a Default or Event of Default with respect to the notes.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jc w:val="both"/>
        <w:ind w:left="660" w:hanging="4"/>
        <w:spacing w:after="0" w:line="297" w:lineRule="auto"/>
        <w:tabs>
          <w:tab w:leader="none" w:pos="92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Clearway Operating LLC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on such notes that are then outstanding on the Stated Maturity or on the applicable redemption date, as the case may be, and Clearway Operating LLC must specify whether such notes are being defeased to maturity or to a particular redemption date;</w:t>
      </w:r>
    </w:p>
    <w:p>
      <w:pPr>
        <w:sectPr>
          <w:pgSz w:w="11900" w:h="16838" w:orient="portrait"/>
          <w:cols w:equalWidth="0" w:num="1">
            <w:col w:w="11420"/>
          </w:cols>
          <w:pgMar w:left="240" w:top="193" w:right="239" w:bottom="33" w:gutter="0" w:footer="0" w:header="0"/>
        </w:sectPr>
      </w:pPr>
    </w:p>
    <w:bookmarkStart w:id="186" w:name="page187"/>
    <w:bookmarkEnd w:id="186"/>
    <w:p>
      <w:pPr>
        <w:jc w:val="both"/>
        <w:ind w:left="660" w:hanging="4"/>
        <w:spacing w:after="0" w:line="273" w:lineRule="auto"/>
        <w:tabs>
          <w:tab w:leader="none" w:pos="9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 the case of Legal Defeasance, Clearway Operating LLC has delivered to the trustee an opinion of counsel reasonably acceptable to the trustee confirming that (a) Clearway Operating LLC has received from, or there has been published by, the Internal Revenue Service a ruling or (b) since the issue date, there has been a change in the applicable federal income tax law, in either case to the effect that, and based thereon such opinion of counsel will confirm that, the holders of the notes that are then outstanding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8" w:lineRule="exact"/>
        <w:rPr>
          <w:rFonts w:ascii="Arial" w:cs="Arial" w:eastAsia="Arial" w:hAnsi="Arial"/>
          <w:sz w:val="17"/>
          <w:szCs w:val="17"/>
          <w:color w:val="auto"/>
        </w:rPr>
      </w:pPr>
    </w:p>
    <w:p>
      <w:pPr>
        <w:jc w:val="both"/>
        <w:ind w:left="660" w:hanging="4"/>
        <w:spacing w:after="0" w:line="259" w:lineRule="auto"/>
        <w:tabs>
          <w:tab w:leader="none" w:pos="93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case of Covenant Defeasance, Clearway Operating LLC has delivered to the trustee an opinion of counsel reasonably acceptable to the trustee confirming that the holders of the notes that are then outstanding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jc w:val="both"/>
        <w:ind w:left="660" w:hanging="4"/>
        <w:spacing w:after="0" w:line="264" w:lineRule="auto"/>
        <w:tabs>
          <w:tab w:leader="none" w:pos="91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81" w:lineRule="exact"/>
        <w:rPr>
          <w:rFonts w:ascii="Arial" w:cs="Arial" w:eastAsia="Arial" w:hAnsi="Arial"/>
          <w:sz w:val="18"/>
          <w:szCs w:val="18"/>
          <w:color w:val="auto"/>
        </w:rPr>
      </w:pPr>
    </w:p>
    <w:p>
      <w:pPr>
        <w:jc w:val="both"/>
        <w:ind w:left="660" w:hanging="4"/>
        <w:spacing w:after="0" w:line="259" w:lineRule="auto"/>
        <w:tabs>
          <w:tab w:leader="none" w:pos="91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and the agreements governing other Indebtedness being defeased, discharged or replaced) to which Clearway Operating LLC or any of its Subsidiaries or the Parent Guarantor is a party or by which Clearway Operating LLC or any of its Subsidiaries or the Parent Guarantor is bound;</w:t>
      </w:r>
    </w:p>
    <w:p>
      <w:pPr>
        <w:spacing w:after="0" w:line="186" w:lineRule="exact"/>
        <w:rPr>
          <w:rFonts w:ascii="Arial" w:cs="Arial" w:eastAsia="Arial" w:hAnsi="Arial"/>
          <w:sz w:val="18"/>
          <w:szCs w:val="18"/>
          <w:color w:val="auto"/>
        </w:rPr>
      </w:pPr>
    </w:p>
    <w:p>
      <w:pPr>
        <w:jc w:val="both"/>
        <w:ind w:left="660" w:hanging="4"/>
        <w:spacing w:after="0" w:line="264" w:lineRule="auto"/>
        <w:tabs>
          <w:tab w:leader="none" w:pos="92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Clearway Operating LLC must deliver to the trustee an officers’ certificate stating that the deposit was not made by Clearway Operating LLC with the intent of preferring the holders of the notes over the other creditors of Clearway Operating LLC with the intent of defeating, hindering, delaying or defrauding creditors of Clearway Operating LLC or others; and</w:t>
      </w:r>
    </w:p>
    <w:p>
      <w:pPr>
        <w:spacing w:after="0" w:line="181" w:lineRule="exact"/>
        <w:rPr>
          <w:rFonts w:ascii="Arial" w:cs="Arial" w:eastAsia="Arial" w:hAnsi="Arial"/>
          <w:sz w:val="18"/>
          <w:szCs w:val="18"/>
          <w:color w:val="auto"/>
        </w:rPr>
      </w:pPr>
    </w:p>
    <w:p>
      <w:pPr>
        <w:ind w:left="660" w:hanging="4"/>
        <w:spacing w:after="0" w:line="277" w:lineRule="auto"/>
        <w:tabs>
          <w:tab w:leader="none" w:pos="92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Clearway Operating LLC must deliver to the trustee an officers’ certificate and an opinion of counsel, each stating that all conditions precedent relating to the Legal Defeasance or the Covenant Defeasance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Except as provided in the next two succeeding paragraphs, the indenture or the notes outstanding thereunder may be amended or supplemented with the consent of the holders of at least a majority in principal amount of the notes then outstanding (including, without limitation, consents obtained in connection with a purchase of, or tender offer or exchange offer for, the notes), and any existing default or compliance with any provision of the indenture or the notes outstanding thereunder may be waived with the consent of the holders of a majority in principal amount of the notes that are then outstanding (including, without limitation, consents obtained in connection with a purchase of, or tender offer or exchange offer for, the notes).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Without the consent of each holder of the notes affected thereby, an amendment or waiver may not (with respect to any such notes held by a non-consenting holder):</w:t>
      </w:r>
    </w:p>
    <w:p>
      <w:pPr>
        <w:spacing w:after="0" w:line="170" w:lineRule="exact"/>
        <w:rPr>
          <w:sz w:val="20"/>
          <w:szCs w:val="20"/>
          <w:color w:val="auto"/>
        </w:rPr>
      </w:pPr>
    </w:p>
    <w:p>
      <w:pPr>
        <w:ind w:left="920" w:hanging="264"/>
        <w:spacing w:after="0"/>
        <w:tabs>
          <w:tab w:leader="none" w:pos="9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 supplement or waiver;</w:t>
      </w:r>
    </w:p>
    <w:p>
      <w:pPr>
        <w:spacing w:after="0" w:line="225" w:lineRule="exact"/>
        <w:rPr>
          <w:rFonts w:ascii="Arial" w:cs="Arial" w:eastAsia="Arial" w:hAnsi="Arial"/>
          <w:sz w:val="18"/>
          <w:szCs w:val="18"/>
          <w:color w:val="auto"/>
        </w:rPr>
      </w:pPr>
    </w:p>
    <w:p>
      <w:pPr>
        <w:jc w:val="both"/>
        <w:ind w:left="660" w:hanging="4"/>
        <w:spacing w:after="0" w:line="264" w:lineRule="auto"/>
        <w:tabs>
          <w:tab w:leader="none" w:pos="9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such note or alter the provisions with respect to the redemption of such notes (other than provisions relating to the covenants described above under the caption “—Repurchase at the Option of Holders” and provisions relating to the number of days of notice to be given in the event of a redemption);</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w:t>
      </w:r>
    </w:p>
    <w:p>
      <w:pPr>
        <w:spacing w:after="0" w:line="225" w:lineRule="exact"/>
        <w:rPr>
          <w:rFonts w:ascii="Arial" w:cs="Arial" w:eastAsia="Arial" w:hAnsi="Arial"/>
          <w:sz w:val="18"/>
          <w:szCs w:val="18"/>
          <w:color w:val="auto"/>
        </w:rPr>
      </w:pPr>
    </w:p>
    <w:p>
      <w:pPr>
        <w:jc w:val="both"/>
        <w:ind w:left="660" w:hanging="4"/>
        <w:spacing w:after="0" w:line="264" w:lineRule="auto"/>
        <w:tabs>
          <w:tab w:leader="none" w:pos="9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on such notes (except a rescission of acceleration of such notes by the holders of at least a majority in aggregate principal amount of such notes and a waiver of the payment default that resulted from such acceleration);</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notes;</w:t>
      </w:r>
    </w:p>
    <w:p>
      <w:pPr>
        <w:spacing w:after="0" w:line="225" w:lineRule="exact"/>
        <w:rPr>
          <w:rFonts w:ascii="Arial" w:cs="Arial" w:eastAsia="Arial" w:hAnsi="Arial"/>
          <w:sz w:val="18"/>
          <w:szCs w:val="18"/>
          <w:color w:val="auto"/>
        </w:rPr>
      </w:pPr>
    </w:p>
    <w:p>
      <w:pPr>
        <w:ind w:left="660" w:hanging="4"/>
        <w:spacing w:after="0" w:line="277" w:lineRule="auto"/>
        <w:tabs>
          <w:tab w:leader="none" w:pos="91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such notes to receive payments of principal of, or interest or premium on such notes;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9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waive a redemption payment with respect to any such note (other than a payment required by one of the covenants described above under the caption “—Repurchase at the Option of Holders”); or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Notwithstanding the preceding, without the consent of any holder of notes, Clearway Operating LLC, the Guarantors and the trustee may amend or supplement the indenture or the notes:</w:t>
      </w:r>
    </w:p>
    <w:p>
      <w:pPr>
        <w:spacing w:after="0" w:line="170" w:lineRule="exact"/>
        <w:rPr>
          <w:sz w:val="20"/>
          <w:szCs w:val="20"/>
          <w:color w:val="auto"/>
        </w:rPr>
      </w:pPr>
    </w:p>
    <w:p>
      <w:pPr>
        <w:ind w:left="920" w:hanging="264"/>
        <w:spacing w:after="0"/>
        <w:tabs>
          <w:tab w:leader="none" w:pos="9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cure any ambiguity, mistake, defect or inconsistency;</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92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 (</w:t>
      </w:r>
      <w:r>
        <w:rPr>
          <w:rFonts w:ascii="Arial" w:cs="Arial" w:eastAsia="Arial" w:hAnsi="Arial"/>
          <w:sz w:val="18"/>
          <w:szCs w:val="18"/>
          <w:i w:val="1"/>
          <w:iCs w:val="1"/>
          <w:color w:val="auto"/>
        </w:rPr>
        <w:t>provided</w:t>
      </w:r>
      <w:r>
        <w:rPr>
          <w:rFonts w:ascii="Arial" w:cs="Arial" w:eastAsia="Arial" w:hAnsi="Arial"/>
          <w:sz w:val="18"/>
          <w:szCs w:val="18"/>
          <w:color w:val="auto"/>
        </w:rPr>
        <w:t>, that the uncertificated notes are issued in registered form for purposes of Section 163(f) of the Code);</w:t>
      </w:r>
    </w:p>
    <w:p>
      <w:pPr>
        <w:spacing w:after="0" w:line="170" w:lineRule="exact"/>
        <w:rPr>
          <w:rFonts w:ascii="Arial" w:cs="Arial" w:eastAsia="Arial" w:hAnsi="Arial"/>
          <w:sz w:val="18"/>
          <w:szCs w:val="18"/>
          <w:color w:val="auto"/>
        </w:rPr>
      </w:pPr>
    </w:p>
    <w:p>
      <w:pPr>
        <w:ind w:left="660" w:hanging="4"/>
        <w:spacing w:after="0" w:line="277" w:lineRule="auto"/>
        <w:tabs>
          <w:tab w:leader="none" w:pos="9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provide for the assumption of Clearway Operating LLC’s obligations to holders of notes in the case of a merger or consolidation or sale of all or substantially all of Clearway Operating LLC’s assets;</w:t>
      </w:r>
    </w:p>
    <w:p>
      <w:pPr>
        <w:spacing w:after="0" w:line="170" w:lineRule="exact"/>
        <w:rPr>
          <w:rFonts w:ascii="Arial" w:cs="Arial" w:eastAsia="Arial" w:hAnsi="Arial"/>
          <w:sz w:val="18"/>
          <w:szCs w:val="18"/>
          <w:color w:val="auto"/>
        </w:rPr>
      </w:pPr>
    </w:p>
    <w:p>
      <w:pPr>
        <w:ind w:left="660" w:hanging="4"/>
        <w:spacing w:after="0" w:line="277" w:lineRule="auto"/>
        <w:tabs>
          <w:tab w:leader="none" w:pos="92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any indenture of any such holder;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to comply with requirements of the Commission in order to effect or maintain the qualification of any indenture under the Trust Indenture Act;</w:t>
      </w:r>
    </w:p>
    <w:p>
      <w:pPr>
        <w:sectPr>
          <w:pgSz w:w="11900" w:h="16838" w:orient="portrait"/>
          <w:cols w:equalWidth="0" w:num="1">
            <w:col w:w="11420"/>
          </w:cols>
          <w:pgMar w:left="240" w:top="125" w:right="239" w:bottom="0" w:gutter="0" w:footer="0" w:header="0"/>
        </w:sectPr>
      </w:pPr>
    </w:p>
    <w:bookmarkStart w:id="187" w:name="page188"/>
    <w:bookmarkEnd w:id="187"/>
    <w:p>
      <w:pPr>
        <w:ind w:left="660" w:hanging="4"/>
        <w:spacing w:after="0" w:line="277" w:lineRule="auto"/>
        <w:tabs>
          <w:tab w:leader="none" w:pos="94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the “Description of Notes” in the offering memorandum of Clearway Operating LLC dated September 17, 2018;</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to evidence and provide for the acceptance and appointment under the indenture of a successor trustee pursuant to the requirements thereof;</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the indenture as of the date hereof;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Subsidiary Guarantee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225" w:lineRule="exact"/>
        <w:rPr>
          <w:sz w:val="20"/>
          <w:szCs w:val="20"/>
          <w:color w:val="auto"/>
        </w:rPr>
      </w:pPr>
    </w:p>
    <w:p>
      <w:pPr>
        <w:ind w:left="920" w:hanging="264"/>
        <w:spacing w:after="0"/>
        <w:tabs>
          <w:tab w:leader="none" w:pos="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1300" w:firstLine="5"/>
        <w:spacing w:after="0" w:line="264" w:lineRule="auto"/>
        <w:tabs>
          <w:tab w:leader="none" w:pos="155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such notes that have been authenticated, except lost, stolen or destroyed notes that have been replaced or paid and notes for whose payment money has been deposited in trust and thereafter repaid to Clearway Operating LLC, have been delivered to the trustee for such notes for cancellation; or</w:t>
      </w:r>
    </w:p>
    <w:p>
      <w:pPr>
        <w:spacing w:after="0" w:line="181" w:lineRule="exact"/>
        <w:rPr>
          <w:rFonts w:ascii="Arial" w:cs="Arial" w:eastAsia="Arial" w:hAnsi="Arial"/>
          <w:sz w:val="18"/>
          <w:szCs w:val="18"/>
          <w:color w:val="auto"/>
        </w:rPr>
      </w:pPr>
    </w:p>
    <w:p>
      <w:pPr>
        <w:jc w:val="both"/>
        <w:ind w:left="1300" w:firstLine="5"/>
        <w:spacing w:after="0" w:line="293" w:lineRule="auto"/>
        <w:tabs>
          <w:tab w:leader="none" w:pos="1557"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all such notes that have not been delivered to the trustee for cancellation have become due and payable by reason of the distribution of a notice of redemption or otherwise or will become due and payable within one year and Clearway Operating LLC or any Guarantor has irrevocably deposited or caused to be deposited with the trustee as trust funds in trust solely for the benefit of the holders of notes,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164" w:lineRule="exact"/>
        <w:rPr>
          <w:rFonts w:ascii="Arial" w:cs="Arial" w:eastAsia="Arial" w:hAnsi="Arial"/>
          <w:sz w:val="16"/>
          <w:szCs w:val="16"/>
          <w:color w:val="auto"/>
        </w:rPr>
      </w:pPr>
    </w:p>
    <w:p>
      <w:pPr>
        <w:jc w:val="both"/>
        <w:ind w:left="660" w:hanging="4"/>
        <w:spacing w:after="0" w:line="259" w:lineRule="auto"/>
        <w:tabs>
          <w:tab w:leader="none" w:pos="91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respect of subclause (b) of clause (1) above, no Default or Event of Default under such indenture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Clearway Operating LLC or any Guarantor is a party or by which Clearway Operating LLC or any Guarantor is bound;</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Clearway Operating LLC or any Guarantor has paid or caused to be paid all sums payable by it under the indenture; and</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94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Clearway Operating LLC has delivered irrevocable instructions to the trustee under the indenture to apply the deposited money toward the payment of the notes at maturity or the redemption date, as the case may be.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Clearway Operating LLC must deliver an officers’ certificate and an opinion of counsel to the trustee stating that all conditions precedent to satisfaction and discharge have been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If the trustee becomes a creditor of Clearway Operating LLC or any Guarantor, the indenture limits its right to obtain payment of claims in certain cases, or to realize on certain property received in respect of any such claim as security or otherwise. The trustee will be permitted to engage in other transactions; </w:t>
      </w:r>
      <w:r>
        <w:rPr>
          <w:rFonts w:ascii="Arial" w:cs="Arial" w:eastAsia="Arial" w:hAnsi="Arial"/>
          <w:sz w:val="18"/>
          <w:szCs w:val="18"/>
          <w:i w:val="1"/>
          <w:iCs w:val="1"/>
          <w:color w:val="auto"/>
        </w:rPr>
        <w:t>provided that</w:t>
      </w:r>
      <w:r>
        <w:rPr>
          <w:rFonts w:ascii="Arial" w:cs="Arial" w:eastAsia="Arial" w:hAnsi="Arial"/>
          <w:sz w:val="18"/>
          <w:szCs w:val="18"/>
          <w:color w:val="auto"/>
        </w:rPr>
        <w:t>, if it acquires any conflicting interest it must eliminate such conflict within 90 days, apply to the Commission for permission to continue (if the indenture has been qualified under the Trust Indenture Act) or resign.</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holders of a majority in principal amount of the notes that are outstanding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 Subject to the provisions of the indenture,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LTM CAFD</w:t>
      </w:r>
      <w:r>
        <w:rPr>
          <w:rFonts w:ascii="Arial" w:cs="Arial" w:eastAsia="Arial" w:hAnsi="Arial"/>
          <w:sz w:val="18"/>
          <w:szCs w:val="18"/>
          <w:color w:val="auto"/>
        </w:rPr>
        <w:t>” means, as of any date of determination (for purposes of this definition, the “</w:t>
      </w:r>
      <w:r>
        <w:rPr>
          <w:rFonts w:ascii="Arial" w:cs="Arial" w:eastAsia="Arial" w:hAnsi="Arial"/>
          <w:sz w:val="18"/>
          <w:szCs w:val="18"/>
          <w:i w:val="1"/>
          <w:iCs w:val="1"/>
          <w:color w:val="auto"/>
        </w:rPr>
        <w:t>Calculation Date</w:t>
      </w:r>
      <w:r>
        <w:rPr>
          <w:rFonts w:ascii="Arial" w:cs="Arial" w:eastAsia="Arial" w:hAnsi="Arial"/>
          <w:sz w:val="18"/>
          <w:szCs w:val="18"/>
          <w:color w:val="auto"/>
        </w:rPr>
        <w:t>”), the net income of Clearway Operating LLC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81" w:lineRule="exact"/>
        <w:rPr>
          <w:sz w:val="20"/>
          <w:szCs w:val="20"/>
          <w:color w:val="auto"/>
        </w:rPr>
      </w:pPr>
    </w:p>
    <w:p>
      <w:pPr>
        <w:ind w:left="920" w:hanging="264"/>
        <w:spacing w:after="0"/>
        <w:tabs>
          <w:tab w:leader="none" w:pos="9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plus, income tax expense, net of income tax benefit, to the extent deducted in calculating net income during such four-quarter period;</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minus equity in earnings of unconsolidated affiliates to the extent included in net income during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plus, cash distributions from unconsolidated affiliates, to the extent not included in net income during such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minus cash interest payments made by Subsidiaries of Clearway Operating LLC that were added back to net income pursuant to clause (1) above;</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minus cash income tax payments made by Clearway Operating LLC and its Subsidiaries that were added back to net income pursuant to clause</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above;</w:t>
      </w:r>
    </w:p>
    <w:p>
      <w:pPr>
        <w:sectPr>
          <w:pgSz w:w="11900" w:h="16838" w:orient="portrait"/>
          <w:cols w:equalWidth="0" w:num="1">
            <w:col w:w="11420"/>
          </w:cols>
          <w:pgMar w:left="240" w:top="193" w:right="239" w:bottom="0" w:gutter="0" w:footer="0" w:header="0"/>
        </w:sectPr>
      </w:pPr>
    </w:p>
    <w:bookmarkStart w:id="188" w:name="page189"/>
    <w:bookmarkEnd w:id="188"/>
    <w:p>
      <w:pPr>
        <w:ind w:left="660" w:right="20" w:hanging="4"/>
        <w:spacing w:after="0" w:line="277" w:lineRule="auto"/>
        <w:tabs>
          <w:tab w:leader="none" w:pos="94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Clearway Operating LLC’s Subsidiaries, to the extent not deducted in calculating net income during such four-quarter period;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plus, any decrease or minus any increase in amounts attributable to contract amortization and any recurring changes in other assets;</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minus maintenance capital expenditures, to the extent not deducted in calculating net income during such four-quarter period;</w:t>
      </w:r>
    </w:p>
    <w:p>
      <w:pPr>
        <w:spacing w:after="0" w:line="225" w:lineRule="exact"/>
        <w:rPr>
          <w:rFonts w:ascii="Arial" w:cs="Arial" w:eastAsia="Arial" w:hAnsi="Arial"/>
          <w:sz w:val="18"/>
          <w:szCs w:val="18"/>
          <w:color w:val="auto"/>
        </w:rPr>
      </w:pPr>
    </w:p>
    <w:p>
      <w:pPr>
        <w:jc w:val="both"/>
        <w:ind w:left="660" w:hanging="4"/>
        <w:spacing w:after="0" w:line="312" w:lineRule="auto"/>
        <w:tabs>
          <w:tab w:leader="none" w:pos="100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plus any expenses or charges related to any equity offering, investment, acquisition, disposition, recapitalization or incurrence of Indebtedness permitted to be incurred by the indenture including a refinancing thereof (whether or not successful), including such fees, expenses or charges related to the offering of the notes and the Credit Agreement, to the extent deducted in calculating net income during such four-quarter period; and</w:t>
      </w:r>
    </w:p>
    <w:p>
      <w:pPr>
        <w:spacing w:after="0" w:line="146" w:lineRule="exact"/>
        <w:rPr>
          <w:rFonts w:ascii="Arial" w:cs="Arial" w:eastAsia="Arial" w:hAnsi="Arial"/>
          <w:sz w:val="16"/>
          <w:szCs w:val="16"/>
          <w:color w:val="auto"/>
        </w:rPr>
      </w:pPr>
    </w:p>
    <w:p>
      <w:pPr>
        <w:ind w:left="660" w:hanging="4"/>
        <w:spacing w:after="0" w:line="277" w:lineRule="auto"/>
        <w:tabs>
          <w:tab w:leader="none" w:pos="100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plus, any professional and underwriting fees related to any equity offering, investment, acquisition, recapitalization or Indebtedness permitted to be incurred under the indenture, to the extent deducted in calculating net income during such four-quarter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jc w:val="both"/>
        <w:ind w:left="660" w:hanging="4"/>
        <w:spacing w:after="0" w:line="276" w:lineRule="auto"/>
        <w:tabs>
          <w:tab w:leader="none" w:pos="95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investments and acquisitions that have been made by Clearway Operating LLC or any of its Subsidiaries, including through mergers or consolidations, or any Person or any of its Subsidiaries acquired by Clearway Operating LLC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72" w:lineRule="exact"/>
        <w:rPr>
          <w:rFonts w:ascii="Arial" w:cs="Arial" w:eastAsia="Arial" w:hAnsi="Arial"/>
          <w:sz w:val="17"/>
          <w:szCs w:val="17"/>
          <w:color w:val="auto"/>
        </w:rPr>
      </w:pPr>
    </w:p>
    <w:p>
      <w:pPr>
        <w:ind w:left="660" w:hanging="4"/>
        <w:spacing w:after="0" w:line="277" w:lineRule="auto"/>
        <w:tabs>
          <w:tab w:leader="none" w:pos="93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Person that is a Subsidiary on the Calculation Date will be deemed to have been a Subsidiary at all times during such four-quarter period; and</w:t>
      </w:r>
    </w:p>
    <w:p>
      <w:pPr>
        <w:spacing w:after="0" w:line="248" w:lineRule="exact"/>
        <w:rPr>
          <w:rFonts w:ascii="Arial" w:cs="Arial" w:eastAsia="Arial" w:hAnsi="Arial"/>
          <w:sz w:val="16"/>
          <w:szCs w:val="16"/>
          <w:color w:val="auto"/>
        </w:rPr>
      </w:pPr>
    </w:p>
    <w:p>
      <w:pPr>
        <w:ind w:left="660" w:right="20" w:hanging="4"/>
        <w:spacing w:after="0" w:line="277" w:lineRule="auto"/>
        <w:tabs>
          <w:tab w:leader="none" w:pos="92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Person that is not a Subsidiary on the Calculation Date will be deemed not to have been a Subsidiary at any time during such four-quarter period.</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Laws</w:t>
      </w:r>
      <w:r>
        <w:rPr>
          <w:rFonts w:ascii="Arial" w:cs="Arial" w:eastAsia="Arial" w:hAnsi="Arial"/>
          <w:sz w:val="18"/>
          <w:szCs w:val="18"/>
          <w:color w:val="auto"/>
        </w:rPr>
        <w:t>” means, as to any Person, any law, rule, regulation, ordinance or treaty, or any determination, ruling or other directive by or 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225" w:lineRule="exact"/>
        <w:rPr>
          <w:sz w:val="20"/>
          <w:szCs w:val="20"/>
          <w:color w:val="auto"/>
        </w:rPr>
      </w:pPr>
    </w:p>
    <w:p>
      <w:pPr>
        <w:ind w:left="920" w:hanging="264"/>
        <w:spacing w:after="0"/>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jc w:val="both"/>
        <w:ind w:left="1300" w:firstLine="5"/>
        <w:spacing w:after="0" w:line="259" w:lineRule="auto"/>
        <w:tabs>
          <w:tab w:leader="none" w:pos="155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October 15, 2021 (such redemption price being set forth in the table appearing above under the caption “—Optional Redemption”)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October 15, 2021 (excluding accrued but unpaid interest to the redemption date), computed using a discount rate equal to the Treasury Rate as of such redemption date plus 50 basis points; over</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“Beneficially Owns” and “Beneficially Owned” have a corresponding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 means:</w:t>
      </w:r>
    </w:p>
    <w:p>
      <w:pPr>
        <w:spacing w:after="0" w:line="225" w:lineRule="exact"/>
        <w:rPr>
          <w:sz w:val="20"/>
          <w:szCs w:val="20"/>
          <w:color w:val="auto"/>
        </w:rPr>
      </w:pPr>
    </w:p>
    <w:p>
      <w:pPr>
        <w:ind w:left="920" w:hanging="264"/>
        <w:spacing w:after="0"/>
        <w:tabs>
          <w:tab w:leader="none" w:pos="9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 Stock” means:</w:t>
      </w:r>
    </w:p>
    <w:p>
      <w:pPr>
        <w:spacing w:after="0" w:line="225" w:lineRule="exact"/>
        <w:rPr>
          <w:sz w:val="20"/>
          <w:szCs w:val="20"/>
          <w:color w:val="auto"/>
        </w:rPr>
      </w:pPr>
    </w:p>
    <w:p>
      <w:pPr>
        <w:ind w:left="920" w:hanging="264"/>
        <w:spacing w:after="0"/>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hanging="4"/>
        <w:spacing w:after="0" w:line="277" w:lineRule="auto"/>
        <w:tabs>
          <w:tab w:leader="none" w:pos="92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ectPr>
          <w:pgSz w:w="11900" w:h="16838" w:orient="portrait"/>
          <w:cols w:equalWidth="0" w:num="1">
            <w:col w:w="11420"/>
          </w:cols>
          <w:pgMar w:left="240" w:top="125" w:right="239" w:bottom="0" w:gutter="0" w:footer="0" w:header="0"/>
        </w:sectPr>
      </w:pPr>
    </w:p>
    <w:bookmarkStart w:id="189" w:name="page190"/>
    <w:bookmarkEnd w:id="189"/>
    <w:p>
      <w:pPr>
        <w:ind w:left="920" w:hanging="264"/>
        <w:spacing w:after="0"/>
        <w:tabs>
          <w:tab w:leader="none" w:pos="92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interests (whether general or limited) or membership interests; and</w:t>
      </w:r>
    </w:p>
    <w:p>
      <w:pPr>
        <w:spacing w:after="0" w:line="236" w:lineRule="exact"/>
        <w:rPr>
          <w:rFonts w:ascii="Arial" w:cs="Arial" w:eastAsia="Arial" w:hAnsi="Arial"/>
          <w:sz w:val="17"/>
          <w:szCs w:val="17"/>
          <w:color w:val="auto"/>
        </w:rPr>
      </w:pPr>
    </w:p>
    <w:p>
      <w:pPr>
        <w:jc w:val="both"/>
        <w:ind w:left="660" w:hanging="4"/>
        <w:spacing w:after="0" w:line="264" w:lineRule="auto"/>
        <w:tabs>
          <w:tab w:leader="none" w:pos="91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jc w:val="both"/>
        <w:ind w:left="660" w:hanging="4"/>
        <w:spacing w:after="0" w:line="279" w:lineRule="auto"/>
        <w:tabs>
          <w:tab w:leader="none" w:pos="92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direct or indirect sale, transfer, conveyance or other disposition (other than by way of merger or consolidation), in one or a series of related transactions, of all or substantially all of the properties or assets of Clearway Operating LLC and its Subsidiaries taken as a whole to any “person” (as that term is used in Section 13(d) of the Exchange Act, but excluding any employee benefit plan of Clearway Operating LLC or any of its Subsidiaries, and any person or entity acting in its capacity as trustee, agent or other fiduciary or administrator of such plan);</w:t>
      </w:r>
    </w:p>
    <w:p>
      <w:pPr>
        <w:spacing w:after="0" w:line="171" w:lineRule="exact"/>
        <w:rPr>
          <w:rFonts w:ascii="Arial" w:cs="Arial" w:eastAsia="Arial" w:hAnsi="Arial"/>
          <w:sz w:val="17"/>
          <w:szCs w:val="17"/>
          <w:color w:val="auto"/>
        </w:rPr>
      </w:pPr>
    </w:p>
    <w:p>
      <w:pPr>
        <w:ind w:left="920" w:hanging="264"/>
        <w:spacing w:after="0"/>
        <w:tabs>
          <w:tab w:leader="none" w:pos="9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Clearway Inc., the Parent Guarantor or Clearway Operating LLC;</w:t>
      </w:r>
    </w:p>
    <w:p>
      <w:pPr>
        <w:spacing w:after="0" w:line="225" w:lineRule="exact"/>
        <w:rPr>
          <w:rFonts w:ascii="Arial" w:cs="Arial" w:eastAsia="Arial" w:hAnsi="Arial"/>
          <w:sz w:val="18"/>
          <w:szCs w:val="18"/>
          <w:color w:val="auto"/>
        </w:rPr>
      </w:pPr>
    </w:p>
    <w:p>
      <w:pPr>
        <w:jc w:val="both"/>
        <w:ind w:left="660" w:hanging="4"/>
        <w:spacing w:after="0" w:line="279" w:lineRule="auto"/>
        <w:tabs>
          <w:tab w:leader="none" w:pos="934"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(as defined above), other than (i) the Sponsor or (ii) a corporation owned directly or indirectly by the stockholders of Clearway Inc. in substantially the same proportion as their ownership of stock of Clearway Inc. prior to such transaction, becomes the Beneficial Owner, directly or indirectly, of more than 50% of the Voting Stock of Clearway Inc., measured by voting power rather than number of shares; or</w:t>
      </w:r>
    </w:p>
    <w:p>
      <w:pPr>
        <w:spacing w:after="0" w:line="171" w:lineRule="exact"/>
        <w:rPr>
          <w:rFonts w:ascii="Arial" w:cs="Arial" w:eastAsia="Arial" w:hAnsi="Arial"/>
          <w:sz w:val="17"/>
          <w:szCs w:val="17"/>
          <w:color w:val="auto"/>
        </w:rPr>
      </w:pPr>
    </w:p>
    <w:p>
      <w:pPr>
        <w:ind w:left="660" w:hanging="4"/>
        <w:spacing w:after="0" w:line="277" w:lineRule="auto"/>
        <w:tabs>
          <w:tab w:leader="none" w:pos="92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first day on which either (i) Clearway Inc. ceases to be the sole managing member of the Parent Guarantor or (ii) Clearway Operating LLC ceases to be a Wholly Owned Subsidiary of the Parent Guarantor.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it in the indenture governing the notes.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 Triggering Event</w:t>
      </w:r>
      <w:r>
        <w:rPr>
          <w:rFonts w:ascii="Arial" w:cs="Arial" w:eastAsia="Arial" w:hAnsi="Arial"/>
          <w:sz w:val="17"/>
          <w:szCs w:val="17"/>
          <w:color w:val="auto"/>
        </w:rPr>
        <w:t xml:space="preserve">” means (1) a Change of Control has occurred and (2) the notes are downgraded by both S&amp;P and Moody’s on any date within the 60-day period (which 60-day period will be extended so long as the rating of the notes is under publicly announced consideration for a possible downgrade by either S&amp;P or Moody’s) after the earlier of (a) the occurrence of a Change of Control and (b) public disclosure by Clearway Operating LLC of the occurrence of a Change of Control or Clearway Operating LLC’s intention to effect a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Clearway Operating LLC’s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the Amended and Restated Credit Agreement, dated April 25, 2014, among Clearway Operating LLC, the Parent Guarantor, each other guarantor from time to time party thereto, each lender from time to time party thereto, JPMorgan Chase Bank, N.A., as the administrative agent, and JPMorgan Chase Bank, N.A., Royal Bank of Canada, Bank of America, N.A. and Barclays Bank PLC, as letter of credit issuers , as the same may be amended, restated, modified, renewed, refunded, replaced or refinanced from time to time.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(i) one or more debt facilities (including, without limitation, the Credit Agreement) or commercial paper facilities, in 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CapEx Debt</w:t>
      </w:r>
      <w:r>
        <w:rPr>
          <w:rFonts w:ascii="Arial" w:cs="Arial" w:eastAsia="Arial" w:hAnsi="Arial"/>
          <w:sz w:val="18"/>
          <w:szCs w:val="18"/>
          <w:color w:val="auto"/>
        </w:rPr>
        <w:t>” means Indebtedness of Clearway Operating LLC or any of its Subsidiaries incurred for the purpose of financing capital expenditures to the extent deemed reasonably necessary, as determined by Clearway Operating LLC or any of its Subsidiaries, as applicable, in good faith and pursuant to prudent judgment, to comply with applicable Environmental Laws.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means all former, current and future federal, state, local and foreign laws (including common law), treaties, regulations, 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Offerings</w:t>
      </w:r>
      <w:r>
        <w:rPr>
          <w:rFonts w:ascii="Arial" w:cs="Arial" w:eastAsia="Arial" w:hAnsi="Arial"/>
          <w:sz w:val="18"/>
          <w:szCs w:val="18"/>
          <w:color w:val="auto"/>
        </w:rPr>
        <w:t>” means any public or private sale after the issue date of Capital Stock of the Parent Guarantor or Clearway Inc., the proceeds of which have been contributed to Clearway Operating LLC as common equity, other than:</w:t>
      </w:r>
    </w:p>
    <w:p>
      <w:pPr>
        <w:spacing w:after="0" w:line="170" w:lineRule="exact"/>
        <w:rPr>
          <w:sz w:val="20"/>
          <w:szCs w:val="20"/>
          <w:color w:val="auto"/>
        </w:rPr>
      </w:pPr>
    </w:p>
    <w:p>
      <w:pPr>
        <w:ind w:left="920" w:hanging="264"/>
        <w:spacing w:after="0"/>
        <w:tabs>
          <w:tab w:leader="none" w:pos="9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public offerings with respect to Clearway Inc.’s common stock registered on Form S-4 or Form S-8;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issuances to any Subsidiary of Clearway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Agreement</w:t>
      </w:r>
      <w:r>
        <w:rPr>
          <w:rFonts w:ascii="Arial" w:cs="Arial" w:eastAsia="Arial" w:hAnsi="Arial"/>
          <w:sz w:val="18"/>
          <w:szCs w:val="18"/>
          <w:color w:val="auto"/>
        </w:rPr>
        <w:t>” means the Amended and Restated Exchange Agreement, dated as of May 14, 2015 by and among Global Infrastructure Investors III, LLC (as successor in interest to NRG Energy, Inc. pursuant to that certain Assignment and Assumption Agreement, dated as of August 31, 2018), Clearway Inc. and the Parent Guarantor and each of the other parties thereto from time to time, as amended, supplemented or otherwise modified from time to time.</w:t>
      </w:r>
    </w:p>
    <w:p>
      <w:pPr>
        <w:sectPr>
          <w:pgSz w:w="11900" w:h="16838" w:orient="portrait"/>
          <w:cols w:equalWidth="0" w:num="1">
            <w:col w:w="11420"/>
          </w:cols>
          <w:pgMar w:left="240" w:top="193" w:right="239" w:bottom="0" w:gutter="0" w:footer="0" w:header="0"/>
        </w:sectPr>
      </w:pPr>
    </w:p>
    <w:bookmarkStart w:id="190" w:name="page191"/>
    <w:bookmarkEnd w:id="190"/>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Liens</w:t>
      </w:r>
      <w:r>
        <w:rPr>
          <w:rFonts w:ascii="Arial" w:cs="Arial" w:eastAsia="Arial" w:hAnsi="Arial"/>
          <w:sz w:val="18"/>
          <w:szCs w:val="18"/>
          <w:color w:val="auto"/>
        </w:rPr>
        <w:t>” means Liens on the property or assets of Clearway Operating LLC and/or any of its Subsidiaries existing on the date of the indenture securing Indebtedness of Clearway Operating LLC or any of its Subsidiaries (other than Liens incurred pursuant to clause (1) of the covenant described above under the caption “—Liens”).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operating lease would be re-characterized as a capital lease due to changes in the accounting treatment of such operating leases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GAAP since the issue date, then solely with respect to the accounting treatment of any such lease, GAAP shall be interpreted as it was in effect on the issue date.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the issuer’s option.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xml:space="preserv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standard contractual indemnities which do not relate to Indebtedness shall not be considered a Guarantee.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225" w:lineRule="exact"/>
        <w:rPr>
          <w:sz w:val="20"/>
          <w:szCs w:val="20"/>
          <w:color w:val="auto"/>
        </w:rPr>
      </w:pPr>
    </w:p>
    <w:p>
      <w:pPr>
        <w:ind w:left="920" w:hanging="264"/>
        <w:spacing w:after="0"/>
        <w:tabs>
          <w:tab w:leader="none" w:pos="9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Parent Guarantor; and</w:t>
      </w:r>
    </w:p>
    <w:p>
      <w:pPr>
        <w:spacing w:after="0" w:line="225" w:lineRule="exact"/>
        <w:rPr>
          <w:rFonts w:ascii="Arial" w:cs="Arial" w:eastAsia="Arial" w:hAnsi="Arial"/>
          <w:sz w:val="18"/>
          <w:szCs w:val="18"/>
          <w:color w:val="auto"/>
        </w:rPr>
      </w:pPr>
    </w:p>
    <w:p>
      <w:pPr>
        <w:ind w:left="660" w:right="2880" w:hanging="4"/>
        <w:spacing w:after="0" w:line="563" w:lineRule="auto"/>
        <w:tabs>
          <w:tab w:leader="none" w:pos="91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Subsidiary Guarantors, until such time as they are released pursuant to the provisions of the indenture. “</w:t>
      </w:r>
      <w:r>
        <w:rPr>
          <w:rFonts w:ascii="Arial" w:cs="Arial" w:eastAsia="Arial" w:hAnsi="Arial"/>
          <w:sz w:val="16"/>
          <w:szCs w:val="16"/>
          <w:i w:val="1"/>
          <w:iCs w:val="1"/>
          <w:color w:val="auto"/>
        </w:rPr>
        <w:t>Hedging Obligations</w:t>
      </w:r>
      <w:r>
        <w:rPr>
          <w:rFonts w:ascii="Arial" w:cs="Arial" w:eastAsia="Arial" w:hAnsi="Arial"/>
          <w:sz w:val="16"/>
          <w:szCs w:val="16"/>
          <w:color w:val="auto"/>
        </w:rPr>
        <w:t>” means, with respect to any specified Person, the obligations of such Person under:</w:t>
      </w:r>
    </w:p>
    <w:p>
      <w:pPr>
        <w:spacing w:after="0" w:line="1" w:lineRule="exact"/>
        <w:rPr>
          <w:sz w:val="20"/>
          <w:szCs w:val="20"/>
          <w:color w:val="auto"/>
        </w:rPr>
      </w:pPr>
    </w:p>
    <w:p>
      <w:pPr>
        <w:ind w:left="660" w:hanging="4"/>
        <w:spacing w:after="0" w:line="277" w:lineRule="auto"/>
        <w:tabs>
          <w:tab w:leader="none" w:pos="93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jc w:val="both"/>
        <w:ind w:left="660" w:hanging="4"/>
        <w:spacing w:after="0" w:line="257" w:lineRule="auto"/>
        <w:tabs>
          <w:tab w:leader="none" w:pos="93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except as provided in clause (5) below, and surety bonds), whether or not contingent:</w:t>
      </w:r>
    </w:p>
    <w:p>
      <w:pPr>
        <w:spacing w:after="0" w:line="170" w:lineRule="exact"/>
        <w:rPr>
          <w:sz w:val="20"/>
          <w:szCs w:val="20"/>
          <w:color w:val="auto"/>
        </w:rPr>
      </w:pPr>
    </w:p>
    <w:p>
      <w:pPr>
        <w:ind w:left="920" w:hanging="264"/>
        <w:spacing w:after="0"/>
        <w:tabs>
          <w:tab w:leader="none" w:pos="9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660" w:hanging="4"/>
        <w:spacing w:after="0" w:line="277" w:lineRule="auto"/>
        <w:tabs>
          <w:tab w:leader="none" w:pos="92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70" w:lineRule="exact"/>
        <w:rPr>
          <w:rFonts w:ascii="Arial" w:cs="Arial" w:eastAsia="Arial" w:hAnsi="Arial"/>
          <w:sz w:val="18"/>
          <w:szCs w:val="18"/>
          <w:color w:val="auto"/>
        </w:rPr>
      </w:pPr>
    </w:p>
    <w:p>
      <w:pPr>
        <w:ind w:left="660" w:hanging="4"/>
        <w:spacing w:after="0" w:line="308" w:lineRule="auto"/>
        <w:tabs>
          <w:tab w:leader="none" w:pos="916" w:val="left"/>
        </w:tabs>
        <w:numPr>
          <w:ilvl w:val="0"/>
          <w:numId w:val="172"/>
        </w:numPr>
        <w:rPr>
          <w:rFonts w:ascii="Arial" w:cs="Arial" w:eastAsia="Arial" w:hAnsi="Arial"/>
          <w:sz w:val="17"/>
          <w:szCs w:val="17"/>
          <w:color w:val="auto"/>
        </w:rPr>
      </w:pPr>
      <w:r>
        <w:rPr>
          <w:rFonts w:ascii="Arial" w:cs="Arial" w:eastAsia="Arial" w:hAnsi="Arial"/>
          <w:sz w:val="17"/>
          <w:szCs w:val="17"/>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October 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w:t>
      </w:r>
    </w:p>
    <w:p>
      <w:pPr>
        <w:spacing w:after="0" w:line="225" w:lineRule="exact"/>
        <w:rPr>
          <w:sz w:val="20"/>
          <w:szCs w:val="20"/>
          <w:color w:val="auto"/>
        </w:rPr>
      </w:pPr>
    </w:p>
    <w:p>
      <w:pPr>
        <w:ind w:left="660" w:hanging="4"/>
        <w:spacing w:after="0" w:line="277" w:lineRule="auto"/>
        <w:tabs>
          <w:tab w:leader="none" w:pos="95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9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left="660" w:hanging="4"/>
        <w:spacing w:after="0" w:line="277" w:lineRule="auto"/>
        <w:tabs>
          <w:tab w:leader="none" w:pos="91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as of any date, any series of Indebtedness with an aggregate principal amount outstanding in excess of the greater of (i) 1.5% of Total Assets, as of such date, and (ii) $100.0 million.</w:t>
      </w:r>
    </w:p>
    <w:p>
      <w:pPr>
        <w:sectPr>
          <w:pgSz w:w="11900" w:h="16838" w:orient="portrait"/>
          <w:cols w:equalWidth="0" w:num="1">
            <w:col w:w="11420"/>
          </w:cols>
          <w:pgMar w:left="240" w:top="125" w:right="239" w:bottom="0" w:gutter="0" w:footer="0" w:header="0"/>
        </w:sectPr>
      </w:pPr>
    </w:p>
    <w:bookmarkStart w:id="191" w:name="page192"/>
    <w:bookmarkEnd w:id="19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entity.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Necessary CapEx Debt</w:t>
      </w:r>
      <w:r>
        <w:rPr>
          <w:rFonts w:ascii="Arial" w:cs="Arial" w:eastAsia="Arial" w:hAnsi="Arial"/>
          <w:sz w:val="18"/>
          <w:szCs w:val="18"/>
          <w:color w:val="auto"/>
        </w:rPr>
        <w:t>” means Indebtedness of Clearway Operating LLC or any of its Subsidiaries incurred for the purpose of financing capital expenditures (other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Guarantee</w:t>
      </w:r>
      <w:r>
        <w:rPr>
          <w:rFonts w:ascii="Arial" w:cs="Arial" w:eastAsia="Arial" w:hAnsi="Arial"/>
          <w:sz w:val="18"/>
          <w:szCs w:val="18"/>
          <w:color w:val="auto"/>
        </w:rPr>
        <w:t>” means the Guarantee by the Parent Guarantor of Clearway Operating LLC’s obligations under the indenture and on the notes, executed pursuant to the provisions of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Clearway LLC and its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any building, structure or other facility, and all related property, plant or equipment or other long-term assets used or useful in the ownership, development, construction or operation of such building, structure or other facility owned or leased by Clearway Operating LLC or any Guarantor and having a net book value in excess of 2.0% of Total Assets, except any such building, structure or other facility (or related property, plant or equipment) that in the opinion of the Board of Directors is not of material importance to the business conducted by Clearway Operating LLC and its consolidated Subsidiaries, taken as a whole.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 Forma Cost Savings</w:t>
      </w:r>
      <w:r>
        <w:rPr>
          <w:rFonts w:ascii="Arial" w:cs="Arial" w:eastAsia="Arial" w:hAnsi="Arial"/>
          <w:sz w:val="17"/>
          <w:szCs w:val="17"/>
          <w:color w:val="auto"/>
        </w:rPr>
        <w:t>” means, without duplication, with respect to any period, reductions in costs and related adjustments that have been actually realized or are projected by Clearway Operating LLC’s Chief Financial Officer in good faith to result from reasonably identifiable and factually supportable actions or events, but only to the extent such reductions in costs and related adjustments are so projected by Clearway Operating LLC to be realized prior to the end of the consecutive four-quarter period commencing after the transaction giving rise to such calculation.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Debt</w:t>
      </w:r>
      <w:r>
        <w:rPr>
          <w:rFonts w:ascii="Arial" w:cs="Arial" w:eastAsia="Arial" w:hAnsi="Arial"/>
          <w:sz w:val="18"/>
          <w:szCs w:val="18"/>
          <w:color w:val="auto"/>
        </w:rPr>
        <w:t xml:space="preserve">” means Indebtedness of one or more Project Subsidiaries incurred for the purpose of holding, leasing, developing, constructing or acquiring energy generating, transmission or distribution assets, or assets related thereto, or any other power or energy facility or any assets related thereto,;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Clearway Operating LLC is not liable with respect to such Indebtedness except to the extent of a non-recourse pledge of equity interests in one</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Project Subsidiaries.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Subsidiary</w:t>
      </w:r>
      <w:r>
        <w:rPr>
          <w:rFonts w:ascii="Arial" w:cs="Arial" w:eastAsia="Arial" w:hAnsi="Arial"/>
          <w:sz w:val="18"/>
          <w:szCs w:val="18"/>
          <w:color w:val="auto"/>
        </w:rPr>
        <w:t xml:space="preserve">” means any Subsidiary of Clearway Operating LLC held for the purpose of holding, leasing, developing, constructing or acquiring energy generating, transmission or distribution assets, or assets related thereto, or any other power or energy facility or any assets related thereto, and any Subsidiary of Clearway Operating LLC whose assets consist primarily of equity interests in one or more other Project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Subsidiary will cease to be a Project Subsidiary if it Guarantees any Indebtedness of Clearway Operating LLC other than obligations of Clearway Operating LLC related to Project Debt of one or more Project Subsidiaries.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Refinancing Liens</w:t>
      </w:r>
      <w:r>
        <w:rPr>
          <w:rFonts w:ascii="Arial" w:cs="Arial" w:eastAsia="Arial" w:hAnsi="Arial"/>
          <w:sz w:val="17"/>
          <w:szCs w:val="17"/>
          <w:color w:val="auto"/>
        </w:rPr>
        <w:t xml:space="preserve">” means Liens granted in connection with amending, extending, modifying, renewing, replacing, refunding or refinancing in whole or in part any Indebtedness secured by Liens described in clauses (2) through (10) of the covenant described above under the caption “—Liens;”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Refinancing Liens do not (a) extend to property or assets other than property or assets of the type that were subject to the original Lien or (b)</w:t>
      </w:r>
      <w:r>
        <w:rPr>
          <w:rFonts w:ascii="Arial" w:cs="Arial" w:eastAsia="Arial" w:hAnsi="Arial"/>
          <w:sz w:val="17"/>
          <w:szCs w:val="17"/>
          <w:i w:val="1"/>
          <w:iCs w:val="1"/>
          <w:color w:val="auto"/>
        </w:rPr>
        <w:t xml:space="preserve"> </w:t>
      </w:r>
      <w:r>
        <w:rPr>
          <w:rFonts w:ascii="Arial" w:cs="Arial" w:eastAsia="Arial" w:hAnsi="Arial"/>
          <w:sz w:val="17"/>
          <w:szCs w:val="17"/>
          <w:color w:val="auto"/>
        </w:rPr>
        <w:t>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Group or any successor entity.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date of the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Affiliate</w:t>
      </w:r>
      <w:r>
        <w:rPr>
          <w:rFonts w:ascii="Arial" w:cs="Arial" w:eastAsia="Arial" w:hAnsi="Arial"/>
          <w:sz w:val="18"/>
          <w:szCs w:val="18"/>
          <w:color w:val="auto"/>
        </w:rPr>
        <w:t>” means any Affiliate of the Sponsor that is not a portfolio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installment of interest or principal on any series of Indebtedness, the date on which the payment of interest or principal was scheduled to be paid in the documentation governing such Indebtedness as of the date of the first date it was incurred in compliance with the indenture, and will not include any contingent obligations to repay, redeem or repurchase any such interest or principal prior to the date originally scheduled for the payment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jc w:val="both"/>
        <w:ind w:left="660" w:hanging="4"/>
        <w:spacing w:after="0" w:line="302" w:lineRule="auto"/>
        <w:tabs>
          <w:tab w:leader="none" w:pos="94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54" w:lineRule="exact"/>
        <w:rPr>
          <w:rFonts w:ascii="Arial" w:cs="Arial" w:eastAsia="Arial" w:hAnsi="Arial"/>
          <w:sz w:val="16"/>
          <w:szCs w:val="16"/>
          <w:color w:val="auto"/>
        </w:rPr>
      </w:pPr>
    </w:p>
    <w:p>
      <w:pPr>
        <w:ind w:left="660" w:hanging="4"/>
        <w:spacing w:after="0" w:line="308" w:lineRule="auto"/>
        <w:tabs>
          <w:tab w:leader="none" w:pos="91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Guarantee</w:t>
      </w:r>
      <w:r>
        <w:rPr>
          <w:rFonts w:ascii="Arial" w:cs="Arial" w:eastAsia="Arial" w:hAnsi="Arial"/>
          <w:sz w:val="18"/>
          <w:szCs w:val="18"/>
          <w:color w:val="auto"/>
        </w:rPr>
        <w:t>” means the Guarantee by each Subsidiary Guarantor of Clearway Operating LLC’s obligations under the indenture and on the notes, executed pursuant to the provisions of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“Subsidiary Guarantors” means:</w:t>
      </w:r>
    </w:p>
    <w:p>
      <w:pPr>
        <w:sectPr>
          <w:pgSz w:w="11900" w:h="16838" w:orient="portrait"/>
          <w:cols w:equalWidth="0" w:num="1">
            <w:col w:w="11420"/>
          </w:cols>
          <w:pgMar w:left="240" w:top="125" w:right="239" w:bottom="0" w:gutter="0" w:footer="0" w:header="0"/>
        </w:sectPr>
      </w:pPr>
    </w:p>
    <w:bookmarkStart w:id="192" w:name="page193"/>
    <w:bookmarkEnd w:id="192"/>
    <w:p>
      <w:pPr>
        <w:ind w:left="660" w:right="20" w:hanging="4"/>
        <w:spacing w:after="0" w:line="277" w:lineRule="auto"/>
        <w:tabs>
          <w:tab w:leader="none" w:pos="93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of Clearway Operating LLC’s Wholly Owned Subsidiaries that Guarantees the notes on the date of the indenture, until such time as it is released pursuant to the provisions of the indenture; and</w:t>
      </w:r>
    </w:p>
    <w:p>
      <w:pPr>
        <w:spacing w:after="0" w:line="170" w:lineRule="exact"/>
        <w:rPr>
          <w:rFonts w:ascii="Arial" w:cs="Arial" w:eastAsia="Arial" w:hAnsi="Arial"/>
          <w:sz w:val="18"/>
          <w:szCs w:val="18"/>
          <w:color w:val="auto"/>
        </w:rPr>
      </w:pPr>
    </w:p>
    <w:p>
      <w:pPr>
        <w:ind w:left="660" w:hanging="4"/>
        <w:spacing w:after="0" w:line="277" w:lineRule="auto"/>
        <w:tabs>
          <w:tab w:leader="none" w:pos="91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the indenture, and their respective successors and assigns.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Equity Financing</w:t>
      </w:r>
      <w:r>
        <w:rPr>
          <w:rFonts w:ascii="Arial" w:cs="Arial" w:eastAsia="Arial" w:hAnsi="Arial"/>
          <w:sz w:val="17"/>
          <w:szCs w:val="17"/>
          <w:color w:val="auto"/>
        </w:rPr>
        <w:t>” means a tax equity financing entered into solely in connection with the acquisition, expansion, upgrade or refurbishment (or refinancing of any of the foregoing or of any Indebtedness incurred in connection therewith) of or by a Project Subsidiary (and/or another Subsidiary that is a direct or indirect parent company of such Project Subsidiary)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 length basis.</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means, as of any date of determination, the total consolidated assets of Clearway Operating LLC and its Subsidiaries, determined on a consolidated basis in accordance with GAAP, as shown on the most recent publicly available balance sheet of Clearway Operating LLC as of such date.</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October 15, 2021;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the redemption date to October 15, 2021 is less than one year, the weekly average yield on actually traded United States Treasury securities adjusted to a constant maturity of one year will be used.</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means, with respect to any specified Person, a direct or indirect Subsidiary of such Person, 100% of the outstanding Capital Stock or other ownership interests of which is at the time owned by such Person or by one or more Wholly Owned Subsidiaries of such Person.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Clearway Operating LLC’s 5.000% Senior Notes due 2026</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description of Clearway Operating LLC’s 5.00%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 as of December 31, 2019. In this description, “Clearway Operating LLC” refers only to Clearway Energy Operating LLC and not to any of its subsidiaries or parent entities.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Clearway Operating LLC issued the notes under an indenture among Clearway Operating LLC, the Guarantors named therein and Delaware Trust Company (as successor in interest to Law Debenture Trust Company of New York), as trustee.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statements under this caption relating to the indenture and the notes are summaries and are not a complete description thereof, and where reference is made to particular provisions, such provisions, including the definitions of certain terms, are qualified in their entirety by reference to all of the provisions of the indenture and the notes and those terms made part of the indenture by the Trust Indenture Act of 1939, as amended (the “</w:t>
      </w:r>
      <w:r>
        <w:rPr>
          <w:rFonts w:ascii="Arial" w:cs="Arial" w:eastAsia="Arial" w:hAnsi="Arial"/>
          <w:sz w:val="17"/>
          <w:szCs w:val="17"/>
          <w:i w:val="1"/>
          <w:iCs w:val="1"/>
          <w:color w:val="auto"/>
        </w:rPr>
        <w:t>Trust Indenture</w:t>
      </w:r>
      <w:r>
        <w:rPr>
          <w:rFonts w:ascii="Arial" w:cs="Arial" w:eastAsia="Arial" w:hAnsi="Arial"/>
          <w:sz w:val="17"/>
          <w:szCs w:val="17"/>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The definitions of certain capitalized terms used in the following summary are set forth under the caption “—Certain Definitions.” Terms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“Description of Clearway Operating LLC’s 5.000% Senior Notes due 2026” section are defined only for the purpose of this section. Certain defined terms used in this description but not defined below under “—Certain Definitions” have the meanings assigned to them in the indenture. The indenture is an exhibit to this Annual Report on Form 10-K and is incorporated by reference herein. In addition, copies of the indenture are available upon request from Clearway Inc. References in this section to any subsections are references only to subsections of this section.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registered holder of a note is treated as the owner of it for all purposes. Only registered holders of notes have rights under the indenture.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are general unsecured obligations of Clearway Operating LLC;</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Clearway Operating LLC, including Clearway Operating LLC’s Indebtedness under the Credit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are senior in right of payment to any future subordinated Indebtedness of Clearway Operating LLC;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are unconditionally guaranteed on a joint and several basis by the Guarantors.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However, the notes are effectively subordinated to all borrowings under the Credit Agreement, which is secured by substantially all of the assets of Clearway Operating LLC and the Guarantors, and any other secured Indebtedness (including any secured Hedging Obligations) of Clearway Operating LLC or the Guarantors, in each case to the extent of the value of the assets that secure the Credit Agreement or such other secured Indebtedness.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Parent Guarantor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are guaranteed by Clearway LLC (the “</w:t>
      </w:r>
      <w:r>
        <w:rPr>
          <w:rFonts w:ascii="Arial" w:cs="Arial" w:eastAsia="Arial" w:hAnsi="Arial"/>
          <w:sz w:val="18"/>
          <w:szCs w:val="18"/>
          <w:i w:val="1"/>
          <w:iCs w:val="1"/>
          <w:color w:val="auto"/>
        </w:rPr>
        <w:t>Parent Guarantor</w:t>
      </w:r>
      <w:r>
        <w:rPr>
          <w:rFonts w:ascii="Arial" w:cs="Arial" w:eastAsia="Arial" w:hAnsi="Arial"/>
          <w:sz w:val="18"/>
          <w:szCs w:val="18"/>
          <w:color w:val="auto"/>
        </w:rPr>
        <w:t>”). The Parent Guarantee of the notes:</w:t>
      </w:r>
    </w:p>
    <w:p>
      <w:pPr>
        <w:spacing w:after="0" w:line="225" w:lineRule="exact"/>
        <w:rPr>
          <w:sz w:val="20"/>
          <w:szCs w:val="20"/>
          <w:color w:val="auto"/>
        </w:rPr>
      </w:pPr>
    </w:p>
    <w:p>
      <w:pPr>
        <w:ind w:left="1300" w:hanging="644"/>
        <w:spacing w:after="0"/>
        <w:tabs>
          <w:tab w:leader="none" w:pos="1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is a general unsecured obligation of the Parent Guarantor;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the Parent Guarantor, including the Parent Guarantor’s guarantee under the Credit Agreement;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is senior in right of payment to any future subordinated Indebtedness of the Parent Guarantor.</w:t>
      </w:r>
    </w:p>
    <w:p>
      <w:pPr>
        <w:sectPr>
          <w:pgSz w:w="11900" w:h="16838" w:orient="portrait"/>
          <w:cols w:equalWidth="0" w:num="1">
            <w:col w:w="11420"/>
          </w:cols>
          <w:pgMar w:left="240" w:top="125" w:right="239" w:bottom="0" w:gutter="0" w:footer="0" w:header="0"/>
        </w:sectPr>
      </w:pPr>
    </w:p>
    <w:bookmarkStart w:id="193" w:name="page194"/>
    <w:bookmarkEnd w:id="193"/>
    <w:p>
      <w:pPr>
        <w:jc w:val="both"/>
        <w:ind w:firstLine="648"/>
        <w:spacing w:after="0" w:line="264" w:lineRule="auto"/>
        <w:rPr>
          <w:sz w:val="20"/>
          <w:szCs w:val="20"/>
          <w:color w:val="auto"/>
        </w:rPr>
      </w:pPr>
      <w:r>
        <w:rPr>
          <w:rFonts w:ascii="Arial" w:cs="Arial" w:eastAsia="Arial" w:hAnsi="Arial"/>
          <w:sz w:val="18"/>
          <w:szCs w:val="18"/>
          <w:color w:val="auto"/>
        </w:rPr>
        <w:t>However, the Parent Guarantor’s guarantee of the notes is effectively subordinated to the Parent Guarantor’s guarantee under the Credit Agreement and any other secured Indebtedness of the Parent Guarantor (including any secured Hedging Obligations), in each case, to the extent of the value of the assets of the Parent Guarantor that secure the Credit Agreement or such other secured Indebtedness.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Subsidiary Guarantors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the Parent Guarantee, the notes are guaranteed by each Wholly Owned Subsidiary of Clearway Operating LLC that guarantees any obligations of Clearway Operating LLC under the Credit Agreement of Clearway Operating LLC. Each Subsidiary Guarantee of the notes:</w:t>
      </w:r>
    </w:p>
    <w:p>
      <w:pPr>
        <w:spacing w:after="0" w:line="147" w:lineRule="exact"/>
        <w:rPr>
          <w:sz w:val="20"/>
          <w:szCs w:val="20"/>
          <w:color w:val="auto"/>
        </w:rPr>
      </w:pPr>
    </w:p>
    <w:p>
      <w:pPr>
        <w:ind w:left="1300" w:hanging="644"/>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is a general unsecured obligation of the Subsidiary Guarantor;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that Subsidiary Guarantor, including such Subsidiary Guarantor’s guarantee under the Credit Agreement;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is senior in right of payment to any future subordinated Indebtedness of that Subsidiary Guarantor.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each Subsidiary Guarantor’s guarantee of the notes is effectively subordinated to such Subsidiary Guarantor’s guarantee under the Credit Agreement and any other secured Indebtedness of such Subsidiary Guarantor (including any secured Hedging Obligations), in each case, to the extent of the value of the assets of such Subsidiary Guarantor that secure the Credit Agreement or such other secured Indebtedness.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operations of Clearway Operating LLC are primarily conducted through its subsidiaries and, therefore, Clearway Operating LLC depends on the cash flow of its subsidiaries to meet its obligations, including its obligations under the notes. Not all of Clearway Operating LLC’s subsidiaries guarantee the notes. The notes are effectively subordinated in right of payment to all Indebtedness and other liabilities and commitments (including trade payables, lease obligations, project financing and other indebtedness for borrowed money and Hedging Obligations) of these non-guarantor subsidiaries. Any right of Clearway Operating LLC to receive assets of any of its subsidiaries upon the subsidiary’s liquidation or reorganization (and the consequent right of the holders of notes to participate in those assets) is effectively subordinated to the claims of that subsidiary’s creditors, except to the extent that Clearway Operating LLC is itself recognized as a creditor of the subsidiary, in which case its claims would still be subordinate in right of payment to any security in the assets of the subsidiary and any indebtedness of the subsidiary senior to that held by Clearway Operating LLC.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Clearway Operating LLC issued $350 million aggregate principal amount of notes on the issue date. Clearway Operating LLC may issue additional notes of the same series under the indenture from time to time after the issue date. Any issuance of additional notes is subject to all of the covenants in the indenture. The notes and any additional notes of the same series subsequently issued under the indenture are treated as a single class for all purposes under the indenture, including, without limitation, waivers, amendments, redemptions and offers to purchase.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Clearway Operating LLC issued notes in denominations of $2,000 and integral multiples of $1,000 in excess thereof. The notes will mature on September 15, 2026.</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accrues at the rate of 5.000% per annum and is payable semi-annually in arrears on March 15 and September 15 of each year. Clearway Operating LLC makes each interest payment to the holders of record on the immediately preceding March 1 and September 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on the notes accrues from the date of original issuance or, if interest has already been paid, from the date it was most recently paid. Interest is computed on the basis of a 360-day year comprised of twelve 30-day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holder of notes has given wire transfer instructions to Clearway Operating LLC, Clearway Operating LLC pays or causes to be paid all principal, interest and premium on that holder’s notes in accordance with those instructions. All other payments on notes are made at the office or agency of the paying agent and registrar within the City and State of New York unless Clearway Operating LLC elects to make interest payments by check mailed to the holders of the notes at their address set forth in the register of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acts as paying agent and registrar. Clearway Operating LLC may change the paying agent or registrar without prior notice to the holders of the notes and Clearway Operating LLC or any of its Subsidiaries or parent entities may act as paying agent or registrar.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of the notes will be required to pay all taxes due on transfer. Clearway Operating LLC is not required to transfer or exchange any note selected for redemption. Also, Clearway Operating LLC is not required to transfer or exchange any note for a period of 15 days before a selection of notes to be redeemed.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Guarantee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Clearway Operating LLC’s payment obligations under the notes are guaranteed on a full and unconditional basis by the Parent Guarantor. The obligations of the Parent Guarantor under the Parent Guarantee are limited as necessary to prevent the Parent Guarantee from constituting a fraudulent conveyance under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Clearway Operating LLC’s payment obligations under the notes are guaranteed on a full and unconditional basis by each of the Subsidiary Guarantors. These Subsidiary Guarantees are joint and several obligations of the Subsidiary Guarantors. The obligations of each Subsidiary Guarantor under its Subsidiary Guarantee are limited as necessary to prevent that Subsidiary Guarantee from constituting a fraudulent conveyance under Applicable Law.</w:t>
      </w:r>
    </w:p>
    <w:p>
      <w:pPr>
        <w:sectPr>
          <w:pgSz w:w="11900" w:h="16838" w:orient="portrait"/>
          <w:cols w:equalWidth="0" w:num="1">
            <w:col w:w="11420"/>
          </w:cols>
          <w:pgMar w:left="240" w:top="125" w:right="239" w:bottom="0" w:gutter="0" w:footer="0" w:header="0"/>
        </w:sectPr>
      </w:pPr>
    </w:p>
    <w:bookmarkStart w:id="194" w:name="page195"/>
    <w:bookmarkEnd w:id="194"/>
    <w:p>
      <w:pPr>
        <w:ind w:left="660"/>
        <w:spacing w:after="0"/>
        <w:rPr>
          <w:sz w:val="20"/>
          <w:szCs w:val="20"/>
          <w:color w:val="auto"/>
        </w:rPr>
      </w:pPr>
      <w:r>
        <w:rPr>
          <w:rFonts w:ascii="Arial" w:cs="Arial" w:eastAsia="Arial" w:hAnsi="Arial"/>
          <w:sz w:val="18"/>
          <w:szCs w:val="18"/>
          <w:color w:val="auto"/>
        </w:rPr>
        <w:t>The Subsidiary Guarantee of a Subsidiary Guarantor will be released automatically:</w:t>
      </w:r>
    </w:p>
    <w:p>
      <w:pPr>
        <w:spacing w:after="0" w:line="225" w:lineRule="exact"/>
        <w:rPr>
          <w:sz w:val="20"/>
          <w:szCs w:val="20"/>
          <w:color w:val="auto"/>
        </w:rPr>
      </w:pPr>
    </w:p>
    <w:p>
      <w:pPr>
        <w:jc w:val="both"/>
        <w:ind w:left="660" w:hanging="4"/>
        <w:spacing w:after="0" w:line="264" w:lineRule="auto"/>
        <w:tabs>
          <w:tab w:leader="none" w:pos="92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Clearway Operating LLC or a Subsidiary of Clearway Operating LLC;</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1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Subsidiary Guarantor to a Person that is not (either before or after giving effect to such transaction) Clearway Operating LLC or a Subsidiary of Clearway Operating LLC, if following such sale or other disposition, that Subsidiary Guarantor is no longer a direct or indirect Subsidiary of Clearway Operating LLC;</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rFonts w:ascii="Arial" w:cs="Arial" w:eastAsia="Arial" w:hAnsi="Arial"/>
          <w:sz w:val="18"/>
          <w:szCs w:val="18"/>
          <w:color w:val="auto"/>
        </w:rPr>
      </w:pPr>
    </w:p>
    <w:p>
      <w:pPr>
        <w:ind w:left="660" w:hanging="4"/>
        <w:spacing w:after="0" w:line="277" w:lineRule="auto"/>
        <w:tabs>
          <w:tab w:leader="none" w:pos="91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upon defeasance or satisfaction and discharge of the notes as provided below under the captions “—Legal Defeasance and Covenant Defeasance” and “—Satisfaction and Discharge;”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the indenture;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upon the prior consent of holders of at least a majority in aggregate principal amount of the notes then outstanding;</w:t>
      </w:r>
    </w:p>
    <w:p>
      <w:pPr>
        <w:spacing w:after="0" w:line="225" w:lineRule="exact"/>
        <w:rPr>
          <w:rFonts w:ascii="Arial" w:cs="Arial" w:eastAsia="Arial" w:hAnsi="Arial"/>
          <w:sz w:val="18"/>
          <w:szCs w:val="18"/>
          <w:color w:val="auto"/>
        </w:rPr>
      </w:pPr>
    </w:p>
    <w:p>
      <w:pPr>
        <w:jc w:val="both"/>
        <w:ind w:left="1300" w:firstLine="5"/>
        <w:spacing w:after="0" w:line="273" w:lineRule="auto"/>
        <w:tabs>
          <w:tab w:leader="none" w:pos="1572" w:val="left"/>
        </w:tabs>
        <w:numPr>
          <w:ilvl w:val="1"/>
          <w:numId w:val="179"/>
        </w:numPr>
        <w:rPr>
          <w:rFonts w:ascii="Arial" w:cs="Arial" w:eastAsia="Arial" w:hAnsi="Arial"/>
          <w:sz w:val="17"/>
          <w:szCs w:val="17"/>
          <w:color w:val="auto"/>
        </w:rPr>
      </w:pPr>
      <w:r>
        <w:rPr>
          <w:rFonts w:ascii="Arial" w:cs="Arial" w:eastAsia="Arial" w:hAnsi="Arial"/>
          <w:sz w:val="17"/>
          <w:szCs w:val="17"/>
          <w:color w:val="auto"/>
        </w:rPr>
        <w:t>if Clearway Operating LLC has Indebtedness outstanding under the Credit Agreement at that time, upon the consent of the requisite lenders under the Credit Agreement to the release of such Subsidiary Guarantor’s Guarantee of all Obligations under the Credit Agreement, or, if there is no Indebtedness of Clearway Operating LLC outstanding under the Credit Agreement at that time, upon the requisite consent of the holders of all other Material Indebtedness of Clearway Operating LLC that is guaranteed by such Subsidiary Guarantor at that time outstanding to the release of such Subsidiary Guarantor’s Guarantee of all Obligations with respect to all such other Material Indebtedness that is guaranteed by such Subsidiary Guarantor at that time; or</w:t>
      </w:r>
    </w:p>
    <w:p>
      <w:pPr>
        <w:spacing w:after="0" w:line="178" w:lineRule="exact"/>
        <w:rPr>
          <w:rFonts w:ascii="Arial" w:cs="Arial" w:eastAsia="Arial" w:hAnsi="Arial"/>
          <w:sz w:val="17"/>
          <w:szCs w:val="17"/>
          <w:color w:val="auto"/>
        </w:rPr>
      </w:pPr>
    </w:p>
    <w:p>
      <w:pPr>
        <w:jc w:val="both"/>
        <w:ind w:left="1300" w:firstLine="5"/>
        <w:spacing w:after="0" w:line="302" w:lineRule="auto"/>
        <w:tabs>
          <w:tab w:leader="none" w:pos="1553"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if Clearway Operating LLC has Indebtedness outstanding under the Credit Agreement at that time, upon the release of such Subsidiary Guarantor’s Guarantee of all Obligations of Clearway Operating LLC under the Credit Agreement, or, if there is no Indebtedness of Clearway Operating LLC outstanding under the Credit Agreement at that time, upon the release of such Subsidiary Guarantor’s Guarantee of all Obligations with respect to all other Material Indebtedness of Clearway Operating LLC at that time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any time prior to September 15, 2021, Clearway Operating LLC may on any one or more occasions redeem all or a part of the notes, upon not less than 30 nor more than 60 days’ prior notice, at a redemption price equal to 100% of the principal amount of notes redeemed plus the Applicable Premium as of, and accrued and unpaid interest (including Special Interest), if any, to, the redemption date, subject to the rights of holders of notes on the relevant record date to receive interest due on the relevant interest payment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pursuant to the preceding paragraphs, the notes will not be redeemable at Clearway Operating LLC’s option prior to September 15, 2021.</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or after September 15, 2021, Clearway Operating LLC may on any one or more occasions redeem all or a part of the notes upon not less than 30 nor more than 60 days’ prior notice, at the redemption prices (expressed as percentages of principal amount) set forth below plus accrued and unpaid interest (including Special Interest), if any, on the notes redeemed, to the applicable redemption date, if redeemed during the 12-month period beginning on September 15 of the years indicated below, subject to the rights of holders of notes on the relevant record date to receive interest on the relevant interest payment date.</w:t>
      </w:r>
    </w:p>
    <w:p>
      <w:pPr>
        <w:spacing w:after="0" w:line="333"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410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w:t>
            </w:r>
          </w:p>
        </w:tc>
        <w:tc>
          <w:tcPr>
            <w:tcW w:w="37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Percentage</w:t>
            </w:r>
          </w:p>
        </w:tc>
      </w:tr>
      <w:tr>
        <w:trPr>
          <w:trHeight w:val="48"/>
        </w:trPr>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4100" w:type="dxa"/>
            <w:vAlign w:val="bottom"/>
            <w:tcBorders>
              <w:bottom w:val="single" w:sz="8" w:color="B6DDE8"/>
            </w:tcBorders>
            <w:gridSpan w:val="3"/>
            <w:shd w:val="clear" w:color="auto" w:fill="B6DDE8"/>
          </w:tcPr>
          <w:p>
            <w:pPr>
              <w:ind w:left="20"/>
              <w:spacing w:after="0"/>
              <w:rPr>
                <w:sz w:val="20"/>
                <w:szCs w:val="20"/>
                <w:color w:val="auto"/>
              </w:rPr>
            </w:pPr>
            <w:r>
              <w:rPr>
                <w:rFonts w:ascii="Arial" w:cs="Arial" w:eastAsia="Arial" w:hAnsi="Arial"/>
                <w:sz w:val="18"/>
                <w:szCs w:val="18"/>
                <w:color w:val="auto"/>
              </w:rPr>
              <w:t>2021</w:t>
            </w:r>
          </w:p>
        </w:tc>
        <w:tc>
          <w:tcPr>
            <w:tcW w:w="3720" w:type="dxa"/>
            <w:vAlign w:val="bottom"/>
            <w:tcBorders>
              <w:bottom w:val="single" w:sz="8" w:color="B6DDE8"/>
            </w:tcBorders>
            <w:gridSpan w:val="3"/>
            <w:shd w:val="clear" w:color="auto" w:fill="B6DDE8"/>
          </w:tcPr>
          <w:p>
            <w:pPr>
              <w:jc w:val="right"/>
              <w:ind w:right="40"/>
              <w:spacing w:after="0"/>
              <w:rPr>
                <w:sz w:val="20"/>
                <w:szCs w:val="20"/>
                <w:color w:val="auto"/>
              </w:rPr>
            </w:pPr>
            <w:r>
              <w:rPr>
                <w:rFonts w:ascii="Arial" w:cs="Arial" w:eastAsia="Arial" w:hAnsi="Arial"/>
                <w:sz w:val="18"/>
                <w:szCs w:val="18"/>
                <w:color w:val="auto"/>
              </w:rPr>
              <w:t>102.500%</w:t>
            </w:r>
          </w:p>
        </w:tc>
      </w:tr>
      <w:tr>
        <w:trPr>
          <w:trHeight w:val="243"/>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2022</w:t>
            </w:r>
          </w:p>
        </w:tc>
        <w:tc>
          <w:tcPr>
            <w:tcW w:w="3720" w:type="dxa"/>
            <w:vAlign w:val="bottom"/>
            <w:gridSpan w:val="3"/>
          </w:tcPr>
          <w:p>
            <w:pPr>
              <w:jc w:val="right"/>
              <w:ind w:right="40"/>
              <w:spacing w:after="0"/>
              <w:rPr>
                <w:sz w:val="20"/>
                <w:szCs w:val="20"/>
                <w:color w:val="auto"/>
              </w:rPr>
            </w:pPr>
            <w:r>
              <w:rPr>
                <w:rFonts w:ascii="Arial" w:cs="Arial" w:eastAsia="Arial" w:hAnsi="Arial"/>
                <w:sz w:val="18"/>
                <w:szCs w:val="18"/>
                <w:color w:val="auto"/>
              </w:rPr>
              <w:t>101.667%</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100" w:type="dxa"/>
            <w:vAlign w:val="bottom"/>
            <w:tcBorders>
              <w:bottom w:val="single" w:sz="8" w:color="B6DDE8"/>
            </w:tcBorders>
            <w:gridSpan w:val="3"/>
            <w:shd w:val="clear" w:color="auto" w:fill="B6DDE8"/>
          </w:tcPr>
          <w:p>
            <w:pPr>
              <w:ind w:left="20"/>
              <w:spacing w:after="0"/>
              <w:rPr>
                <w:sz w:val="20"/>
                <w:szCs w:val="20"/>
                <w:color w:val="auto"/>
              </w:rPr>
            </w:pPr>
            <w:r>
              <w:rPr>
                <w:rFonts w:ascii="Arial" w:cs="Arial" w:eastAsia="Arial" w:hAnsi="Arial"/>
                <w:sz w:val="18"/>
                <w:szCs w:val="18"/>
                <w:color w:val="auto"/>
              </w:rPr>
              <w:t>2023</w:t>
            </w:r>
          </w:p>
        </w:tc>
        <w:tc>
          <w:tcPr>
            <w:tcW w:w="3720" w:type="dxa"/>
            <w:vAlign w:val="bottom"/>
            <w:tcBorders>
              <w:bottom w:val="single" w:sz="8" w:color="B6DDE8"/>
            </w:tcBorders>
            <w:gridSpan w:val="3"/>
            <w:shd w:val="clear" w:color="auto" w:fill="B6DDE8"/>
          </w:tcPr>
          <w:p>
            <w:pPr>
              <w:jc w:val="right"/>
              <w:ind w:right="40"/>
              <w:spacing w:after="0"/>
              <w:rPr>
                <w:sz w:val="20"/>
                <w:szCs w:val="20"/>
                <w:color w:val="auto"/>
              </w:rPr>
            </w:pPr>
            <w:r>
              <w:rPr>
                <w:rFonts w:ascii="Arial" w:cs="Arial" w:eastAsia="Arial" w:hAnsi="Arial"/>
                <w:sz w:val="18"/>
                <w:szCs w:val="18"/>
                <w:color w:val="auto"/>
              </w:rPr>
              <w:t>100.833%</w:t>
            </w:r>
          </w:p>
        </w:tc>
      </w:tr>
      <w:tr>
        <w:trPr>
          <w:trHeight w:val="243"/>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2024 and thereafter</w:t>
            </w:r>
          </w:p>
        </w:tc>
        <w:tc>
          <w:tcPr>
            <w:tcW w:w="3720" w:type="dxa"/>
            <w:vAlign w:val="bottom"/>
            <w:gridSpan w:val="3"/>
          </w:tcPr>
          <w:p>
            <w:pPr>
              <w:jc w:val="right"/>
              <w:ind w:right="40"/>
              <w:spacing w:after="0"/>
              <w:rPr>
                <w:sz w:val="20"/>
                <w:szCs w:val="20"/>
                <w:color w:val="auto"/>
              </w:rPr>
            </w:pPr>
            <w:r>
              <w:rPr>
                <w:rFonts w:ascii="Arial" w:cs="Arial" w:eastAsia="Arial" w:hAnsi="Arial"/>
                <w:sz w:val="18"/>
                <w:szCs w:val="18"/>
                <w:color w:val="auto"/>
              </w:rPr>
              <w:t>100.000%</w:t>
            </w:r>
          </w:p>
        </w:tc>
      </w:tr>
    </w:tbl>
    <w:p>
      <w:pPr>
        <w:spacing w:after="0" w:line="1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Clearway Operating LLC and its affiliates are not prohibited, however, from acquiring the notes in market transactions by means other than a redemption, whether pursuant to a tender offer or otherwise, assuming such action does not otherwise violate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Operating LLC is not required to make mandatory redemption or sinking fund payments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Triggering Event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Change of Control Triggering Event occurs, each holder of notes will have the right to require Clearway Operating LLC to repurchase all or any part (equal to $2,000 or an integral multiple of $1,000 in excess thereof) of that holder’s notes pursuant to a Change of Control Offer on the terms set forth in the indenture.</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Change of Control Offer, Clearway Operating LLC will offer a Change of Control Payment in cash equal to 101% of the aggregate principal amount of the notes, plus accrued and unpaid interest (including Special Interest), if any, on the notes to the date of purchase, subject to the rights of holders of the notes on the relevant record date to receive interest due on the relevant interest payment date. Within 30 days following any Change of Control Triggering Event, Clearway Operating LLC will mail a notice to each holder describing the transaction or transactions 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Clearway Operating LLC will</w:t>
      </w:r>
    </w:p>
    <w:p>
      <w:pPr>
        <w:sectPr>
          <w:pgSz w:w="11900" w:h="16838" w:orient="portrait"/>
          <w:cols w:equalWidth="0" w:num="1">
            <w:col w:w="11420"/>
          </w:cols>
          <w:pgMar w:left="240" w:top="125" w:right="239" w:bottom="0" w:gutter="0" w:footer="0" w:header="0"/>
        </w:sectPr>
      </w:pPr>
    </w:p>
    <w:bookmarkStart w:id="195" w:name="page196"/>
    <w:bookmarkEnd w:id="195"/>
    <w:p>
      <w:pPr>
        <w:jc w:val="both"/>
        <w:spacing w:after="0" w:line="257" w:lineRule="auto"/>
        <w:rPr>
          <w:sz w:val="20"/>
          <w:szCs w:val="20"/>
          <w:color w:val="auto"/>
        </w:rPr>
      </w:pPr>
      <w:r>
        <w:rPr>
          <w:rFonts w:ascii="Arial" w:cs="Arial" w:eastAsia="Arial" w:hAnsi="Arial"/>
          <w:sz w:val="18"/>
          <w:szCs w:val="18"/>
          <w:color w:val="auto"/>
        </w:rPr>
        <w:t>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Clearway Operating LLC will comply with the applicable securities laws and regulations and will not be deemed to have breached its obligations under the Change of Control provisions of the indenture by virtue of such compliance.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Clearway Operating LLC will, to the extent lawful:</w:t>
      </w:r>
    </w:p>
    <w:p>
      <w:pPr>
        <w:spacing w:after="0" w:line="225" w:lineRule="exact"/>
        <w:rPr>
          <w:sz w:val="20"/>
          <w:szCs w:val="20"/>
          <w:color w:val="auto"/>
        </w:rPr>
      </w:pPr>
    </w:p>
    <w:p>
      <w:pPr>
        <w:ind w:left="920" w:hanging="264"/>
        <w:spacing w:after="0"/>
        <w:tabs>
          <w:tab w:leader="none" w:pos="9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hanging="4"/>
        <w:spacing w:after="0" w:line="277" w:lineRule="auto"/>
        <w:tabs>
          <w:tab w:leader="none" w:pos="93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Clearway Operating LLC.</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paying agent will promptly mail to each holder of notes properly tendered the Change of Control Payment for the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principal amount of $2,000 or an integral multiple of $1,000 in excess thereof. Clearway Operating LLC will publicly announce the results of the Change of Control Offer on or as soon as practicable after the Change of Control Payment Date.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described above that require Clearway Operating LLC to make a Change of Control Offer following a Change of Control Triggering Event are applicable whether or not any other provisions of the indenture are applicable.</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Except as described above with respect to a Change of Control Triggering Event, the indenture does not contain provisions that permit the holders of the notes to require that Clearway Operating LLC repurchase or redeem the notes in the event of a takeover, recapitalization or similar transaction.</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Clearway Operating LLC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Clearway Operating LLC and purchases all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lease, transfer, conveyance or other disposition of “all or substantially all” of the properties or assets of Clearway Operating LLC and its Subsidiaries taken as a whole. There is a limited body of case law interpreting the phrase “substantially all,” and there is no precise established definition of the phrase under Applicable Law. Accordingly, the ability of a holder of notes to require Clearway Operating LLC to repurchase its notes as a result of a sale, lease, transfer, conveyance or other disposition of less than all of the assets of Clearway Operating LLC and its Subsidiaries taken as a whole to another Person or group may be uncertain.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less than all of the notes are to be redeemed at any time, the trustee for the notes will select notes for redemption on a pro rata basis unless otherwise required by law or applicable stock exchange requirements.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 notes of $2,000 or less can be redeemed in part. Notices of redemption will be mailed by first class mail at least 30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Any redemption notice may, in Clearway Operating LLC’s discretion, be subject to the satisfaction of one or more conditions precedent. If a redemption notice is subject to satisfaction of one or more conditions precedent, such notice will state that, at Clearway Operating LLC’s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Clearway Operating LLC has deposited with the paying agent funds sufficient to pay the principal of, plus accrued and unpaid interest and premium, if any, on, the notes to be redeemed.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Clearway Operating LLC will not, and will not permit any Subsidiary Guarantor, to create or permit to exist any Lien upon any Principal Property owned by Clearway Operating LLC or any Subsidiary Guarantor or upon any Equity Interests issued by, or Indebtedness of, any direct or indirect Subsidiary of Clearway Operating LLC to secure any Indebtedness of Clearway Operating LLC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restriction will not apply to, or prevent the creation or existence of:</w:t>
      </w:r>
    </w:p>
    <w:p>
      <w:pPr>
        <w:spacing w:after="0" w:line="158" w:lineRule="exact"/>
        <w:rPr>
          <w:sz w:val="20"/>
          <w:szCs w:val="20"/>
          <w:color w:val="auto"/>
        </w:rPr>
      </w:pPr>
    </w:p>
    <w:p>
      <w:pPr>
        <w:jc w:val="both"/>
        <w:ind w:left="660" w:hanging="4"/>
        <w:spacing w:after="0" w:line="286" w:lineRule="auto"/>
        <w:tabs>
          <w:tab w:leader="none" w:pos="94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Liens securing Indebtedness of Clearway Operating LLC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Existing Liens;</w:t>
      </w:r>
    </w:p>
    <w:p>
      <w:pPr>
        <w:sectPr>
          <w:pgSz w:w="11900" w:h="16838" w:orient="portrait"/>
          <w:cols w:equalWidth="0" w:num="1">
            <w:col w:w="11420"/>
          </w:cols>
          <w:pgMar w:left="240" w:top="125" w:right="239" w:bottom="0" w:gutter="0" w:footer="0" w:header="0"/>
        </w:sectPr>
      </w:pPr>
    </w:p>
    <w:bookmarkStart w:id="196" w:name="page197"/>
    <w:bookmarkEnd w:id="196"/>
    <w:p>
      <w:pPr>
        <w:jc w:val="both"/>
        <w:ind w:left="660" w:hanging="4"/>
        <w:spacing w:after="0" w:line="255" w:lineRule="auto"/>
        <w:tabs>
          <w:tab w:leader="none" w:pos="94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Liens securing Indebtedness of any Person that (a) is acquired by Clearway Operating LLC or any of its Subsidiaries after the date of the indenture, (b) is merged or amalgamated with or into Clearway Operating LLC or any of its Subsidiaries after the date of the indenture or (c) becomes consolidated in the financial statements of Clearway Operating LLC or any of its Subsidiaries after the date of the indenture in accordance with GAAP;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Clearway Operating LLC or any of its Subsidiaries;</w:t>
      </w:r>
    </w:p>
    <w:p>
      <w:pPr>
        <w:spacing w:after="0" w:line="189" w:lineRule="exact"/>
        <w:rPr>
          <w:rFonts w:ascii="Arial" w:cs="Arial" w:eastAsia="Arial" w:hAnsi="Arial"/>
          <w:sz w:val="18"/>
          <w:szCs w:val="18"/>
          <w:color w:val="auto"/>
        </w:rPr>
      </w:pPr>
    </w:p>
    <w:p>
      <w:pPr>
        <w:jc w:val="both"/>
        <w:ind w:left="660" w:hanging="4"/>
        <w:spacing w:after="0" w:line="279" w:lineRule="auto"/>
        <w:tabs>
          <w:tab w:leader="none" w:pos="926"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Liens securing Indebtedness of Clearway Operating LLC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Indebtedness is only secured by Liens on the Equity Interests and assets acquired, constructed or improved in such financing;</w:t>
      </w:r>
    </w:p>
    <w:p>
      <w:pPr>
        <w:spacing w:after="0" w:line="171" w:lineRule="exact"/>
        <w:rPr>
          <w:rFonts w:ascii="Arial" w:cs="Arial" w:eastAsia="Arial" w:hAnsi="Arial"/>
          <w:sz w:val="17"/>
          <w:szCs w:val="17"/>
          <w:color w:val="auto"/>
        </w:rPr>
      </w:pPr>
    </w:p>
    <w:p>
      <w:pPr>
        <w:ind w:left="920" w:hanging="264"/>
        <w:spacing w:after="0"/>
        <w:tabs>
          <w:tab w:leader="none" w:pos="9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in favor of Clearway Operating LLC or any of its Subsidiaries;</w:t>
      </w:r>
    </w:p>
    <w:p>
      <w:pPr>
        <w:spacing w:after="0" w:line="225" w:lineRule="exact"/>
        <w:rPr>
          <w:rFonts w:ascii="Arial" w:cs="Arial" w:eastAsia="Arial" w:hAnsi="Arial"/>
          <w:sz w:val="18"/>
          <w:szCs w:val="18"/>
          <w:color w:val="auto"/>
        </w:rPr>
      </w:pPr>
    </w:p>
    <w:p>
      <w:pPr>
        <w:ind w:left="660" w:hanging="4"/>
        <w:spacing w:after="0" w:line="277" w:lineRule="auto"/>
        <w:tabs>
          <w:tab w:leader="none" w:pos="92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Clearway Operating LLC in its reasonable discretion acting in good faith);</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Liens relating to current or future escrow arrangements securing Indebtedness of Clearway Operating LLC or any Subsidiary Guarantor;</w:t>
      </w:r>
    </w:p>
    <w:p>
      <w:pPr>
        <w:spacing w:after="0" w:line="236" w:lineRule="exact"/>
        <w:rPr>
          <w:rFonts w:ascii="Arial" w:cs="Arial" w:eastAsia="Arial" w:hAnsi="Arial"/>
          <w:sz w:val="17"/>
          <w:szCs w:val="17"/>
          <w:color w:val="auto"/>
        </w:rPr>
      </w:pPr>
    </w:p>
    <w:p>
      <w:pPr>
        <w:ind w:left="660" w:hanging="4"/>
        <w:spacing w:after="0" w:line="277" w:lineRule="auto"/>
        <w:tabs>
          <w:tab w:leader="none" w:pos="92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Clearway Operating LLC or any Guarantor, including rights of offset and set-off;</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on the stock or assets of Project Subsidiaries securing Project Debt of one or more Project Subsidiaries;</w:t>
      </w:r>
    </w:p>
    <w:p>
      <w:pPr>
        <w:spacing w:after="0" w:line="225" w:lineRule="exact"/>
        <w:rPr>
          <w:rFonts w:ascii="Arial" w:cs="Arial" w:eastAsia="Arial" w:hAnsi="Arial"/>
          <w:sz w:val="18"/>
          <w:szCs w:val="18"/>
          <w:color w:val="auto"/>
        </w:rPr>
      </w:pPr>
    </w:p>
    <w:p>
      <w:pPr>
        <w:jc w:val="both"/>
        <w:ind w:left="660" w:hanging="4"/>
        <w:spacing w:after="0" w:line="302" w:lineRule="auto"/>
        <w:tabs>
          <w:tab w:leader="none" w:pos="102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securing Indebtedness incurred to finance an acquisition of assets or a business or multiple businesses; </w:t>
      </w:r>
      <w:r>
        <w:rPr>
          <w:rFonts w:ascii="Arial" w:cs="Arial" w:eastAsia="Arial" w:hAnsi="Arial"/>
          <w:sz w:val="16"/>
          <w:szCs w:val="16"/>
          <w:i w:val="1"/>
          <w:iCs w:val="1"/>
          <w:color w:val="auto"/>
        </w:rPr>
        <w:t>provided</w:t>
      </w:r>
      <w:r>
        <w:rPr>
          <w:rFonts w:ascii="Arial" w:cs="Arial" w:eastAsia="Arial" w:hAnsi="Arial"/>
          <w:sz w:val="16"/>
          <w:szCs w:val="16"/>
          <w:color w:val="auto"/>
        </w:rPr>
        <w:t>, that within 180 days from the date the related Indebtedness was Incurred, such cash or cash equivalents are used to (a) fund the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(or a similar transaction), including any related fees and expenses, and the related Indebtedness is (1) secured by Liens otherwise permitted under this covenant or (2) unsecured; or (b) retire or repay the Indebtedness that it secures and to pay any related fees and expenses; and</w:t>
      </w:r>
    </w:p>
    <w:p>
      <w:pPr>
        <w:spacing w:after="0" w:line="154" w:lineRule="exact"/>
        <w:rPr>
          <w:rFonts w:ascii="Arial" w:cs="Arial" w:eastAsia="Arial" w:hAnsi="Arial"/>
          <w:sz w:val="16"/>
          <w:szCs w:val="16"/>
          <w:color w:val="auto"/>
        </w:rPr>
      </w:pPr>
    </w:p>
    <w:p>
      <w:pPr>
        <w:jc w:val="both"/>
        <w:ind w:left="660" w:hanging="4"/>
        <w:spacing w:after="0" w:line="264" w:lineRule="auto"/>
        <w:tabs>
          <w:tab w:leader="none" w:pos="103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Clearway Operating LLC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Liens securing Indebtedness under the Credit Agreement existing on the date of the indenture will be deemed to have been incurred on such date in reliance on the exception provided by clause (1) above. For purposes of determining compliance with this “Liens” covenant, in the event that a proposed Lien meets the criteria of more than one of the categories of Liens described in clauses (1) through (13) above, Clearway Operating LLC will be permitted to classify such Lien on the date of its incurrence, or later reclassify all or a portion of such Lien, in any manner that complies with this covenant.</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Clearway Operating LLC or any Subsidiary Guarantor proposes to create or permit to exist any Lien upon any Principal Property owned by Clearway Operating LLC or any Subsidiary Guarantor or upon any Equity Interests or Indebtedness of any direct or indirect Subsidiary of Clearway Operating LLC to secure any Indebtedness, other than as permitted by clauses (1) through (13) of the previous paragraph, Clearway Operating LLC will give prior written notice thereof to the trustee, who will give notice to the holders of notes, and Clearway Operating LLC will further agree, prior to or simultaneously with the creation of such Lien, effectively to secure all the notes equally and ratably with (or prior to) such other Indebtedness, for so long as such other Indebtedness is so secured.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Neither the Parent Guarantor nor Clearway Operating LLC will, directly or indirectly: (1) consolidate or merge with or into another Person (whether or not the Parent Guarantor or Clearway Operating LLC is the surviving Person); or (2) sell, assign, transfer, convey or otherwise dispose of all or substantially all of the properties or assets of the Parent Guarantor or the Parent Guarantor and its Subsidiaries taken as a whole or Clearway Operating LLC or Clearway Operating LLC and its Subsidiaries taken as a whole, in one or more related transactions, to another Person; unless:</w:t>
      </w:r>
    </w:p>
    <w:p>
      <w:pPr>
        <w:spacing w:after="0" w:line="171" w:lineRule="exact"/>
        <w:rPr>
          <w:sz w:val="20"/>
          <w:szCs w:val="20"/>
          <w:color w:val="auto"/>
        </w:rPr>
      </w:pPr>
    </w:p>
    <w:p>
      <w:pPr>
        <w:jc w:val="both"/>
        <w:ind w:left="660" w:hanging="4"/>
        <w:spacing w:after="0" w:line="272" w:lineRule="auto"/>
        <w:tabs>
          <w:tab w:leader="none" w:pos="91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either: (a) the Parent Guarantor or Clearway Operating LLC, as the case may be, is the surviving Person; or (b) the Person formed by or surviving any such consolidation or merger (if other than the Parent Guarantor or Clearway Operating LLC,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177" w:lineRule="exact"/>
        <w:rPr>
          <w:rFonts w:ascii="Arial" w:cs="Arial" w:eastAsia="Arial" w:hAnsi="Arial"/>
          <w:sz w:val="17"/>
          <w:szCs w:val="17"/>
          <w:color w:val="auto"/>
        </w:rPr>
      </w:pPr>
    </w:p>
    <w:p>
      <w:pPr>
        <w:jc w:val="both"/>
        <w:ind w:left="660" w:hanging="4"/>
        <w:spacing w:after="0" w:line="259" w:lineRule="auto"/>
        <w:tabs>
          <w:tab w:leader="none" w:pos="92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Parent Guarantor or Clearway Operating LLC, as the case may be) or the Person to which such sale, assignment, transfer, conveyance or other disposition has been made assumes all the obligations of the Parent Guarantor or Clearway Operating LLC, as the case may be, under the notes and the indenture pursuant to a supplemental indenture or other documents and agreements reasonably satisfactory to the trustee; and</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neither the Parent Guarantor nor Clearway Operating LLC may, directly or indirectly, lease all or substantially all of its and its respective Subsidiaries’ properties or assets, in one or more related transactions, to any other Person.</w:t>
      </w:r>
    </w:p>
    <w:p>
      <w:pPr>
        <w:sectPr>
          <w:pgSz w:w="11900" w:h="16838" w:orient="portrait"/>
          <w:cols w:equalWidth="0" w:num="1">
            <w:col w:w="11420"/>
          </w:cols>
          <w:pgMar w:left="240" w:top="193" w:right="239" w:bottom="0" w:gutter="0" w:footer="0" w:header="0"/>
        </w:sectPr>
      </w:pPr>
    </w:p>
    <w:bookmarkStart w:id="197" w:name="page198"/>
    <w:bookmarkEnd w:id="197"/>
    <w:p>
      <w:pPr>
        <w:jc w:val="both"/>
        <w:ind w:firstLine="648"/>
        <w:spacing w:after="0" w:line="257" w:lineRule="auto"/>
        <w:rPr>
          <w:sz w:val="20"/>
          <w:szCs w:val="20"/>
          <w:color w:val="auto"/>
        </w:rPr>
      </w:pPr>
      <w:r>
        <w:rPr>
          <w:rFonts w:ascii="Arial" w:cs="Arial" w:eastAsia="Arial" w:hAnsi="Arial"/>
          <w:sz w:val="18"/>
          <w:szCs w:val="18"/>
          <w:color w:val="auto"/>
        </w:rPr>
        <w:t>This “Merger, Consolidation or Sale of Assets” covenant will not apply to (1) a merger of the Parent Guarantor or Clearway Operating LLC, as the case solely for the purpose of reforming the Parent Guarantor or Clearway Operating LLC, as the case may be, in another jurisdiction or forming a direct or indirect holding company of Clearway Operating LLC that is a Wholly Owned Subsidiary of the Parent Guarantor; and (2) any sale, transfer, assignment, conveyance, lease or other disposition of assets between or among the Parent Guarantor, Clearway Operating LLC and their respective Subsidiaries, including by way of merger or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Guarantees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660" w:hanging="4"/>
        <w:spacing w:after="0" w:line="277" w:lineRule="auto"/>
        <w:tabs>
          <w:tab w:leader="none" w:pos="92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Clearway Operating LLC or any of its Subsidiaries acquires or creates another Wholly Owned Subsidiary after the issue date and such Wholly Owned Subsidiary Guarantees any Obligations of Clearway Operating LLC under the Credit Agreement, or</w:t>
      </w:r>
    </w:p>
    <w:p>
      <w:pPr>
        <w:spacing w:after="0" w:line="170" w:lineRule="exact"/>
        <w:rPr>
          <w:rFonts w:ascii="Arial" w:cs="Arial" w:eastAsia="Arial" w:hAnsi="Arial"/>
          <w:sz w:val="18"/>
          <w:szCs w:val="18"/>
          <w:color w:val="auto"/>
        </w:rPr>
      </w:pPr>
    </w:p>
    <w:p>
      <w:pPr>
        <w:ind w:left="660" w:hanging="4"/>
        <w:spacing w:after="0" w:line="277" w:lineRule="auto"/>
        <w:tabs>
          <w:tab w:leader="none" w:pos="91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Wholly Owned Subsidiary of Clearway Operating LLC that does not currently Guarantee any Obligations of Clearway Operating LLC under the Credit Agreement subsequently Guarantees any Obligations of Clearway Operating LLC under the Credit Agreement, or</w:t>
      </w:r>
    </w:p>
    <w:p>
      <w:pPr>
        <w:spacing w:after="0" w:line="170" w:lineRule="exact"/>
        <w:rPr>
          <w:rFonts w:ascii="Arial" w:cs="Arial" w:eastAsia="Arial" w:hAnsi="Arial"/>
          <w:sz w:val="18"/>
          <w:szCs w:val="18"/>
          <w:color w:val="auto"/>
        </w:rPr>
      </w:pPr>
    </w:p>
    <w:p>
      <w:pPr>
        <w:jc w:val="both"/>
        <w:ind w:left="660" w:hanging="4"/>
        <w:spacing w:after="0" w:line="255" w:lineRule="auto"/>
        <w:tabs>
          <w:tab w:leader="none" w:pos="92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there is no Indebtedness of Clearway Operating LLC outstanding under the Credit Agreement at that time, any Wholly Owned Subsidiary of Clearway Operating LLC (including any newly acquired or created Wholly Owned Subsidiary) Guarantees any Obligations with respect to any other Material Indebtedness of Clearway Operating LLC, then such newly acquired or created Wholly Owned Subsidiary or Wholly Owned Subsidiary that subsequently fully and unconditionally Guarantees obligations under the Credit Agreement or other Material Indebtedness of Clearway Operating LLC, as the case may be, will become a Guarantor of the notes and execute a supplemental indenture and deliver an opinion of counsel satisfactory to the trustee within 30 business days of the date on which it was acquired or created or guaranteed other Material Indebtedness of Clearway Operating LLC, as the case may be.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Whether or not required by the Commission’s rules and regulations, so long as any notes are outstanding, Clearway Operating LLC will furnish or cause to be furnished to the holders of notes or cause the trustee to furnish to the holders of notes, within the time periods (including any extensions thereof) specified in the Commission’s rules and regulations:</w:t>
      </w:r>
    </w:p>
    <w:p>
      <w:pPr>
        <w:spacing w:after="0" w:line="181" w:lineRule="exact"/>
        <w:rPr>
          <w:sz w:val="20"/>
          <w:szCs w:val="20"/>
          <w:color w:val="auto"/>
        </w:rPr>
      </w:pPr>
    </w:p>
    <w:p>
      <w:pPr>
        <w:ind w:left="660" w:hanging="4"/>
        <w:spacing w:after="0" w:line="277" w:lineRule="auto"/>
        <w:tabs>
          <w:tab w:leader="none" w:pos="92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Commission on Forms 10-Q and 10-K if Clearway Operating LLC were required to file such reports; and</w:t>
      </w:r>
    </w:p>
    <w:p>
      <w:pPr>
        <w:spacing w:after="0" w:line="170" w:lineRule="exact"/>
        <w:rPr>
          <w:rFonts w:ascii="Arial" w:cs="Arial" w:eastAsia="Arial" w:hAnsi="Arial"/>
          <w:sz w:val="18"/>
          <w:szCs w:val="18"/>
          <w:color w:val="auto"/>
        </w:rPr>
      </w:pPr>
    </w:p>
    <w:p>
      <w:pPr>
        <w:ind w:left="660" w:hanging="4"/>
        <w:spacing w:after="0" w:line="277" w:lineRule="auto"/>
        <w:tabs>
          <w:tab w:leader="none" w:pos="92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Commission on Form 8-K if Clearway Operating LLC were required to file such reports.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Clearway Operating LLC’s consolidated financial statements by Clearway Operating LLC’s independent registered public accounting firm. Clearway Operating LLC will file a copy of each of the reports referred to in clauses (1) and (2) above with the Commission for public availability within the time periods specified in the rules and regulations applicable to such reports (unless the Commission will not accept such a filing). To the extent such filings are made, the reports will be deemed to be furnished to the trustee and holders of notes.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Clearway Operating LLC is no longer subject to the periodic reporting requirements of the Exchange Act for any reason, Clearway Operating LLC will nevertheless continue filing the reports specified in the preceding paragraph with the Commission within the time periods specified above unless the Commission will not accept such a filing. Clearway Operating LLC agrees that it will not take any action for the purpose of causing the Commission not to accept any such filings. If, notwithstanding the foregoing, the Commission will not accept Clearway Operating LLC’s filings for any reason, Clearway Operating LLC will post the reports referred to in the preceding paragraph on Clearway Inc.’s website within the time periods that would apply if Clearway Operating LLC were required to file those reports with the Commission.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 long as the Parent Guarantor continues to own, directly or indirectly, all of the Equity Interests of Clearway Operating LLC,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Clearway Operating LLC under this reporting covenant.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Clearway Operating LLC, the Parent Guarantor and the Subsidiary Guarantors agree that, for so long as any notes remain outstanding, at any time they are not required to file the reports required by the preceding paragraphs with the Commission, they will furnish to the holders of the notes and to securities analysts and prospective investors, upon their request, the information required to be delivered pursuant to Rule 144A(d)(4) under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Status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70" w:lineRule="exact"/>
        <w:rPr>
          <w:sz w:val="20"/>
          <w:szCs w:val="20"/>
          <w:color w:val="auto"/>
        </w:rPr>
      </w:pPr>
    </w:p>
    <w:p>
      <w:pPr>
        <w:ind w:left="920" w:hanging="264"/>
        <w:spacing w:after="0"/>
        <w:tabs>
          <w:tab w:leader="none" w:pos="9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ownership of debt or equity interests in Clearway Operating LLC;</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25" w:lineRule="exact"/>
        <w:rPr>
          <w:rFonts w:ascii="Arial" w:cs="Arial" w:eastAsia="Arial" w:hAnsi="Arial"/>
          <w:sz w:val="18"/>
          <w:szCs w:val="18"/>
          <w:color w:val="auto"/>
        </w:rPr>
      </w:pPr>
    </w:p>
    <w:p>
      <w:pPr>
        <w:ind w:left="660" w:hanging="4"/>
        <w:spacing w:after="0" w:line="277" w:lineRule="auto"/>
        <w:tabs>
          <w:tab w:leader="none" w:pos="94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participating in tax, accounting and other administrative activities as the parent of a consolidated group of companies, including Clearway Operating LLC;</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making distributions to holders of its debt or equity interests or to Clearway Operating LLC or any Subsidiary of Clearway Operating LLC;</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ectPr>
          <w:pgSz w:w="11900" w:h="16838" w:orient="portrait"/>
          <w:cols w:equalWidth="0" w:num="1">
            <w:col w:w="11420"/>
          </w:cols>
          <w:pgMar w:left="240" w:top="125" w:right="239" w:bottom="167" w:gutter="0" w:footer="0" w:header="0"/>
        </w:sectPr>
      </w:pPr>
    </w:p>
    <w:bookmarkStart w:id="198" w:name="page199"/>
    <w:bookmarkEnd w:id="198"/>
    <w:p>
      <w:pPr>
        <w:spacing w:after="0" w:line="2" w:lineRule="exact"/>
        <w:rPr>
          <w:sz w:val="20"/>
          <w:szCs w:val="20"/>
          <w:color w:val="auto"/>
        </w:rPr>
      </w:pPr>
    </w:p>
    <w:p>
      <w:pPr>
        <w:jc w:val="both"/>
        <w:ind w:left="660" w:hanging="4"/>
        <w:spacing w:after="0" w:line="264" w:lineRule="auto"/>
        <w:tabs>
          <w:tab w:leader="none" w:pos="93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Clearway Inc., Clearway Operating LLC or any Subsidiary of Clearway Operating LLC and the execution and delivery of any agreements related to the foregoing, including credit agreements, indentures, security agreements, notes and registration rights agreements;</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225" w:lineRule="exact"/>
        <w:rPr>
          <w:sz w:val="20"/>
          <w:szCs w:val="20"/>
          <w:color w:val="auto"/>
        </w:rPr>
      </w:pPr>
    </w:p>
    <w:p>
      <w:pPr>
        <w:ind w:left="920" w:hanging="264"/>
        <w:spacing w:after="0"/>
        <w:tabs>
          <w:tab w:leader="none" w:pos="9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225" w:lineRule="exact"/>
        <w:rPr>
          <w:rFonts w:ascii="Arial" w:cs="Arial" w:eastAsia="Arial" w:hAnsi="Arial"/>
          <w:sz w:val="18"/>
          <w:szCs w:val="18"/>
          <w:color w:val="auto"/>
        </w:rPr>
      </w:pPr>
    </w:p>
    <w:p>
      <w:pPr>
        <w:ind w:left="660" w:hanging="4"/>
        <w:spacing w:after="0" w:line="277" w:lineRule="auto"/>
        <w:tabs>
          <w:tab w:leader="none" w:pos="92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failure by Clearway Operating LLC or any Guarantor for 45 days after written notice given by the trustee or holders, to comply with any of the other agreements in the indenture;</w:t>
      </w:r>
    </w:p>
    <w:p>
      <w:pPr>
        <w:spacing w:after="0" w:line="170" w:lineRule="exact"/>
        <w:rPr>
          <w:rFonts w:ascii="Arial" w:cs="Arial" w:eastAsia="Arial" w:hAnsi="Arial"/>
          <w:sz w:val="18"/>
          <w:szCs w:val="18"/>
          <w:color w:val="auto"/>
        </w:rPr>
      </w:pPr>
    </w:p>
    <w:p>
      <w:pPr>
        <w:jc w:val="both"/>
        <w:ind w:left="660" w:hanging="4"/>
        <w:spacing w:after="0" w:line="286" w:lineRule="auto"/>
        <w:tabs>
          <w:tab w:leader="none" w:pos="9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Clearway Operating LLC or any Guarantor (or the payment of which is guaranteed by Clearway Operating LLC or any Guarantor) whether such Indebtedness or guarantee now exists, or is created after the issue date, if that default:</w:t>
      </w:r>
    </w:p>
    <w:p>
      <w:pPr>
        <w:spacing w:after="0" w:line="165" w:lineRule="exact"/>
        <w:rPr>
          <w:rFonts w:ascii="Arial" w:cs="Arial" w:eastAsia="Arial" w:hAnsi="Arial"/>
          <w:sz w:val="17"/>
          <w:szCs w:val="17"/>
          <w:color w:val="auto"/>
        </w:rPr>
      </w:pPr>
    </w:p>
    <w:p>
      <w:pPr>
        <w:ind w:left="1300" w:firstLine="5"/>
        <w:spacing w:after="0" w:line="277" w:lineRule="auto"/>
        <w:tabs>
          <w:tab w:leader="none" w:pos="155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jc w:val="both"/>
        <w:ind w:left="1300" w:firstLine="5"/>
        <w:spacing w:after="0" w:line="264" w:lineRule="auto"/>
        <w:tabs>
          <w:tab w:leader="none" w:pos="158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(i) 1.5% of Total Assets and (ii) $75.0 million;</w:t>
      </w:r>
    </w:p>
    <w:p>
      <w:pPr>
        <w:spacing w:after="0" w:line="18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clause (4) shall not apply to secured Indebtedness that becomes due as a result of the voluntary sale or transfer of the property or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securing such Indebtedness to a Person that is not an Affiliate of Clearway Operating LLC;</w:t>
      </w:r>
    </w:p>
    <w:p>
      <w:pPr>
        <w:spacing w:after="0" w:line="170" w:lineRule="exact"/>
        <w:rPr>
          <w:sz w:val="20"/>
          <w:szCs w:val="20"/>
          <w:color w:val="auto"/>
        </w:rPr>
      </w:pPr>
    </w:p>
    <w:p>
      <w:pPr>
        <w:jc w:val="both"/>
        <w:ind w:left="660" w:hanging="4"/>
        <w:spacing w:after="0" w:line="259" w:lineRule="auto"/>
        <w:tabs>
          <w:tab w:leader="none" w:pos="93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the greater of (i) 1.5% of Total Assets and (ii) $75.0 million (excluding therefrom any amount reasonably expected to be covered by insurance) shall be rendered against Clearway Operating LLC or any Guarantor or Guarantors or any combination thereof and the same shall not have been paid, discharged or stayed for a period of 60 days after such judgment became final and non-appealable;</w:t>
      </w:r>
    </w:p>
    <w:p>
      <w:pPr>
        <w:spacing w:after="0" w:line="186" w:lineRule="exact"/>
        <w:rPr>
          <w:rFonts w:ascii="Arial" w:cs="Arial" w:eastAsia="Arial" w:hAnsi="Arial"/>
          <w:sz w:val="18"/>
          <w:szCs w:val="18"/>
          <w:color w:val="auto"/>
        </w:rPr>
      </w:pPr>
    </w:p>
    <w:p>
      <w:pPr>
        <w:jc w:val="both"/>
        <w:ind w:left="660" w:hanging="4"/>
        <w:spacing w:after="0" w:line="257" w:lineRule="auto"/>
        <w:tabs>
          <w:tab w:leader="none" w:pos="93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except as permitted by the indenture, any Guarantee shall be held in any final and non-appealable judicial proceeding to be unenforceable or invalid or shall cease for any reason to be in full force and effect or any Guarantor (or any group of Guarantors) that, if Subsidiaries of Clearway Operating LLC, would constitute a Significant Subsidiary, or any Person acting on behalf of any Guarantor (or any group of Guarantors) that, if Subsidiaries of Clearway Operating LLC, would constitute a Significant Subsidiary, shall deny or disaffirm its or their obligations under its or their Guarantee(s); and</w:t>
      </w:r>
    </w:p>
    <w:p>
      <w:pPr>
        <w:spacing w:after="0" w:line="188" w:lineRule="exact"/>
        <w:rPr>
          <w:rFonts w:ascii="Arial" w:cs="Arial" w:eastAsia="Arial" w:hAnsi="Arial"/>
          <w:sz w:val="18"/>
          <w:szCs w:val="18"/>
          <w:color w:val="auto"/>
        </w:rPr>
      </w:pPr>
    </w:p>
    <w:p>
      <w:pPr>
        <w:jc w:val="both"/>
        <w:ind w:left="660" w:hanging="4"/>
        <w:spacing w:after="0" w:line="264" w:lineRule="auto"/>
        <w:tabs>
          <w:tab w:leader="none" w:pos="94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Clearway Operating LLC or any Guarantor that, if a Subsidiary of Clearway Operating LLC, would constitute a Significant Subsidiary or any group of Guarantors that, if Subsidiaries of Clearway Operating LLC, taken together, would constitute a Significant Subsidiary.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case of an Event of Default with respect to the notes arising from certain events of bankruptcy or insolvency with respect to Clearway Operating LLC, any Guarantor or any group of Guarantors that, if subsidiaries of Clearway Operating LLC, taken together, would constitute a Significant Subsidiary, all such notes that are outstanding will become due and payable immediately without further action or notice. If any other Event of Default occurs and is continuing, the trustee or the holders of at least 25% in principal amount of such notes that are outstanding may declare all the notes to be due and payable immediately.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certain limitations, holders of a majority in principal amount of the notes that are then outstanding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under the indenture, the trustee will be under no obligation to exercise any of the rights or powers under the indenture at the request or direction of any holders of the notes unless such holders have offered to the trustee reasonable indemnity or security against any loss, liability or expense. Except to enforce the right to receive payment of principal, premium (if any) or interest when due, no holder of a note may pursue any remedy with respect to the indenture unless:</w:t>
      </w:r>
    </w:p>
    <w:p>
      <w:pPr>
        <w:spacing w:after="0" w:line="154" w:lineRule="exact"/>
        <w:rPr>
          <w:sz w:val="20"/>
          <w:szCs w:val="20"/>
          <w:color w:val="auto"/>
        </w:rPr>
      </w:pPr>
    </w:p>
    <w:p>
      <w:pPr>
        <w:ind w:left="920" w:hanging="264"/>
        <w:spacing w:after="0"/>
        <w:tabs>
          <w:tab w:leader="none" w:pos="9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notes that are then outstanding have requested the trustee to pursue the remedy;</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thereof and the offer of security or indemnity; and</w:t>
      </w:r>
    </w:p>
    <w:p>
      <w:pPr>
        <w:spacing w:after="0" w:line="225" w:lineRule="exact"/>
        <w:rPr>
          <w:rFonts w:ascii="Arial" w:cs="Arial" w:eastAsia="Arial" w:hAnsi="Arial"/>
          <w:sz w:val="18"/>
          <w:szCs w:val="18"/>
          <w:color w:val="auto"/>
        </w:rPr>
      </w:pPr>
    </w:p>
    <w:p>
      <w:pPr>
        <w:ind w:left="660" w:hanging="4"/>
        <w:spacing w:after="0" w:line="277" w:lineRule="auto"/>
        <w:tabs>
          <w:tab w:leader="none" w:pos="9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that are then outstanding have not given the trustee a direction inconsistent with such request within such 60-day period.</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holders of a majority in aggregate principal amount of the notes then outstanding by notice to the trustee may, on behalf of the holders of the notes, rescind an acceleration or waive any existing Default or Event of Default and its consequences under the indenture except a continuing Default or</w:t>
      </w:r>
    </w:p>
    <w:p>
      <w:pPr>
        <w:sectPr>
          <w:pgSz w:w="11900" w:h="16840" w:orient="portrait"/>
          <w:cols w:equalWidth="0" w:num="1">
            <w:col w:w="11420"/>
          </w:cols>
          <w:pgMar w:left="240" w:top="125" w:right="239" w:bottom="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Event of Default in the payment of interest on, or the principal of, such notes.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Clearway Operating LLC is required to deliver to the trustee annually a statement regarding compliance with the indenture. Upon becoming aware of any Default or Event of Default, Clearway Operating LLC is required to deliver to the trustee a statement specifying such Default or Event of Default.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 director, officer, employee, incorporator, stockholder, member or unitholder of Clearway Operating LLC or any Guarantor, as such, has any liability for any obligations of Clearway Operating LLC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Clearway Operating LLC may, at its option and at any time, elect to have all of its obligations discharged with respect to the notes that are outstanding and all obligations of the Guarantors of such notes discharged with respect to their Guarantees (“</w:t>
      </w:r>
      <w:r>
        <w:rPr>
          <w:rFonts w:ascii="Arial" w:cs="Arial" w:eastAsia="Arial" w:hAnsi="Arial"/>
          <w:sz w:val="17"/>
          <w:szCs w:val="17"/>
          <w:i w:val="1"/>
          <w:iCs w:val="1"/>
          <w:color w:val="auto"/>
        </w:rPr>
        <w:t>Legal Defeasance</w:t>
      </w:r>
      <w:r>
        <w:rPr>
          <w:rFonts w:ascii="Arial" w:cs="Arial" w:eastAsia="Arial" w:hAnsi="Arial"/>
          <w:sz w:val="17"/>
          <w:szCs w:val="17"/>
          <w:color w:val="auto"/>
        </w:rPr>
        <w:t>”), except for:</w:t>
      </w:r>
    </w:p>
    <w:p>
      <w:pPr>
        <w:spacing w:after="0" w:line="147" w:lineRule="exact"/>
        <w:rPr>
          <w:sz w:val="20"/>
          <w:szCs w:val="20"/>
          <w:color w:val="auto"/>
        </w:rPr>
      </w:pPr>
    </w:p>
    <w:p>
      <w:pPr>
        <w:ind w:left="660" w:right="20" w:hanging="4"/>
        <w:spacing w:after="0" w:line="277" w:lineRule="auto"/>
        <w:tabs>
          <w:tab w:leader="none" w:pos="91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rights of holders of the notes that are then outstanding to receive payments in respect of the principal of, or interest or premium on such notes when such payments are due from the trust referred to below;</w:t>
      </w:r>
    </w:p>
    <w:p>
      <w:pPr>
        <w:spacing w:after="0" w:line="170" w:lineRule="exact"/>
        <w:rPr>
          <w:rFonts w:ascii="Arial" w:cs="Arial" w:eastAsia="Arial" w:hAnsi="Arial"/>
          <w:sz w:val="18"/>
          <w:szCs w:val="18"/>
          <w:color w:val="auto"/>
        </w:rPr>
      </w:pPr>
    </w:p>
    <w:p>
      <w:pPr>
        <w:ind w:left="660" w:hanging="4"/>
        <w:spacing w:after="0" w:line="277" w:lineRule="auto"/>
        <w:tabs>
          <w:tab w:leader="none" w:pos="92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Clearway Operating LLC’s obligations with respect to the notes concerning issuing temporary notes, registration of notes, mutilated, destroyed, lost or stolen notes and the maintenance of an office or agency for payment and money for security payments held in trust;</w:t>
      </w:r>
    </w:p>
    <w:p>
      <w:pPr>
        <w:spacing w:after="0" w:line="170" w:lineRule="exact"/>
        <w:rPr>
          <w:rFonts w:ascii="Arial" w:cs="Arial" w:eastAsia="Arial" w:hAnsi="Arial"/>
          <w:sz w:val="18"/>
          <w:szCs w:val="18"/>
          <w:color w:val="auto"/>
        </w:rPr>
      </w:pPr>
    </w:p>
    <w:p>
      <w:pPr>
        <w:ind w:left="660" w:hanging="4"/>
        <w:spacing w:after="0" w:line="277" w:lineRule="auto"/>
        <w:tabs>
          <w:tab w:leader="none" w:pos="92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for the notes, and Clearway Operating LLC’s and the Guarantors’ obligations in connection therewith;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Legal Defeasance provisions of the indenture governing such notes.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Clearway Operating LLC may, at its option and at any time, elect to have the obligations of Clearway Operating LLC and the Guarantors released with respect to certain covenants (including its obligation to make Change of Control Offers) that are described in the indenture (“</w:t>
      </w:r>
      <w:r>
        <w:rPr>
          <w:rFonts w:ascii="Arial" w:cs="Arial" w:eastAsia="Arial" w:hAnsi="Arial"/>
          <w:sz w:val="17"/>
          <w:szCs w:val="17"/>
          <w:i w:val="1"/>
          <w:iCs w:val="1"/>
          <w:color w:val="auto"/>
        </w:rPr>
        <w:t>Covenant</w:t>
      </w:r>
      <w:r>
        <w:rPr>
          <w:rFonts w:ascii="Arial" w:cs="Arial" w:eastAsia="Arial" w:hAnsi="Arial"/>
          <w:sz w:val="17"/>
          <w:szCs w:val="17"/>
          <w:color w:val="auto"/>
        </w:rPr>
        <w:t xml:space="preserve"> </w:t>
      </w:r>
      <w:r>
        <w:rPr>
          <w:rFonts w:ascii="Arial" w:cs="Arial" w:eastAsia="Arial" w:hAnsi="Arial"/>
          <w:sz w:val="17"/>
          <w:szCs w:val="17"/>
          <w:i w:val="1"/>
          <w:iCs w:val="1"/>
          <w:color w:val="auto"/>
        </w:rPr>
        <w:t>Defeasance</w:t>
      </w:r>
      <w:r>
        <w:rPr>
          <w:rFonts w:ascii="Arial" w:cs="Arial" w:eastAsia="Arial" w:hAnsi="Arial"/>
          <w:sz w:val="17"/>
          <w:szCs w:val="17"/>
          <w:color w:val="auto"/>
        </w:rPr>
        <w:t>”) and thereafter any omission to comply with those covenants will not constitute a Default or Event of Default with respect to the notes.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jc w:val="both"/>
        <w:ind w:left="660" w:hanging="4"/>
        <w:spacing w:after="0" w:line="297" w:lineRule="auto"/>
        <w:tabs>
          <w:tab w:leader="none" w:pos="92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Clearway Operating LLC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on such notes that are then outstanding on the Stated Maturity or on the applicable redemption date, as the case may be, and Clearway Operating LLC must specify whether such notes are being defeased to maturity or to a particular redemption date;</w:t>
      </w:r>
    </w:p>
    <w:p>
      <w:pPr>
        <w:spacing w:after="0" w:line="158" w:lineRule="exact"/>
        <w:rPr>
          <w:rFonts w:ascii="Arial" w:cs="Arial" w:eastAsia="Arial" w:hAnsi="Arial"/>
          <w:sz w:val="16"/>
          <w:szCs w:val="16"/>
          <w:color w:val="auto"/>
        </w:rPr>
      </w:pPr>
    </w:p>
    <w:p>
      <w:pPr>
        <w:jc w:val="both"/>
        <w:ind w:left="660" w:hanging="4"/>
        <w:spacing w:after="0" w:line="273" w:lineRule="auto"/>
        <w:tabs>
          <w:tab w:leader="none" w:pos="92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in the case of Legal Defeasance, Clearway Operating LLC has delivered to the trustee an opinion of counsel reasonably acceptable to the trustee confirming that (a) Clearway Operating LLC has received from, or there has been published by, the Internal Revenue Service a ruling or (b) since the issue date, there has been a change in the applicable federal income tax law, in either case to the effect that, and based thereon such opinion of counsel will confirm that, the holders of the notes that are then outstanding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8" w:lineRule="exact"/>
        <w:rPr>
          <w:rFonts w:ascii="Arial" w:cs="Arial" w:eastAsia="Arial" w:hAnsi="Arial"/>
          <w:sz w:val="17"/>
          <w:szCs w:val="17"/>
          <w:color w:val="auto"/>
        </w:rPr>
      </w:pPr>
    </w:p>
    <w:p>
      <w:pPr>
        <w:jc w:val="both"/>
        <w:ind w:left="660" w:hanging="4"/>
        <w:spacing w:after="0" w:line="259" w:lineRule="auto"/>
        <w:tabs>
          <w:tab w:leader="none" w:pos="93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the case of Covenant Defeasance, Clearway Operating LLC has delivered to the trustee an opinion of counsel reasonably acceptable to the trustee confirming that the holders of the notes that are then outstanding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left="660" w:hanging="4"/>
        <w:spacing w:after="0" w:line="277" w:lineRule="auto"/>
        <w:tabs>
          <w:tab w:leader="none" w:pos="9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on the date of such deposit (other than a Default or Event of Default resulting from the borrowing of funds to be applied to such deposit);</w:t>
      </w:r>
    </w:p>
    <w:p>
      <w:pPr>
        <w:spacing w:after="0" w:line="170" w:lineRule="exact"/>
        <w:rPr>
          <w:rFonts w:ascii="Arial" w:cs="Arial" w:eastAsia="Arial" w:hAnsi="Arial"/>
          <w:sz w:val="18"/>
          <w:szCs w:val="18"/>
          <w:color w:val="auto"/>
        </w:rPr>
      </w:pPr>
    </w:p>
    <w:p>
      <w:pPr>
        <w:jc w:val="both"/>
        <w:ind w:left="660" w:right="20" w:hanging="4"/>
        <w:spacing w:after="0" w:line="264" w:lineRule="auto"/>
        <w:tabs>
          <w:tab w:leader="none" w:pos="91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Clearway Operating LLC or any of its Subsidiaries or the Parent Guarantor is a party or by which Clearway Operating LLC or any of its Subsidiaries or the Parent Guarantor is bound;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Clearway Operating LLC must deliver to the trustee an officers’ certificate stating that the deposit was not made by Clearway Operating LLC with the intent of preferring the holders of the notes over the other creditors of Clearway Operating LLC with the intent of defeating, hindering, delaying or defrauding creditors of Clearway Operating LLC or others; and</w:t>
      </w:r>
    </w:p>
    <w:p>
      <w:pPr>
        <w:spacing w:after="0" w:line="181" w:lineRule="exact"/>
        <w:rPr>
          <w:rFonts w:ascii="Arial" w:cs="Arial" w:eastAsia="Arial" w:hAnsi="Arial"/>
          <w:sz w:val="18"/>
          <w:szCs w:val="18"/>
          <w:color w:val="auto"/>
        </w:rPr>
      </w:pPr>
    </w:p>
    <w:p>
      <w:pPr>
        <w:ind w:left="660" w:hanging="4"/>
        <w:spacing w:after="0" w:line="277" w:lineRule="auto"/>
        <w:tabs>
          <w:tab w:leader="none" w:pos="92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Clearway Operating LLC must deliver to the trustee an officers’ certificate and an opinion of counsel, each stating that all conditions precedent relating to the Legal Defeasance or the Covenant Defeasance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Except as provided in the next two succeeding paragraphs, the indenture or the notes outstanding thereunder may be amended or supplemented with the consent of the holders of at least a majority in principal amount of notes then outstanding (including, without limitation, consents obtained in connection with a purchase of, or tender offer or exchange offer for, the notes), and any existing default or compliance with any provision of the indenture or the notes outstanding thereunder may be waived with the consent of the holders of a majority in principal amount of the notes that are then outstanding (including, without limitation, consents obtained in connection with a purchase of, or tender offer or exchange offer for, the notes).</w:t>
      </w:r>
    </w:p>
    <w:p>
      <w:pPr>
        <w:sectPr>
          <w:pgSz w:w="11900" w:h="16838" w:orient="portrait"/>
          <w:cols w:equalWidth="0" w:num="1">
            <w:col w:w="11420"/>
          </w:cols>
          <w:pgMar w:left="240" w:top="125" w:right="239" w:bottom="0" w:gutter="0" w:footer="0" w:header="0"/>
        </w:sectPr>
      </w:pPr>
    </w:p>
    <w:bookmarkStart w:id="200" w:name="page201"/>
    <w:bookmarkEnd w:id="200"/>
    <w:p>
      <w:pPr>
        <w:ind w:left="660"/>
        <w:spacing w:after="0"/>
        <w:rPr>
          <w:sz w:val="20"/>
          <w:szCs w:val="20"/>
          <w:color w:val="auto"/>
        </w:rPr>
      </w:pPr>
      <w:r>
        <w:rPr>
          <w:rFonts w:ascii="Arial" w:cs="Arial" w:eastAsia="Arial" w:hAnsi="Arial"/>
          <w:sz w:val="16"/>
          <w:szCs w:val="16"/>
          <w:color w:val="auto"/>
        </w:rPr>
        <w:t>Without the consent of each holder of notes affected, an amendment or waiver may not (with respect to any such notes held by a non-consenting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left="920" w:hanging="264"/>
        <w:spacing w:after="0"/>
        <w:tabs>
          <w:tab w:leader="none" w:pos="9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 supplement or waiver;</w:t>
      </w:r>
    </w:p>
    <w:p>
      <w:pPr>
        <w:spacing w:after="0" w:line="225" w:lineRule="exact"/>
        <w:rPr>
          <w:rFonts w:ascii="Arial" w:cs="Arial" w:eastAsia="Arial" w:hAnsi="Arial"/>
          <w:sz w:val="18"/>
          <w:szCs w:val="18"/>
          <w:color w:val="auto"/>
        </w:rPr>
      </w:pPr>
    </w:p>
    <w:p>
      <w:pPr>
        <w:jc w:val="both"/>
        <w:ind w:left="660" w:hanging="4"/>
        <w:spacing w:after="0" w:line="264" w:lineRule="auto"/>
        <w:tabs>
          <w:tab w:leader="none" w:pos="92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such note or alter the provisions with respect to the redemption of such notes (other than provisions relating to the covenants described above under the caption “—Repurchase at the Option of Holders” and provisions relating to the number of days of notice to be given in the event of a redemption);</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w:t>
      </w:r>
    </w:p>
    <w:p>
      <w:pPr>
        <w:spacing w:after="0" w:line="225" w:lineRule="exact"/>
        <w:rPr>
          <w:rFonts w:ascii="Arial" w:cs="Arial" w:eastAsia="Arial" w:hAnsi="Arial"/>
          <w:sz w:val="18"/>
          <w:szCs w:val="18"/>
          <w:color w:val="auto"/>
        </w:rPr>
      </w:pPr>
    </w:p>
    <w:p>
      <w:pPr>
        <w:jc w:val="both"/>
        <w:ind w:left="660" w:hanging="4"/>
        <w:spacing w:after="0" w:line="264" w:lineRule="auto"/>
        <w:tabs>
          <w:tab w:leader="none" w:pos="92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on such notes (except a rescission of acceleration of such notes by the holders of at least a majority in aggregate principal amount of such notes and a waiver of the payment default that resulted from such acceleration);</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notes;</w:t>
      </w:r>
    </w:p>
    <w:p>
      <w:pPr>
        <w:spacing w:after="0" w:line="225" w:lineRule="exact"/>
        <w:rPr>
          <w:rFonts w:ascii="Arial" w:cs="Arial" w:eastAsia="Arial" w:hAnsi="Arial"/>
          <w:sz w:val="18"/>
          <w:szCs w:val="18"/>
          <w:color w:val="auto"/>
        </w:rPr>
      </w:pPr>
    </w:p>
    <w:p>
      <w:pPr>
        <w:ind w:left="660" w:hanging="4"/>
        <w:spacing w:after="0" w:line="277" w:lineRule="auto"/>
        <w:tabs>
          <w:tab w:leader="none" w:pos="91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such notes to receive payments of principal of, or interest or premium on such notes;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92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waive a redemption payment with respect to any such note (other than a payment required by one of the covenants described above under the caption “—Repurchase at the Option of Holders”); or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Notwithstanding the preceding, without the consent of any holder of notes, Clearway Operating LLC, the Guarantors and the trustee may amend or supplement the indenture or the notes:</w:t>
      </w:r>
    </w:p>
    <w:p>
      <w:pPr>
        <w:spacing w:after="0" w:line="170" w:lineRule="exact"/>
        <w:rPr>
          <w:sz w:val="20"/>
          <w:szCs w:val="20"/>
          <w:color w:val="auto"/>
        </w:rPr>
      </w:pPr>
    </w:p>
    <w:p>
      <w:pPr>
        <w:ind w:left="920" w:hanging="264"/>
        <w:spacing w:after="0"/>
        <w:tabs>
          <w:tab w:leader="none" w:pos="9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cure any ambiguity, mistake, defect or inconsistency;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25" w:lineRule="exact"/>
        <w:rPr>
          <w:rFonts w:ascii="Arial" w:cs="Arial" w:eastAsia="Arial" w:hAnsi="Arial"/>
          <w:sz w:val="18"/>
          <w:szCs w:val="18"/>
          <w:color w:val="auto"/>
        </w:rPr>
      </w:pPr>
    </w:p>
    <w:p>
      <w:pPr>
        <w:ind w:left="660" w:hanging="4"/>
        <w:spacing w:after="0" w:line="277" w:lineRule="auto"/>
        <w:tabs>
          <w:tab w:leader="none" w:pos="9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provide for the assumption of Clearway Operating LLC’s obligations to holders of notes in the case of a merger or consolidation or sale of all or substantially all of Clearway Operating LLC’s assets;</w:t>
      </w:r>
    </w:p>
    <w:p>
      <w:pPr>
        <w:spacing w:after="0" w:line="170" w:lineRule="exact"/>
        <w:rPr>
          <w:rFonts w:ascii="Arial" w:cs="Arial" w:eastAsia="Arial" w:hAnsi="Arial"/>
          <w:sz w:val="18"/>
          <w:szCs w:val="18"/>
          <w:color w:val="auto"/>
        </w:rPr>
      </w:pPr>
    </w:p>
    <w:p>
      <w:pPr>
        <w:ind w:left="660" w:hanging="4"/>
        <w:spacing w:after="0" w:line="277" w:lineRule="auto"/>
        <w:tabs>
          <w:tab w:leader="none" w:pos="92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any indenture of any such holder;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to comply with requirements of the Commission in order to effect or maintain the qualification of any indenture under the Trust Indenture Act;</w:t>
      </w:r>
    </w:p>
    <w:p>
      <w:pPr>
        <w:spacing w:after="0" w:line="248" w:lineRule="exact"/>
        <w:rPr>
          <w:rFonts w:ascii="Arial" w:cs="Arial" w:eastAsia="Arial" w:hAnsi="Arial"/>
          <w:sz w:val="16"/>
          <w:szCs w:val="16"/>
          <w:color w:val="auto"/>
        </w:rPr>
      </w:pPr>
    </w:p>
    <w:p>
      <w:pPr>
        <w:ind w:left="660" w:right="20" w:hanging="4"/>
        <w:spacing w:after="0" w:line="277" w:lineRule="auto"/>
        <w:tabs>
          <w:tab w:leader="none" w:pos="93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the “Description of the Notes” in the offering memorandum of Clearway Operating LLC dated August 15, 2016;</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to evidence and provide for the acceptance and appointment under the indenture of a successor trustee pursuant to the requirements thereof;</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the indenture as of the date hereof;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Subsidiary Guarantee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225" w:lineRule="exact"/>
        <w:rPr>
          <w:sz w:val="20"/>
          <w:szCs w:val="20"/>
          <w:color w:val="auto"/>
        </w:rPr>
      </w:pPr>
    </w:p>
    <w:p>
      <w:pPr>
        <w:ind w:left="920" w:hanging="264"/>
        <w:spacing w:after="0"/>
        <w:tabs>
          <w:tab w:leader="none" w:pos="9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1300" w:firstLine="5"/>
        <w:spacing w:after="0" w:line="264" w:lineRule="auto"/>
        <w:tabs>
          <w:tab w:leader="none" w:pos="155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all such notes that have been authenticated, except lost, stolen or destroyed notes that have been replaced or paid and notes for whose payment money has been deposited in trust and thereafter repaid to Clearway Operating LLC, have been delivered to the trustee for such notes for cancellation; or</w:t>
      </w:r>
    </w:p>
    <w:p>
      <w:pPr>
        <w:spacing w:after="0" w:line="181" w:lineRule="exact"/>
        <w:rPr>
          <w:rFonts w:ascii="Arial" w:cs="Arial" w:eastAsia="Arial" w:hAnsi="Arial"/>
          <w:sz w:val="18"/>
          <w:szCs w:val="18"/>
          <w:color w:val="auto"/>
        </w:rPr>
      </w:pPr>
    </w:p>
    <w:p>
      <w:pPr>
        <w:jc w:val="both"/>
        <w:ind w:left="1300" w:firstLine="5"/>
        <w:spacing w:after="0" w:line="293" w:lineRule="auto"/>
        <w:tabs>
          <w:tab w:leader="none" w:pos="156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all such notes that have not been delivered to the trustee for cancellation have become due and payable by reason of the mailing of a notice of redemption or otherwise or will become due and payable within one year and Clearway Operating LLC or any Guarantor has irrevocably deposited or caused to be deposited with the trustee as trust funds in trust solely for the benefit of the holders of notes,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164" w:lineRule="exact"/>
        <w:rPr>
          <w:rFonts w:ascii="Arial" w:cs="Arial" w:eastAsia="Arial" w:hAnsi="Arial"/>
          <w:sz w:val="16"/>
          <w:szCs w:val="16"/>
          <w:color w:val="auto"/>
        </w:rPr>
      </w:pPr>
    </w:p>
    <w:p>
      <w:pPr>
        <w:jc w:val="both"/>
        <w:ind w:left="660" w:hanging="4"/>
        <w:spacing w:after="0" w:line="259" w:lineRule="auto"/>
        <w:tabs>
          <w:tab w:leader="none" w:pos="92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Default or Event of Default under such indenture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Clearway Operating LLC or any Guarantor is a party or by which Clearway Operating LLC or any Guarantor is bound;</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Clearway Operating LLC or any Guarantor has paid or caused to be paid all sums payable by it under the indenture; and</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94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Clearway Operating LLC has delivered irrevocable instructions to the trustee under the indenture to apply the deposited money toward the payment of the notes at maturity or the redemption date, as the case may be.</w:t>
      </w:r>
    </w:p>
    <w:p>
      <w:pPr>
        <w:sectPr>
          <w:pgSz w:w="11900" w:h="16838" w:orient="portrait"/>
          <w:cols w:equalWidth="0" w:num="1">
            <w:col w:w="11420"/>
          </w:cols>
          <w:pgMar w:left="240" w:top="125" w:right="239" w:bottom="0" w:gutter="0" w:footer="0" w:header="0"/>
        </w:sectPr>
      </w:pPr>
    </w:p>
    <w:bookmarkStart w:id="201" w:name="page202"/>
    <w:bookmarkEnd w:id="201"/>
    <w:p>
      <w:pPr>
        <w:jc w:val="both"/>
        <w:ind w:right="20" w:firstLine="648"/>
        <w:spacing w:after="0" w:line="277" w:lineRule="auto"/>
        <w:rPr>
          <w:sz w:val="20"/>
          <w:szCs w:val="20"/>
          <w:color w:val="auto"/>
        </w:rPr>
      </w:pPr>
      <w:r>
        <w:rPr>
          <w:rFonts w:ascii="Arial" w:cs="Arial" w:eastAsia="Arial" w:hAnsi="Arial"/>
          <w:sz w:val="18"/>
          <w:szCs w:val="18"/>
          <w:color w:val="auto"/>
        </w:rPr>
        <w:t>In addition, Clearway Operating LLC must deliver an officers’ certificate and an opinion of counsel to the trustee stating that all conditions precedent to satisfaction and discharge have been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If the trustee becomes a creditor of Clearway Operating LLC or any Guarantor, the indenture limits its right to obtain payment of claims in certain cases, or to realize on certain property received in respect of any such claim as security or otherwise. The trustee will be permitted to engage in other transactions; </w:t>
      </w:r>
      <w:r>
        <w:rPr>
          <w:rFonts w:ascii="Arial" w:cs="Arial" w:eastAsia="Arial" w:hAnsi="Arial"/>
          <w:sz w:val="18"/>
          <w:szCs w:val="18"/>
          <w:i w:val="1"/>
          <w:iCs w:val="1"/>
          <w:color w:val="auto"/>
        </w:rPr>
        <w:t>however</w:t>
      </w:r>
      <w:r>
        <w:rPr>
          <w:rFonts w:ascii="Arial" w:cs="Arial" w:eastAsia="Arial" w:hAnsi="Arial"/>
          <w:sz w:val="18"/>
          <w:szCs w:val="18"/>
          <w:color w:val="auto"/>
        </w:rPr>
        <w:t>, if it acquires any conflicting interest it must eliminate such conflict within 90 days, apply to the Commission for permission to continue (if such indenture has been qualified under the Trust Indenture Act) or resign.</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holders of a majority in principal amount of the notes that are outstanding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 Subject to the provisions of the indenture,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LTM CAFD</w:t>
      </w:r>
      <w:r>
        <w:rPr>
          <w:rFonts w:ascii="Arial" w:cs="Arial" w:eastAsia="Arial" w:hAnsi="Arial"/>
          <w:sz w:val="18"/>
          <w:szCs w:val="18"/>
          <w:color w:val="auto"/>
        </w:rPr>
        <w:t>” means, as of any date of determination (for purposes of this definition, the “</w:t>
      </w:r>
      <w:r>
        <w:rPr>
          <w:rFonts w:ascii="Arial" w:cs="Arial" w:eastAsia="Arial" w:hAnsi="Arial"/>
          <w:sz w:val="18"/>
          <w:szCs w:val="18"/>
          <w:i w:val="1"/>
          <w:iCs w:val="1"/>
          <w:color w:val="auto"/>
        </w:rPr>
        <w:t>Calculation Date</w:t>
      </w:r>
      <w:r>
        <w:rPr>
          <w:rFonts w:ascii="Arial" w:cs="Arial" w:eastAsia="Arial" w:hAnsi="Arial"/>
          <w:sz w:val="18"/>
          <w:szCs w:val="18"/>
          <w:color w:val="auto"/>
        </w:rPr>
        <w:t>”), the net income of Clearway Operating LLC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81" w:lineRule="exact"/>
        <w:rPr>
          <w:sz w:val="20"/>
          <w:szCs w:val="20"/>
          <w:color w:val="auto"/>
        </w:rPr>
      </w:pPr>
    </w:p>
    <w:p>
      <w:pPr>
        <w:ind w:left="920" w:hanging="264"/>
        <w:spacing w:after="0"/>
        <w:tabs>
          <w:tab w:leader="none" w:pos="9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plus, income tax expense, net of income tax benefit, to the extent deducted in calculating net income during such four-quarter period;</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minus equity in earnings of unconsolidated affiliates to the extent included in net income during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plus, cash distributions from unconsolidated affiliates, to the extent not included in net income during such four-quarter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minus cash interest payments made by Subsidiaries of Clearway Operating LLC that were added back to net income pursuant to clause (1) above;</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minus cash income tax payments made by Clearway Operating LLC and its Subsidiaries that were added back to net income pursuant to clause</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left="660" w:right="20" w:hanging="4"/>
        <w:spacing w:after="0" w:line="277" w:lineRule="auto"/>
        <w:tabs>
          <w:tab w:leader="none" w:pos="94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Clearway Operating LLC’s Subsidiaries, to the extent not deducted in calculating net income during such four-quarter period;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plus, any decrease or minus any increase in amounts attributable to contract amortization and any recurring changes in other assets;</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minus maintenance capital expenditures, to the extent not deducted in calculating net income during such four-quarter period;</w:t>
      </w:r>
    </w:p>
    <w:p>
      <w:pPr>
        <w:spacing w:after="0" w:line="225" w:lineRule="exact"/>
        <w:rPr>
          <w:rFonts w:ascii="Arial" w:cs="Arial" w:eastAsia="Arial" w:hAnsi="Arial"/>
          <w:sz w:val="18"/>
          <w:szCs w:val="18"/>
          <w:color w:val="auto"/>
        </w:rPr>
      </w:pPr>
    </w:p>
    <w:p>
      <w:pPr>
        <w:jc w:val="both"/>
        <w:ind w:left="660" w:hanging="4"/>
        <w:spacing w:after="0" w:line="312" w:lineRule="auto"/>
        <w:tabs>
          <w:tab w:leader="none" w:pos="100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plus any expenses or charges related to any equity offering, investment, acquisition, disposition, recapitalization or incurrence of Indebtedness permitted to be incurred by the indenture including a refinancing thereof (whether or not successful), including such fees, expenses or charges related to the offering of the notes and the Credit Agreement, to the extent deducted in calculating net income during such four-quarter period; and</w:t>
      </w:r>
    </w:p>
    <w:p>
      <w:pPr>
        <w:spacing w:after="0" w:line="146" w:lineRule="exact"/>
        <w:rPr>
          <w:rFonts w:ascii="Arial" w:cs="Arial" w:eastAsia="Arial" w:hAnsi="Arial"/>
          <w:sz w:val="16"/>
          <w:szCs w:val="16"/>
          <w:color w:val="auto"/>
        </w:rPr>
      </w:pPr>
    </w:p>
    <w:p>
      <w:pPr>
        <w:ind w:left="660" w:hanging="4"/>
        <w:spacing w:after="0" w:line="277" w:lineRule="auto"/>
        <w:tabs>
          <w:tab w:leader="none" w:pos="100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plus, any professional and underwriting fees related to any equity offering, investment, acquisition, recapitalization or Indebtedness permitted to be incurred under the indenture, to the extent deducted in calculating net income during such four-quarter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jc w:val="both"/>
        <w:ind w:left="660" w:hanging="4"/>
        <w:spacing w:after="0" w:line="276" w:lineRule="auto"/>
        <w:tabs>
          <w:tab w:leader="none" w:pos="95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investments and acquisitions that have been made by Clearway Operating LLC or any of its Subsidiaries, including through mergers or consolidations, or any Person or any of its Subsidiaries acquired by Clearway Operating LLC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72" w:lineRule="exact"/>
        <w:rPr>
          <w:rFonts w:ascii="Arial" w:cs="Arial" w:eastAsia="Arial" w:hAnsi="Arial"/>
          <w:sz w:val="17"/>
          <w:szCs w:val="17"/>
          <w:color w:val="auto"/>
        </w:rPr>
      </w:pPr>
    </w:p>
    <w:p>
      <w:pPr>
        <w:ind w:left="660" w:hanging="4"/>
        <w:spacing w:after="0" w:line="277" w:lineRule="auto"/>
        <w:tabs>
          <w:tab w:leader="none" w:pos="93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Person that is a Subsidiary on the Calculation Date will be deemed to have been a Subsidiary at all times during such four-quarter period; and</w:t>
      </w:r>
    </w:p>
    <w:p>
      <w:pPr>
        <w:spacing w:after="0" w:line="248" w:lineRule="exact"/>
        <w:rPr>
          <w:rFonts w:ascii="Arial" w:cs="Arial" w:eastAsia="Arial" w:hAnsi="Arial"/>
          <w:sz w:val="16"/>
          <w:szCs w:val="16"/>
          <w:color w:val="auto"/>
        </w:rPr>
      </w:pPr>
    </w:p>
    <w:p>
      <w:pPr>
        <w:ind w:left="660" w:right="20" w:hanging="4"/>
        <w:spacing w:after="0" w:line="277" w:lineRule="auto"/>
        <w:tabs>
          <w:tab w:leader="none" w:pos="92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Person that is not a Subsidiary on the Calculation Date will be deemed not to have been a Subsidiary at any time during such four-quarter period.</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ectPr>
          <w:pgSz w:w="11900" w:h="16838" w:orient="portrait"/>
          <w:cols w:equalWidth="0" w:num="1">
            <w:col w:w="11420"/>
          </w:cols>
          <w:pgMar w:left="240" w:top="125" w:right="239" w:bottom="0" w:gutter="0" w:footer="0" w:header="0"/>
        </w:sectPr>
      </w:pPr>
    </w:p>
    <w:bookmarkStart w:id="202" w:name="page203"/>
    <w:bookmarkEnd w:id="202"/>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Laws</w:t>
      </w:r>
      <w:r>
        <w:rPr>
          <w:rFonts w:ascii="Arial" w:cs="Arial" w:eastAsia="Arial" w:hAnsi="Arial"/>
          <w:sz w:val="18"/>
          <w:szCs w:val="18"/>
          <w:color w:val="auto"/>
        </w:rPr>
        <w:t>” means, as to any Person, any law, rule, regulation, ordinance or treaty, or any determination, ruling or other directive by or 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225" w:lineRule="exact"/>
        <w:rPr>
          <w:sz w:val="20"/>
          <w:szCs w:val="20"/>
          <w:color w:val="auto"/>
        </w:rPr>
      </w:pPr>
    </w:p>
    <w:p>
      <w:pPr>
        <w:ind w:left="920" w:hanging="264"/>
        <w:spacing w:after="0"/>
        <w:tabs>
          <w:tab w:leader="none" w:pos="9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jc w:val="both"/>
        <w:ind w:left="1300" w:firstLine="5"/>
        <w:spacing w:after="0" w:line="259" w:lineRule="auto"/>
        <w:tabs>
          <w:tab w:leader="none" w:pos="155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September 15, 2021 (such redemption price being set forth in the table appearing above under the caption “—Optional Redemption”)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September 15, 2021 (excluding accrued but unpaid interest to the redemption date), computed using a discount rate equal to the Treasury Rate as of such redemption date plus 50 basis points; over</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“Beneficially Owns” and “Beneficially Owned” have a corresponding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 means:</w:t>
      </w:r>
    </w:p>
    <w:p>
      <w:pPr>
        <w:spacing w:after="0" w:line="225" w:lineRule="exact"/>
        <w:rPr>
          <w:sz w:val="20"/>
          <w:szCs w:val="20"/>
          <w:color w:val="auto"/>
        </w:rPr>
      </w:pPr>
    </w:p>
    <w:p>
      <w:pPr>
        <w:ind w:left="920" w:hanging="264"/>
        <w:spacing w:after="0"/>
        <w:tabs>
          <w:tab w:leader="none" w:pos="9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225" w:lineRule="exact"/>
        <w:rPr>
          <w:sz w:val="20"/>
          <w:szCs w:val="20"/>
          <w:color w:val="auto"/>
        </w:rPr>
      </w:pPr>
    </w:p>
    <w:p>
      <w:pPr>
        <w:ind w:left="920" w:hanging="264"/>
        <w:spacing w:after="0"/>
        <w:tabs>
          <w:tab w:leader="none" w:pos="9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hanging="4"/>
        <w:spacing w:after="0" w:line="277" w:lineRule="auto"/>
        <w:tabs>
          <w:tab w:leader="none" w:pos="92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interests (whether general or limited) or membership interests; and</w:t>
      </w:r>
    </w:p>
    <w:p>
      <w:pPr>
        <w:spacing w:after="0" w:line="236" w:lineRule="exact"/>
        <w:rPr>
          <w:rFonts w:ascii="Arial" w:cs="Arial" w:eastAsia="Arial" w:hAnsi="Arial"/>
          <w:sz w:val="17"/>
          <w:szCs w:val="17"/>
          <w:color w:val="auto"/>
        </w:rPr>
      </w:pPr>
    </w:p>
    <w:p>
      <w:pPr>
        <w:jc w:val="both"/>
        <w:ind w:left="660" w:hanging="4"/>
        <w:spacing w:after="0" w:line="264" w:lineRule="auto"/>
        <w:tabs>
          <w:tab w:leader="none" w:pos="91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jc w:val="both"/>
        <w:ind w:left="660" w:hanging="4"/>
        <w:spacing w:after="0" w:line="279" w:lineRule="auto"/>
        <w:tabs>
          <w:tab w:leader="none" w:pos="92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direct or indirect sale, transfer, conveyance or other disposition (other than by way of merger or consolidation), in one or a series of related transactions, of all or substantially all of the properties or assets of Clearway Operating LLC and its Subsidiaries taken as a whole to any “person” (as that term is used in Section 13(d) of the Exchange Act, but excluding any employee benefit plan of Clearway Operating LLC or any of its Subsidiaries, and any person or entity acting in its capacity as trustee, agent or other fiduciary or administrator of such plan);</w:t>
      </w:r>
    </w:p>
    <w:p>
      <w:pPr>
        <w:spacing w:after="0" w:line="171" w:lineRule="exact"/>
        <w:rPr>
          <w:rFonts w:ascii="Arial" w:cs="Arial" w:eastAsia="Arial" w:hAnsi="Arial"/>
          <w:sz w:val="17"/>
          <w:szCs w:val="17"/>
          <w:color w:val="auto"/>
        </w:rPr>
      </w:pPr>
    </w:p>
    <w:p>
      <w:pPr>
        <w:ind w:left="920" w:hanging="264"/>
        <w:spacing w:after="0"/>
        <w:tabs>
          <w:tab w:leader="none" w:pos="9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Clearway Inc., the Parent Guarantor or Clearway Operating LLC;</w:t>
      </w:r>
    </w:p>
    <w:p>
      <w:pPr>
        <w:spacing w:after="0" w:line="225" w:lineRule="exact"/>
        <w:rPr>
          <w:rFonts w:ascii="Arial" w:cs="Arial" w:eastAsia="Arial" w:hAnsi="Arial"/>
          <w:sz w:val="18"/>
          <w:szCs w:val="18"/>
          <w:color w:val="auto"/>
        </w:rPr>
      </w:pPr>
    </w:p>
    <w:p>
      <w:pPr>
        <w:jc w:val="both"/>
        <w:ind w:left="660" w:hanging="4"/>
        <w:spacing w:after="0" w:line="279" w:lineRule="auto"/>
        <w:tabs>
          <w:tab w:leader="none" w:pos="934"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(as defined above), other than (i) Clearway Inc. or (ii) a corporation owned directly or indirectly by the stockholders of Clearway Inc. in substantially the same proportion as their ownership of stock of Clearway Inc. prior to such transaction, becomes the Beneficial Owner, directly or indirectly, of more than 50% of the Voting Stock of Clearway Inc., measured by voting power rather than number of shares; or</w:t>
      </w:r>
    </w:p>
    <w:p>
      <w:pPr>
        <w:spacing w:after="0" w:line="171" w:lineRule="exact"/>
        <w:rPr>
          <w:rFonts w:ascii="Arial" w:cs="Arial" w:eastAsia="Arial" w:hAnsi="Arial"/>
          <w:sz w:val="17"/>
          <w:szCs w:val="17"/>
          <w:color w:val="auto"/>
        </w:rPr>
      </w:pPr>
    </w:p>
    <w:p>
      <w:pPr>
        <w:ind w:left="660" w:hanging="4"/>
        <w:spacing w:after="0" w:line="277" w:lineRule="auto"/>
        <w:tabs>
          <w:tab w:leader="none" w:pos="92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first day on which either (i) Clearway Inc. ceases to be the sole managing member of the Parent Guarantor or (ii) Clearway Operating LLC ceases to be a Wholly Owned Subsidiary of the Parent Guarantor.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it in the indenture governing the notes.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(i) a Change of Control has occurred and (ii) the notes are downgraded by both S&amp;P and Moody’s on any date during the period commencing 60 days prior to the consummation of such Change of Control and ending 60 days following consummation of such Change of Control.</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the Amended and Restated Credit Agreement, dated April 25, 2014, among Clearway Operating LLC, the Parent Guarantor, each other guarantor from time to time party thereto, each lender from time to time party thereto, JPMorgan Chase Bank, N.A., as the administrative agent, and JPMorgan Chase Bank, N.A., Royal Bank of Canada, Bank of America, N.A. and Barclays Bank PLC, as letter of credit issuers , as the same may be amended, restated, modified, renewed, refunded, replaced or refinanced from time to time.</w:t>
      </w:r>
    </w:p>
    <w:p>
      <w:pPr>
        <w:sectPr>
          <w:pgSz w:w="11900" w:h="16838" w:orient="portrait"/>
          <w:cols w:equalWidth="0" w:num="1">
            <w:col w:w="11420"/>
          </w:cols>
          <w:pgMar w:left="240" w:top="126" w:right="239" w:bottom="129" w:gutter="0" w:footer="0" w:header="0"/>
        </w:sectPr>
      </w:pPr>
    </w:p>
    <w:bookmarkStart w:id="203" w:name="page204"/>
    <w:bookmarkEnd w:id="203"/>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(i) one or more debt facilities (including, without limitation, the Credit Agreement) or commercial paper facilities, in 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CapEx Debt</w:t>
      </w:r>
      <w:r>
        <w:rPr>
          <w:rFonts w:ascii="Arial" w:cs="Arial" w:eastAsia="Arial" w:hAnsi="Arial"/>
          <w:sz w:val="18"/>
          <w:szCs w:val="18"/>
          <w:color w:val="auto"/>
        </w:rPr>
        <w:t>” means Indebtedness of Clearway Operating LLC or any of its Subsidiaries incurred for the purpose of financing capital expenditures to the extent deemed reasonably necessary, as determined by Clearway Operating LLC or any of its Subsidiaries, as applicable, in good faith and pursuant to prudent judgment, to comply with applicable Environmental Laws.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means all former, current and future federal, state, local and foreign laws (including common law), treaties, regulations, 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Offerings</w:t>
      </w:r>
      <w:r>
        <w:rPr>
          <w:rFonts w:ascii="Arial" w:cs="Arial" w:eastAsia="Arial" w:hAnsi="Arial"/>
          <w:sz w:val="18"/>
          <w:szCs w:val="18"/>
          <w:color w:val="auto"/>
        </w:rPr>
        <w:t>” means any public or private sale after the issue date of Capital Stock of the Parent Guarantor or Clearway Inc., the proceeds of which have been contributed to Clearway Operating LLC as common equity, other than:</w:t>
      </w:r>
    </w:p>
    <w:p>
      <w:pPr>
        <w:spacing w:after="0" w:line="170" w:lineRule="exact"/>
        <w:rPr>
          <w:sz w:val="20"/>
          <w:szCs w:val="20"/>
          <w:color w:val="auto"/>
        </w:rPr>
      </w:pPr>
    </w:p>
    <w:p>
      <w:pPr>
        <w:ind w:left="920" w:hanging="264"/>
        <w:spacing w:after="0"/>
        <w:tabs>
          <w:tab w:leader="none" w:pos="9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public offerings with respect to Clearway Inc.’s common stock registered on Form S-4 or Form S-8;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issuances to any Subsidiary of Clearway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Agreement</w:t>
      </w:r>
      <w:r>
        <w:rPr>
          <w:rFonts w:ascii="Arial" w:cs="Arial" w:eastAsia="Arial" w:hAnsi="Arial"/>
          <w:sz w:val="18"/>
          <w:szCs w:val="18"/>
          <w:color w:val="auto"/>
        </w:rPr>
        <w:t>” means the Amended and Restated Exchange Agreement, dated as of May 14, 2015 by and among Global Infrastructure Investors III, LLC (as successor in interest to NRG Energy, Inc. pursuant to that certain Assignment and Assumption Agreement, dated as of August 31, 2018), Clearway Inc. and the Parent Guarantor and each of the other parties thereto from time to time, as amended, supplemented or otherwise modified from time to time.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Liens</w:t>
      </w:r>
      <w:r>
        <w:rPr>
          <w:rFonts w:ascii="Arial" w:cs="Arial" w:eastAsia="Arial" w:hAnsi="Arial"/>
          <w:sz w:val="18"/>
          <w:szCs w:val="18"/>
          <w:color w:val="auto"/>
        </w:rPr>
        <w:t>” means Liens on the property or assets of Clearway Operating LLC and/or any of its Subsidiaries existing on the date of the indenture securing Indebtedness of Clearway Operating LLC or any of its Subsidiaries (other than Liens incurred pursuant to clause (1) of the covenant described above under the caption “—Liens”).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operating lease would be re-characterized as a capital lease due to changes in the accounting treatment of such operating leases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GAAP since the issue date, then solely with respect to the accounting treatment of any such lease, GAAP shall be interpreted as it was in effect on the issue date.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the issuer’s option.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225" w:lineRule="exact"/>
        <w:rPr>
          <w:sz w:val="20"/>
          <w:szCs w:val="20"/>
          <w:color w:val="auto"/>
        </w:rPr>
      </w:pPr>
    </w:p>
    <w:p>
      <w:pPr>
        <w:ind w:left="920" w:hanging="264"/>
        <w:spacing w:after="0"/>
        <w:tabs>
          <w:tab w:leader="none" w:pos="9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Parent Guarantor;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Subsidiary Guarantors, until such time as they are released pursuant to the provisions of the indenture; and</w:t>
      </w:r>
    </w:p>
    <w:p>
      <w:pPr>
        <w:spacing w:after="0" w:line="225" w:lineRule="exact"/>
        <w:rPr>
          <w:rFonts w:ascii="Arial" w:cs="Arial" w:eastAsia="Arial" w:hAnsi="Arial"/>
          <w:sz w:val="18"/>
          <w:szCs w:val="18"/>
          <w:color w:val="auto"/>
        </w:rPr>
      </w:pPr>
    </w:p>
    <w:p>
      <w:pPr>
        <w:ind w:left="660" w:right="540" w:hanging="4"/>
        <w:spacing w:after="0" w:line="530" w:lineRule="auto"/>
        <w:tabs>
          <w:tab w:leader="none" w:pos="91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any other Person that executes a Guarantee in accordance with the provisions of the indenture, and their respective successors and assigns. “</w:t>
      </w:r>
      <w:r>
        <w:rPr>
          <w:rFonts w:ascii="Arial" w:cs="Arial" w:eastAsia="Arial" w:hAnsi="Arial"/>
          <w:sz w:val="17"/>
          <w:szCs w:val="17"/>
          <w:i w:val="1"/>
          <w:iCs w:val="1"/>
          <w:color w:val="auto"/>
        </w:rPr>
        <w:t>Hedging Obligations</w:t>
      </w:r>
      <w:r>
        <w:rPr>
          <w:rFonts w:ascii="Arial" w:cs="Arial" w:eastAsia="Arial" w:hAnsi="Arial"/>
          <w:sz w:val="17"/>
          <w:szCs w:val="17"/>
          <w:color w:val="auto"/>
        </w:rPr>
        <w:t>” means, with respect to any specified Person, the obligations of such Person under:</w:t>
      </w:r>
    </w:p>
    <w:p>
      <w:pPr>
        <w:spacing w:after="0" w:line="1" w:lineRule="exact"/>
        <w:rPr>
          <w:sz w:val="20"/>
          <w:szCs w:val="20"/>
          <w:color w:val="auto"/>
        </w:rPr>
      </w:pPr>
    </w:p>
    <w:p>
      <w:pPr>
        <w:ind w:left="660" w:hanging="4"/>
        <w:spacing w:after="0" w:line="277" w:lineRule="auto"/>
        <w:tabs>
          <w:tab w:leader="none" w:pos="93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jc w:val="both"/>
        <w:ind w:left="660" w:hanging="4"/>
        <w:spacing w:after="0" w:line="257" w:lineRule="auto"/>
        <w:tabs>
          <w:tab w:leader="none" w:pos="93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except as provided in clause (5) below), whether or not contingent:</w:t>
      </w:r>
    </w:p>
    <w:p>
      <w:pPr>
        <w:sectPr>
          <w:pgSz w:w="11900" w:h="16838" w:orient="portrait"/>
          <w:cols w:equalWidth="0" w:num="1">
            <w:col w:w="11420"/>
          </w:cols>
          <w:pgMar w:left="240" w:top="125" w:right="239" w:bottom="0" w:gutter="0" w:footer="0" w:header="0"/>
        </w:sectPr>
      </w:pPr>
    </w:p>
    <w:bookmarkStart w:id="204" w:name="page205"/>
    <w:bookmarkEnd w:id="204"/>
    <w:p>
      <w:pPr>
        <w:ind w:left="920" w:hanging="264"/>
        <w:spacing w:after="0"/>
        <w:tabs>
          <w:tab w:leader="none" w:pos="9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660" w:hanging="4"/>
        <w:spacing w:after="0" w:line="277" w:lineRule="auto"/>
        <w:tabs>
          <w:tab w:leader="none" w:pos="92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70" w:lineRule="exact"/>
        <w:rPr>
          <w:rFonts w:ascii="Arial" w:cs="Arial" w:eastAsia="Arial" w:hAnsi="Arial"/>
          <w:sz w:val="18"/>
          <w:szCs w:val="18"/>
          <w:color w:val="auto"/>
        </w:rPr>
      </w:pPr>
    </w:p>
    <w:p>
      <w:pPr>
        <w:ind w:left="660" w:hanging="4"/>
        <w:spacing w:after="0" w:line="308" w:lineRule="auto"/>
        <w:tabs>
          <w:tab w:leader="none" w:pos="91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August 18,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w:t>
      </w:r>
    </w:p>
    <w:p>
      <w:pPr>
        <w:spacing w:after="0" w:line="225" w:lineRule="exact"/>
        <w:rPr>
          <w:sz w:val="20"/>
          <w:szCs w:val="20"/>
          <w:color w:val="auto"/>
        </w:rPr>
      </w:pPr>
    </w:p>
    <w:p>
      <w:pPr>
        <w:ind w:left="660" w:hanging="4"/>
        <w:spacing w:after="0" w:line="277" w:lineRule="auto"/>
        <w:tabs>
          <w:tab w:leader="none" w:pos="95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9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left="660" w:hanging="4"/>
        <w:spacing w:after="0" w:line="277" w:lineRule="auto"/>
        <w:tabs>
          <w:tab w:leader="none" w:pos="91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as of any date, any series of Indebtedness with an aggregate principal amount outstanding in excess of the greater of (i) 1.5% of Total Assets, as of such date, and (ii) $75.0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entity.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Necessary CapEx Debt</w:t>
      </w:r>
      <w:r>
        <w:rPr>
          <w:rFonts w:ascii="Arial" w:cs="Arial" w:eastAsia="Arial" w:hAnsi="Arial"/>
          <w:sz w:val="18"/>
          <w:szCs w:val="18"/>
          <w:color w:val="auto"/>
        </w:rPr>
        <w:t>” means Indebtedness of Clearway Operating LLC or any of its Subsidiaries incurred for the purpose of financing capital expenditures (other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Guarantee</w:t>
      </w:r>
      <w:r>
        <w:rPr>
          <w:rFonts w:ascii="Arial" w:cs="Arial" w:eastAsia="Arial" w:hAnsi="Arial"/>
          <w:sz w:val="18"/>
          <w:szCs w:val="18"/>
          <w:color w:val="auto"/>
        </w:rPr>
        <w:t>” means the Guarantee by the Parent Guarantor of Clearway Operating LLC’s obligations under the indenture and on the notes, executed pursuant to the provisions of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Clearway LLC and its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any building, structure or other facility, and all related property, plant or equipment or other long-term assets used or useful in the ownership, development, construction or operation of such building, structure or other facility owned or leased by Clearway Operating LLC or any Guarantor and having a net book value in excess of 2.0% of Total Assets, except any such building, structure or other facility (or related property, plant or equipment) that in the opinion of the Board of Directors is not of material importance to the business conducted by Clearway Operating LLC and its consolidated Subsidiaries, taken as a whole.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 Forma Cost Savings</w:t>
      </w:r>
      <w:r>
        <w:rPr>
          <w:rFonts w:ascii="Arial" w:cs="Arial" w:eastAsia="Arial" w:hAnsi="Arial"/>
          <w:sz w:val="17"/>
          <w:szCs w:val="17"/>
          <w:color w:val="auto"/>
        </w:rPr>
        <w:t>” means, without duplication, with respect to any period, reductions in costs and related adjustments that have been actually realized or are projected by Clearway Operating LLC’s Chief Financial Officer in good faith to result from reasonably identifiable and factually supportable actions or events, but only to the extent such reductions in costs and related adjustments are so projected by Clearway Operating LLC to be realized prior to the end of the consecutive four-quarter period commencing after the transaction giving rise to such calculation.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Debt</w:t>
      </w:r>
      <w:r>
        <w:rPr>
          <w:rFonts w:ascii="Arial" w:cs="Arial" w:eastAsia="Arial" w:hAnsi="Arial"/>
          <w:sz w:val="18"/>
          <w:szCs w:val="18"/>
          <w:color w:val="auto"/>
        </w:rPr>
        <w:t xml:space="preserve">” means Indebtedness of one or more Project Subsidiaries incurred for the purpose of holding, constructing or acquiring power generation facilities or related or ancillary assets or properties;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Clearway Operating LLC is not liable with respect to such Indebtedness except to the extent of a non-recourse pledge of equity interests in one or more Project Subsidiaries.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Project Subsidiary</w:t>
      </w:r>
      <w:r>
        <w:rPr>
          <w:rFonts w:ascii="Arial" w:cs="Arial" w:eastAsia="Arial" w:hAnsi="Arial"/>
          <w:sz w:val="17"/>
          <w:szCs w:val="17"/>
          <w:color w:val="auto"/>
        </w:rPr>
        <w:t xml:space="preserve">” means any Subsidiary of Clearway Operating LLC held for the purpose of holding, constructing or acquiring power generation facilities or related or ancillary assets or properties and any Subsidiary of Clearway Operating LLC whose assets consist primarily of equity interests in one or more other Project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Subsidiary will cease to be a Project Subsidiary if it Guarantees any Indebtedness of Clearway Operating LLC other than obligations of Clearway Operating LLC related to Project Debt of one or more Project Subsidiaries.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Refinancing Liens</w:t>
      </w:r>
      <w:r>
        <w:rPr>
          <w:rFonts w:ascii="Arial" w:cs="Arial" w:eastAsia="Arial" w:hAnsi="Arial"/>
          <w:sz w:val="16"/>
          <w:szCs w:val="16"/>
          <w:color w:val="auto"/>
        </w:rPr>
        <w:t xml:space="preserve">” means Liens granted in connection with amending, extending, modifying, renewing, replacing, refunding or refinancing in whole or in part any Indebtedness secured by Liens described in clauses (2) through (10) of the covenant described above under the caption “Liens;”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Refinancing Liens do not (a) extend to property or assets other than property or assets of the type that were subject to the original Lien or (b) secure</w:t>
      </w:r>
    </w:p>
    <w:p>
      <w:pPr>
        <w:sectPr>
          <w:pgSz w:w="11900" w:h="16838" w:orient="portrait"/>
          <w:cols w:equalWidth="0" w:num="1">
            <w:col w:w="11420"/>
          </w:cols>
          <w:pgMar w:left="240" w:top="125" w:right="239" w:bottom="0" w:gutter="0" w:footer="0" w:header="0"/>
        </w:sectPr>
      </w:pPr>
    </w:p>
    <w:bookmarkStart w:id="205" w:name="page206"/>
    <w:bookmarkEnd w:id="205"/>
    <w:p>
      <w:pPr>
        <w:jc w:val="both"/>
        <w:spacing w:after="0" w:line="277" w:lineRule="auto"/>
        <w:rPr>
          <w:sz w:val="20"/>
          <w:szCs w:val="20"/>
          <w:color w:val="auto"/>
        </w:rPr>
      </w:pPr>
      <w:r>
        <w:rPr>
          <w:rFonts w:ascii="Arial" w:cs="Arial" w:eastAsia="Arial" w:hAnsi="Arial"/>
          <w:sz w:val="18"/>
          <w:szCs w:val="18"/>
          <w:color w:val="auto"/>
        </w:rPr>
        <w:t>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Group or any successor entity.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date of the indenture.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Stated Maturity</w:t>
      </w:r>
      <w:r>
        <w:rPr>
          <w:rFonts w:ascii="Arial" w:cs="Arial" w:eastAsia="Arial" w:hAnsi="Arial"/>
          <w:sz w:val="17"/>
          <w:szCs w:val="17"/>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jc w:val="both"/>
        <w:ind w:left="660" w:hanging="4"/>
        <w:spacing w:after="0" w:line="302" w:lineRule="auto"/>
        <w:tabs>
          <w:tab w:leader="none" w:pos="942"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54" w:lineRule="exact"/>
        <w:rPr>
          <w:rFonts w:ascii="Arial" w:cs="Arial" w:eastAsia="Arial" w:hAnsi="Arial"/>
          <w:sz w:val="16"/>
          <w:szCs w:val="16"/>
          <w:color w:val="auto"/>
        </w:rPr>
      </w:pPr>
    </w:p>
    <w:p>
      <w:pPr>
        <w:ind w:left="660" w:hanging="4"/>
        <w:spacing w:after="0" w:line="308" w:lineRule="auto"/>
        <w:tabs>
          <w:tab w:leader="none" w:pos="91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Guarantee</w:t>
      </w:r>
      <w:r>
        <w:rPr>
          <w:rFonts w:ascii="Arial" w:cs="Arial" w:eastAsia="Arial" w:hAnsi="Arial"/>
          <w:sz w:val="18"/>
          <w:szCs w:val="18"/>
          <w:color w:val="auto"/>
        </w:rPr>
        <w:t>” means the Guarantee by each Subsidiary Guarantor of Clearway Operating LLC’s obligations under the indenture and on the notes, executed pursuant to the provisions of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w:t>
      </w:r>
    </w:p>
    <w:p>
      <w:pPr>
        <w:spacing w:after="0" w:line="225" w:lineRule="exact"/>
        <w:rPr>
          <w:sz w:val="20"/>
          <w:szCs w:val="20"/>
          <w:color w:val="auto"/>
        </w:rPr>
      </w:pPr>
    </w:p>
    <w:p>
      <w:pPr>
        <w:ind w:left="660" w:right="20" w:hanging="4"/>
        <w:spacing w:after="0" w:line="277" w:lineRule="auto"/>
        <w:tabs>
          <w:tab w:leader="none" w:pos="93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each of Clearway Operating LLC’s Wholly Owned Subsidiaries that Guarantees the notes on the date of the indenture, until such time as it is released pursuant to the provisions of the indenture; and</w:t>
      </w:r>
    </w:p>
    <w:p>
      <w:pPr>
        <w:spacing w:after="0" w:line="170" w:lineRule="exact"/>
        <w:rPr>
          <w:rFonts w:ascii="Arial" w:cs="Arial" w:eastAsia="Arial" w:hAnsi="Arial"/>
          <w:sz w:val="18"/>
          <w:szCs w:val="18"/>
          <w:color w:val="auto"/>
        </w:rPr>
      </w:pPr>
    </w:p>
    <w:p>
      <w:pPr>
        <w:ind w:left="660" w:hanging="4"/>
        <w:spacing w:after="0" w:line="277" w:lineRule="auto"/>
        <w:tabs>
          <w:tab w:leader="none" w:pos="91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the indenture, and their respective successors and assigns.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means, as of any date of determination, the total consolidated assets of Clearway Operating LLC and its Subsidiaries, determined on a consolidated basis in accordance with GAAP, as shown on the most recent publicly available balance sheet of Clearway Operating LLC as of such date.</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Secured Debt</w:t>
      </w:r>
      <w:r>
        <w:rPr>
          <w:rFonts w:ascii="Arial" w:cs="Arial" w:eastAsia="Arial" w:hAnsi="Arial"/>
          <w:sz w:val="18"/>
          <w:szCs w:val="18"/>
          <w:color w:val="auto"/>
        </w:rPr>
        <w:t xml:space="preserve">” means, as of any date of determination, the aggregate principal amount of Indebtedness of Clearway Operating LLC and the Guarantors outstanding on such date that is secured by a Lien on any property or assets of Clearway Operating LLC or any of the Guarantors (including Capital Stock of Subsidiaries of Clearway Operating LLC or Indebtedness of Subsidiaries of Clearway Operating LLC);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Total Secured Debt will include only the amount of payments that Clearway Operating LLC or any of the Guarantors would be required to make, on the date Total Secured Debt is being determined, in the event of any early termination or similar event on such date of determination and (ii) for the avoidance of doubt, Total Secured Debt will not include the undrawn amount of any outstanding letters of credit.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September 15, 2021;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the redemption date to September 15, 2021 is less than one year, the weekly average yield on actually traded United States Treasury securities adjusted to a constant maturity of one year will be used.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means, with respect to any specified Person, a direct or indirect Subsidiary of such Person, 100% of the outstanding Capital Stock or other ownership interests of which is at the time owned by such Person or by one or more Wholly Owned Subsidiaries of such Person.</w:t>
      </w:r>
    </w:p>
    <w:p>
      <w:pPr>
        <w:sectPr>
          <w:pgSz w:w="11900" w:h="16838" w:orient="portrait"/>
          <w:cols w:equalWidth="0" w:num="1">
            <w:col w:w="11420"/>
          </w:cols>
          <w:pgMar w:left="240" w:top="125"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2"/>
          <w:szCs w:val="22"/>
          <w:b w:val="1"/>
          <w:bCs w:val="1"/>
          <w:color w:val="auto"/>
        </w:rPr>
        <w:t>Exhibit 10.16</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spacing w:after="0" w:line="200" w:lineRule="exact"/>
        <w:rPr>
          <w:sz w:val="20"/>
          <w:szCs w:val="20"/>
          <w:color w:val="auto"/>
        </w:rPr>
      </w:pPr>
    </w:p>
    <w:p>
      <w:pPr>
        <w:spacing w:after="0" w:line="252"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INFORMATION IN THIS EXHIBIT IDENTIFIED BY THE MARK “[***]” IS CONFIDENTIAL AND HAS BEEN EXCLUDED PURSUANT TO ITEM 601(B)(10)(IV) OF REGULATION S-K BECAUSE IT (I) IS NOT MATERIAL AND (II)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NRG DGPV HOLDCO 3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September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THE SECURITIES (MEMBERSHIP INTERESTS) REPRESENTED BY THIS AGREEMENT HAVE NOT BEEN REGISTERED UNDER THE SECURITIES ACT OF 1933 OR REGISTERED OR QUALIFIED UNDER ANY SECURITIES OR BLUE SKY LAWS OF ANY STATE OR JURISDICTION. THEREFORE, THE SECURITIES MAY NOT BE SOLD, PLEDGED, HYPOTHECATED OR OTHERWISE TRANSFERRED UNTIL A REGISTRATION STATEMENT UNDER THE SECURITIES ACT OR THE APPLICABLE STATE SECURITIES OR BLUE SKY LAWS SHALL HAVE BECOME EFFECTIVE WITH REGARD TO THE PROPOSED TRANSFER, OR UNLESS REGISTRATION OR QUALIFICATION UNDER THE SECURITIES ACT OR BLUE SKY LAWS IS NOT REQUIRED IN CONNECTION WITH THE PROPOSED TRANSFER.</w:t>
      </w:r>
    </w:p>
    <w:p>
      <w:pPr>
        <w:sectPr>
          <w:pgSz w:w="11900" w:h="16838" w:orient="portrait"/>
          <w:cols w:equalWidth="0" w:num="1">
            <w:col w:w="11420"/>
          </w:cols>
          <w:pgMar w:left="240" w:top="125" w:right="239" w:bottom="1440" w:gutter="0" w:footer="0" w:header="0"/>
        </w:sectPr>
      </w:pPr>
    </w:p>
    <w:bookmarkStart w:id="207" w:name="page208"/>
    <w:bookmarkEnd w:id="207"/>
    <w:p>
      <w:pPr>
        <w:jc w:val="center"/>
        <w:ind w:right="40"/>
        <w:spacing w:after="0"/>
        <w:rPr>
          <w:sz w:val="20"/>
          <w:szCs w:val="20"/>
          <w:color w:val="auto"/>
        </w:rPr>
      </w:pPr>
      <w:r>
        <w:rPr>
          <w:rFonts w:ascii="Arial" w:cs="Arial" w:eastAsia="Arial" w:hAnsi="Arial"/>
          <w:sz w:val="22"/>
          <w:szCs w:val="22"/>
          <w:b w:val="1"/>
          <w:bCs w:val="1"/>
          <w:color w:val="auto"/>
        </w:rPr>
        <w:t>NRG DGPV HOLDCO 3 LLC</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Limited Liability Company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26" w:lineRule="exact"/>
        <w:rPr>
          <w:sz w:val="20"/>
          <w:szCs w:val="20"/>
          <w:color w:val="auto"/>
        </w:rPr>
      </w:pPr>
    </w:p>
    <w:p>
      <w:pPr>
        <w:spacing w:after="0"/>
        <w:rPr>
          <w:rFonts w:ascii="Arial" w:cs="Arial" w:eastAsia="Arial" w:hAnsi="Arial"/>
          <w:sz w:val="22"/>
          <w:szCs w:val="22"/>
          <w:color w:val="0000FF"/>
        </w:rPr>
      </w:pPr>
      <w:hyperlink w:anchor="page217">
        <w:r>
          <w:rPr>
            <w:rFonts w:ascii="Arial" w:cs="Arial" w:eastAsia="Arial" w:hAnsi="Arial"/>
            <w:sz w:val="22"/>
            <w:szCs w:val="22"/>
            <w:u w:val="single" w:color="auto"/>
            <w:color w:val="0000FF"/>
          </w:rPr>
          <w:t>ARTICLE I DEFINITIONS</w:t>
        </w:r>
        <w:r>
          <w:rPr>
            <w:rFonts w:ascii="Arial" w:cs="Arial" w:eastAsia="Arial" w:hAnsi="Arial"/>
            <w:sz w:val="22"/>
            <w:szCs w:val="22"/>
            <w:color w:val="0000FF"/>
          </w:rPr>
          <w:t xml:space="preserve"> </w:t>
        </w:r>
      </w:hyperlink>
      <w:r>
        <w:rPr>
          <w:rFonts w:ascii="Arial" w:cs="Arial" w:eastAsia="Arial" w:hAnsi="Arial"/>
          <w:sz w:val="22"/>
          <w:szCs w:val="22"/>
          <w:color w:val="000000"/>
        </w:rPr>
        <w:t>2</w:t>
      </w:r>
    </w:p>
    <w:p>
      <w:pPr>
        <w:spacing w:after="0" w:line="112" w:lineRule="exact"/>
        <w:rPr>
          <w:sz w:val="20"/>
          <w:szCs w:val="20"/>
          <w:color w:val="auto"/>
        </w:rPr>
      </w:pPr>
    </w:p>
    <w:p>
      <w:pPr>
        <w:ind w:left="340"/>
        <w:spacing w:after="0"/>
        <w:tabs>
          <w:tab w:leader="none" w:pos="1520" w:val="left"/>
        </w:tabs>
        <w:rPr>
          <w:rFonts w:ascii="Arial" w:cs="Arial" w:eastAsia="Arial" w:hAnsi="Arial"/>
          <w:sz w:val="22"/>
          <w:szCs w:val="22"/>
          <w:color w:val="0000FF"/>
        </w:rPr>
      </w:pPr>
      <w:hyperlink w:anchor="page217">
        <w:r>
          <w:rPr>
            <w:rFonts w:ascii="Arial" w:cs="Arial" w:eastAsia="Arial" w:hAnsi="Arial"/>
            <w:sz w:val="22"/>
            <w:szCs w:val="22"/>
            <w:u w:val="single" w:color="auto"/>
            <w:color w:val="0000FF"/>
          </w:rPr>
          <w:t>Section 1.1</w:t>
        </w:r>
      </w:hyperlink>
      <w:r>
        <w:rPr>
          <w:rFonts w:ascii="Arial" w:cs="Arial" w:eastAsia="Arial" w:hAnsi="Arial"/>
          <w:sz w:val="22"/>
          <w:szCs w:val="22"/>
          <w:color w:val="0000FF"/>
        </w:rPr>
        <w:tab/>
      </w:r>
      <w:r>
        <w:rPr>
          <w:rFonts w:ascii="Arial" w:cs="Arial" w:eastAsia="Arial" w:hAnsi="Arial"/>
          <w:sz w:val="19"/>
          <w:szCs w:val="19"/>
          <w:u w:val="single" w:color="auto"/>
          <w:color w:val="0000FF"/>
        </w:rPr>
        <w:t xml:space="preserve">Certain Definitions. </w:t>
      </w:r>
      <w:r>
        <w:rPr>
          <w:rFonts w:ascii="Arial" w:cs="Arial" w:eastAsia="Arial" w:hAnsi="Arial"/>
          <w:sz w:val="19"/>
          <w:szCs w:val="19"/>
          <w:color w:val="000000"/>
        </w:rPr>
        <w:t>2</w:t>
      </w:r>
    </w:p>
    <w:p>
      <w:pPr>
        <w:spacing w:after="0" w:line="112" w:lineRule="exact"/>
        <w:rPr>
          <w:sz w:val="20"/>
          <w:szCs w:val="20"/>
          <w:color w:val="auto"/>
        </w:rPr>
      </w:pPr>
    </w:p>
    <w:p>
      <w:pPr>
        <w:ind w:left="340"/>
        <w:spacing w:after="0"/>
        <w:tabs>
          <w:tab w:leader="none" w:pos="1520" w:val="left"/>
        </w:tabs>
        <w:rPr>
          <w:rFonts w:ascii="Arial" w:cs="Arial" w:eastAsia="Arial" w:hAnsi="Arial"/>
          <w:sz w:val="22"/>
          <w:szCs w:val="22"/>
          <w:color w:val="0000FF"/>
        </w:rPr>
      </w:pPr>
      <w:hyperlink w:anchor="page238">
        <w:r>
          <w:rPr>
            <w:rFonts w:ascii="Arial" w:cs="Arial" w:eastAsia="Arial" w:hAnsi="Arial"/>
            <w:sz w:val="22"/>
            <w:szCs w:val="22"/>
            <w:u w:val="single" w:color="auto"/>
            <w:color w:val="0000FF"/>
          </w:rPr>
          <w:t>Section 1.2</w:t>
        </w:r>
      </w:hyperlink>
      <w:r>
        <w:rPr>
          <w:rFonts w:ascii="Arial" w:cs="Arial" w:eastAsia="Arial" w:hAnsi="Arial"/>
          <w:sz w:val="22"/>
          <w:szCs w:val="22"/>
          <w:color w:val="0000FF"/>
        </w:rPr>
        <w:tab/>
      </w:r>
      <w:r>
        <w:rPr>
          <w:rFonts w:ascii="Arial" w:cs="Arial" w:eastAsia="Arial" w:hAnsi="Arial"/>
          <w:sz w:val="19"/>
          <w:szCs w:val="19"/>
          <w:u w:val="single" w:color="auto"/>
          <w:color w:val="0000FF"/>
        </w:rPr>
        <w:t xml:space="preserve">Other Definitional Provisions </w:t>
      </w:r>
      <w:r>
        <w:rPr>
          <w:rFonts w:ascii="Arial" w:cs="Arial" w:eastAsia="Arial" w:hAnsi="Arial"/>
          <w:sz w:val="19"/>
          <w:szCs w:val="19"/>
          <w:color w:val="000000"/>
        </w:rPr>
        <w:t>22</w:t>
      </w:r>
    </w:p>
    <w:p>
      <w:pPr>
        <w:spacing w:after="0" w:line="112" w:lineRule="exact"/>
        <w:rPr>
          <w:sz w:val="20"/>
          <w:szCs w:val="20"/>
          <w:color w:val="auto"/>
        </w:rPr>
      </w:pPr>
    </w:p>
    <w:p>
      <w:pPr>
        <w:spacing w:after="0"/>
        <w:rPr>
          <w:rFonts w:ascii="Arial" w:cs="Arial" w:eastAsia="Arial" w:hAnsi="Arial"/>
          <w:sz w:val="22"/>
          <w:szCs w:val="22"/>
          <w:color w:val="0000FF"/>
        </w:rPr>
      </w:pPr>
      <w:hyperlink w:anchor="page238">
        <w:r>
          <w:rPr>
            <w:rFonts w:ascii="Arial" w:cs="Arial" w:eastAsia="Arial" w:hAnsi="Arial"/>
            <w:sz w:val="22"/>
            <w:szCs w:val="22"/>
            <w:u w:val="single" w:color="auto"/>
            <w:color w:val="0000FF"/>
          </w:rPr>
          <w:t>ARTICLE II THE COMPANY</w:t>
        </w:r>
        <w:r>
          <w:rPr>
            <w:rFonts w:ascii="Arial" w:cs="Arial" w:eastAsia="Arial" w:hAnsi="Arial"/>
            <w:sz w:val="22"/>
            <w:szCs w:val="22"/>
            <w:color w:val="0000FF"/>
          </w:rPr>
          <w:t xml:space="preserve"> </w:t>
        </w:r>
      </w:hyperlink>
      <w:r>
        <w:rPr>
          <w:rFonts w:ascii="Arial" w:cs="Arial" w:eastAsia="Arial" w:hAnsi="Arial"/>
          <w:sz w:val="22"/>
          <w:szCs w:val="22"/>
          <w:color w:val="000000"/>
        </w:rPr>
        <w:t>23</w:t>
      </w:r>
    </w:p>
    <w:p>
      <w:pPr>
        <w:spacing w:after="0" w:line="112" w:lineRule="exact"/>
        <w:rPr>
          <w:sz w:val="20"/>
          <w:szCs w:val="20"/>
          <w:color w:val="auto"/>
        </w:rPr>
      </w:pPr>
    </w:p>
    <w:p>
      <w:pPr>
        <w:ind w:left="340"/>
        <w:spacing w:after="0"/>
        <w:tabs>
          <w:tab w:leader="none" w:pos="1520" w:val="left"/>
        </w:tabs>
        <w:rPr>
          <w:rFonts w:ascii="Arial" w:cs="Arial" w:eastAsia="Arial" w:hAnsi="Arial"/>
          <w:sz w:val="22"/>
          <w:szCs w:val="22"/>
          <w:color w:val="0000FF"/>
        </w:rPr>
      </w:pPr>
      <w:hyperlink w:anchor="page238">
        <w:r>
          <w:rPr>
            <w:rFonts w:ascii="Arial" w:cs="Arial" w:eastAsia="Arial" w:hAnsi="Arial"/>
            <w:sz w:val="22"/>
            <w:szCs w:val="22"/>
            <w:u w:val="single" w:color="auto"/>
            <w:color w:val="0000FF"/>
          </w:rPr>
          <w:t>Section 2.1</w:t>
        </w:r>
      </w:hyperlink>
      <w:r>
        <w:rPr>
          <w:rFonts w:ascii="Arial" w:cs="Arial" w:eastAsia="Arial" w:hAnsi="Arial"/>
          <w:sz w:val="22"/>
          <w:szCs w:val="22"/>
          <w:color w:val="0000FF"/>
        </w:rPr>
        <w:tab/>
      </w:r>
      <w:r>
        <w:rPr>
          <w:rFonts w:ascii="Arial" w:cs="Arial" w:eastAsia="Arial" w:hAnsi="Arial"/>
          <w:sz w:val="19"/>
          <w:szCs w:val="19"/>
          <w:u w:val="single" w:color="auto"/>
          <w:color w:val="0000FF"/>
        </w:rPr>
        <w:t xml:space="preserve">Continuation of Limited Liability Company. </w:t>
      </w:r>
      <w:r>
        <w:rPr>
          <w:rFonts w:ascii="Arial" w:cs="Arial" w:eastAsia="Arial" w:hAnsi="Arial"/>
          <w:sz w:val="19"/>
          <w:szCs w:val="19"/>
          <w:color w:val="000000"/>
        </w:rPr>
        <w:t>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960" w:type="dxa"/>
            <w:vAlign w:val="bottom"/>
          </w:tcPr>
          <w:p>
            <w:pPr>
              <w:spacing w:after="0"/>
              <w:rPr>
                <w:rFonts w:ascii="Arial" w:cs="Arial" w:eastAsia="Arial" w:hAnsi="Arial"/>
                <w:sz w:val="22"/>
                <w:szCs w:val="22"/>
                <w:color w:val="0000FF"/>
                <w:w w:val="85"/>
              </w:rPr>
            </w:pPr>
            <w:hyperlink w:anchor="page238">
              <w:r>
                <w:rPr>
                  <w:rFonts w:ascii="Arial" w:cs="Arial" w:eastAsia="Arial" w:hAnsi="Arial"/>
                  <w:sz w:val="22"/>
                  <w:szCs w:val="22"/>
                  <w:color w:val="0000FF"/>
                  <w:w w:val="85"/>
                </w:rPr>
                <w:t>Section 2.2</w:t>
              </w:r>
            </w:hyperlink>
          </w:p>
        </w:tc>
        <w:tc>
          <w:tcPr>
            <w:tcW w:w="24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Arial" w:cs="Arial" w:eastAsia="Arial" w:hAnsi="Arial"/>
                <w:sz w:val="22"/>
                <w:szCs w:val="22"/>
                <w:color w:val="0000FF"/>
              </w:rPr>
              <w:t xml:space="preserve">Name. </w:t>
            </w:r>
            <w:r>
              <w:rPr>
                <w:rFonts w:ascii="Arial" w:cs="Arial" w:eastAsia="Arial" w:hAnsi="Arial"/>
                <w:sz w:val="22"/>
                <w:szCs w:val="22"/>
                <w:color w:val="000000"/>
              </w:rPr>
              <w:t>23</w:t>
            </w: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8400" w:type="dxa"/>
            <w:vAlign w:val="bottom"/>
            <w:gridSpan w:val="11"/>
          </w:tcPr>
          <w:p>
            <w:pPr>
              <w:spacing w:after="0"/>
              <w:rPr>
                <w:rFonts w:ascii="Arial" w:cs="Arial" w:eastAsia="Arial" w:hAnsi="Arial"/>
                <w:sz w:val="22"/>
                <w:szCs w:val="22"/>
                <w:color w:val="0000FF"/>
              </w:rPr>
            </w:pPr>
            <w:hyperlink w:anchor="page238">
              <w:r>
                <w:rPr>
                  <w:rFonts w:ascii="Arial" w:cs="Arial" w:eastAsia="Arial" w:hAnsi="Arial"/>
                  <w:sz w:val="22"/>
                  <w:szCs w:val="22"/>
                  <w:color w:val="0000FF"/>
                </w:rPr>
                <w:t xml:space="preserve">Section 2.3  </w:t>
              </w:r>
            </w:hyperlink>
            <w:r>
              <w:rPr>
                <w:rFonts w:ascii="Arial" w:cs="Arial" w:eastAsia="Arial" w:hAnsi="Arial"/>
                <w:sz w:val="22"/>
                <w:szCs w:val="22"/>
                <w:color w:val="0000FF"/>
              </w:rPr>
              <w:t xml:space="preserve">Principal Office. </w:t>
            </w:r>
            <w:r>
              <w:rPr>
                <w:rFonts w:ascii="Arial" w:cs="Arial" w:eastAsia="Arial" w:hAnsi="Arial"/>
                <w:sz w:val="22"/>
                <w:szCs w:val="22"/>
                <w:color w:val="000000"/>
              </w:rPr>
              <w:t>24</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8400" w:type="dxa"/>
            <w:vAlign w:val="bottom"/>
            <w:gridSpan w:val="11"/>
          </w:tcPr>
          <w:p>
            <w:pPr>
              <w:spacing w:after="0"/>
              <w:rPr>
                <w:rFonts w:ascii="Arial" w:cs="Arial" w:eastAsia="Arial" w:hAnsi="Arial"/>
                <w:sz w:val="22"/>
                <w:szCs w:val="22"/>
                <w:color w:val="0000FF"/>
              </w:rPr>
            </w:pPr>
            <w:hyperlink w:anchor="page238">
              <w:r>
                <w:rPr>
                  <w:rFonts w:ascii="Arial" w:cs="Arial" w:eastAsia="Arial" w:hAnsi="Arial"/>
                  <w:sz w:val="22"/>
                  <w:szCs w:val="22"/>
                  <w:color w:val="0000FF"/>
                </w:rPr>
                <w:t xml:space="preserve">Section 2.4  </w:t>
              </w:r>
            </w:hyperlink>
            <w:r>
              <w:rPr>
                <w:rFonts w:ascii="Arial" w:cs="Arial" w:eastAsia="Arial" w:hAnsi="Arial"/>
                <w:sz w:val="22"/>
                <w:szCs w:val="22"/>
                <w:color w:val="0000FF"/>
              </w:rPr>
              <w:t xml:space="preserve">Registered Office; Registered Agent. </w:t>
            </w:r>
            <w:r>
              <w:rPr>
                <w:rFonts w:ascii="Arial" w:cs="Arial" w:eastAsia="Arial" w:hAnsi="Arial"/>
                <w:sz w:val="22"/>
                <w:szCs w:val="22"/>
                <w:color w:val="000000"/>
              </w:rPr>
              <w:t>24</w:t>
            </w:r>
          </w:p>
        </w:tc>
      </w:tr>
      <w:tr>
        <w:trPr>
          <w:trHeight w:val="345"/>
        </w:trPr>
        <w:tc>
          <w:tcPr>
            <w:tcW w:w="340" w:type="dxa"/>
            <w:vAlign w:val="bottom"/>
          </w:tcPr>
          <w:p>
            <w:pPr>
              <w:spacing w:after="0"/>
              <w:rPr>
                <w:sz w:val="24"/>
                <w:szCs w:val="24"/>
                <w:color w:val="auto"/>
              </w:rPr>
            </w:pPr>
          </w:p>
        </w:tc>
        <w:tc>
          <w:tcPr>
            <w:tcW w:w="960" w:type="dxa"/>
            <w:vAlign w:val="bottom"/>
            <w:tcBorders>
              <w:top w:val="single" w:sz="8" w:color="0000FF"/>
            </w:tcBorders>
          </w:tcPr>
          <w:p>
            <w:pPr>
              <w:spacing w:after="0"/>
              <w:rPr>
                <w:rFonts w:ascii="Arial" w:cs="Arial" w:eastAsia="Arial" w:hAnsi="Arial"/>
                <w:sz w:val="22"/>
                <w:szCs w:val="22"/>
                <w:color w:val="0000FF"/>
                <w:w w:val="85"/>
              </w:rPr>
            </w:pPr>
            <w:hyperlink w:anchor="page239">
              <w:r>
                <w:rPr>
                  <w:rFonts w:ascii="Arial" w:cs="Arial" w:eastAsia="Arial" w:hAnsi="Arial"/>
                  <w:sz w:val="22"/>
                  <w:szCs w:val="22"/>
                  <w:color w:val="0000FF"/>
                  <w:w w:val="85"/>
                </w:rPr>
                <w:t>Section 2.5</w:t>
              </w:r>
            </w:hyperlink>
          </w:p>
        </w:tc>
        <w:tc>
          <w:tcPr>
            <w:tcW w:w="240" w:type="dxa"/>
            <w:vAlign w:val="bottom"/>
          </w:tcPr>
          <w:p>
            <w:pPr>
              <w:spacing w:after="0"/>
              <w:rPr>
                <w:sz w:val="24"/>
                <w:szCs w:val="24"/>
                <w:color w:val="auto"/>
              </w:rPr>
            </w:pPr>
          </w:p>
        </w:tc>
        <w:tc>
          <w:tcPr>
            <w:tcW w:w="1420" w:type="dxa"/>
            <w:vAlign w:val="bottom"/>
            <w:tcBorders>
              <w:top w:val="single" w:sz="8" w:color="0000FF"/>
            </w:tcBorders>
            <w:gridSpan w:val="4"/>
          </w:tcPr>
          <w:p>
            <w:pPr>
              <w:spacing w:after="0"/>
              <w:rPr>
                <w:sz w:val="20"/>
                <w:szCs w:val="20"/>
                <w:color w:val="auto"/>
              </w:rPr>
            </w:pPr>
            <w:r>
              <w:rPr>
                <w:rFonts w:ascii="Arial" w:cs="Arial" w:eastAsia="Arial" w:hAnsi="Arial"/>
                <w:sz w:val="22"/>
                <w:szCs w:val="22"/>
                <w:color w:val="0000FF"/>
              </w:rPr>
              <w:t xml:space="preserve">Purposes. </w:t>
            </w:r>
            <w:r>
              <w:rPr>
                <w:rFonts w:ascii="Arial" w:cs="Arial" w:eastAsia="Arial" w:hAnsi="Arial"/>
                <w:sz w:val="22"/>
                <w:szCs w:val="22"/>
                <w:color w:val="000000"/>
              </w:rPr>
              <w:t>24</w:t>
            </w:r>
          </w:p>
        </w:tc>
        <w:tc>
          <w:tcPr>
            <w:tcW w:w="9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960" w:type="dxa"/>
            <w:vAlign w:val="bottom"/>
          </w:tcPr>
          <w:p>
            <w:pPr>
              <w:spacing w:after="0"/>
              <w:rPr>
                <w:rFonts w:ascii="Arial" w:cs="Arial" w:eastAsia="Arial" w:hAnsi="Arial"/>
                <w:sz w:val="22"/>
                <w:szCs w:val="22"/>
                <w:color w:val="0000FF"/>
                <w:w w:val="85"/>
              </w:rPr>
            </w:pPr>
            <w:hyperlink w:anchor="page239">
              <w:r>
                <w:rPr>
                  <w:rFonts w:ascii="Arial" w:cs="Arial" w:eastAsia="Arial" w:hAnsi="Arial"/>
                  <w:sz w:val="22"/>
                  <w:szCs w:val="22"/>
                  <w:color w:val="0000FF"/>
                  <w:w w:val="85"/>
                </w:rPr>
                <w:t>Section 2.6</w:t>
              </w:r>
            </w:hyperlink>
          </w:p>
        </w:tc>
        <w:tc>
          <w:tcPr>
            <w:tcW w:w="24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22"/>
                <w:szCs w:val="22"/>
                <w:color w:val="0000FF"/>
              </w:rPr>
              <w:t xml:space="preserve">Term.  </w:t>
            </w:r>
            <w:r>
              <w:rPr>
                <w:rFonts w:ascii="Arial" w:cs="Arial" w:eastAsia="Arial" w:hAnsi="Arial"/>
                <w:sz w:val="22"/>
                <w:szCs w:val="22"/>
                <w:color w:val="000000"/>
              </w:rPr>
              <w:t>24</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8400" w:type="dxa"/>
            <w:vAlign w:val="bottom"/>
            <w:gridSpan w:val="11"/>
          </w:tcPr>
          <w:p>
            <w:pPr>
              <w:spacing w:after="0"/>
              <w:rPr>
                <w:rFonts w:ascii="Arial" w:cs="Arial" w:eastAsia="Arial" w:hAnsi="Arial"/>
                <w:sz w:val="22"/>
                <w:szCs w:val="22"/>
                <w:color w:val="0000FF"/>
              </w:rPr>
            </w:pPr>
            <w:hyperlink w:anchor="page239">
              <w:r>
                <w:rPr>
                  <w:rFonts w:ascii="Arial" w:cs="Arial" w:eastAsia="Arial" w:hAnsi="Arial"/>
                  <w:sz w:val="22"/>
                  <w:szCs w:val="22"/>
                  <w:color w:val="0000FF"/>
                </w:rPr>
                <w:t xml:space="preserve">Section 2.7  </w:t>
              </w:r>
            </w:hyperlink>
            <w:r>
              <w:rPr>
                <w:rFonts w:ascii="Arial" w:cs="Arial" w:eastAsia="Arial" w:hAnsi="Arial"/>
                <w:sz w:val="22"/>
                <w:szCs w:val="22"/>
                <w:color w:val="0000FF"/>
              </w:rPr>
              <w:t xml:space="preserve">Title to Property.  </w:t>
            </w:r>
            <w:r>
              <w:rPr>
                <w:rFonts w:ascii="Arial" w:cs="Arial" w:eastAsia="Arial" w:hAnsi="Arial"/>
                <w:sz w:val="22"/>
                <w:szCs w:val="22"/>
                <w:color w:val="000000"/>
              </w:rPr>
              <w:t>24</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8400" w:type="dxa"/>
            <w:vAlign w:val="bottom"/>
            <w:gridSpan w:val="11"/>
          </w:tcPr>
          <w:p>
            <w:pPr>
              <w:spacing w:after="0"/>
              <w:rPr>
                <w:rFonts w:ascii="Arial" w:cs="Arial" w:eastAsia="Arial" w:hAnsi="Arial"/>
                <w:sz w:val="22"/>
                <w:szCs w:val="22"/>
                <w:color w:val="0000FF"/>
                <w:w w:val="94"/>
              </w:rPr>
            </w:pPr>
            <w:hyperlink w:anchor="page239">
              <w:r>
                <w:rPr>
                  <w:rFonts w:ascii="Arial" w:cs="Arial" w:eastAsia="Arial" w:hAnsi="Arial"/>
                  <w:sz w:val="22"/>
                  <w:szCs w:val="22"/>
                  <w:color w:val="0000FF"/>
                  <w:w w:val="94"/>
                </w:rPr>
                <w:t xml:space="preserve">Section 2.8  </w:t>
              </w:r>
            </w:hyperlink>
            <w:r>
              <w:rPr>
                <w:rFonts w:ascii="Arial" w:cs="Arial" w:eastAsia="Arial" w:hAnsi="Arial"/>
                <w:sz w:val="22"/>
                <w:szCs w:val="22"/>
                <w:color w:val="0000FF"/>
                <w:w w:val="94"/>
              </w:rPr>
              <w:t xml:space="preserve">Units; Certificates of Membership Interest; Applicability of Article 8 of UCC.  </w:t>
            </w:r>
            <w:r>
              <w:rPr>
                <w:rFonts w:ascii="Arial" w:cs="Arial" w:eastAsia="Arial" w:hAnsi="Arial"/>
                <w:sz w:val="22"/>
                <w:szCs w:val="22"/>
                <w:color w:val="000000"/>
                <w:w w:val="94"/>
              </w:rPr>
              <w:t>25</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8400" w:type="dxa"/>
            <w:vAlign w:val="bottom"/>
            <w:gridSpan w:val="11"/>
          </w:tcPr>
          <w:p>
            <w:pPr>
              <w:spacing w:after="0"/>
              <w:rPr>
                <w:rFonts w:ascii="Arial" w:cs="Arial" w:eastAsia="Arial" w:hAnsi="Arial"/>
                <w:sz w:val="22"/>
                <w:szCs w:val="22"/>
                <w:color w:val="0000FF"/>
              </w:rPr>
            </w:pPr>
            <w:hyperlink w:anchor="page239">
              <w:r>
                <w:rPr>
                  <w:rFonts w:ascii="Arial" w:cs="Arial" w:eastAsia="Arial" w:hAnsi="Arial"/>
                  <w:sz w:val="22"/>
                  <w:szCs w:val="22"/>
                  <w:color w:val="0000FF"/>
                </w:rPr>
                <w:t xml:space="preserve">Section 2.9  </w:t>
              </w:r>
            </w:hyperlink>
            <w:r>
              <w:rPr>
                <w:rFonts w:ascii="Arial" w:cs="Arial" w:eastAsia="Arial" w:hAnsi="Arial"/>
                <w:sz w:val="22"/>
                <w:szCs w:val="22"/>
                <w:color w:val="0000FF"/>
              </w:rPr>
              <w:t xml:space="preserve">No Partnership.  </w:t>
            </w:r>
            <w:r>
              <w:rPr>
                <w:rFonts w:ascii="Arial" w:cs="Arial" w:eastAsia="Arial" w:hAnsi="Arial"/>
                <w:sz w:val="22"/>
                <w:szCs w:val="22"/>
                <w:color w:val="000000"/>
              </w:rPr>
              <w:t>25</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r>
      <w:tr>
        <w:trPr>
          <w:trHeight w:val="345"/>
        </w:trPr>
        <w:tc>
          <w:tcPr>
            <w:tcW w:w="8740" w:type="dxa"/>
            <w:vAlign w:val="bottom"/>
            <w:gridSpan w:val="12"/>
          </w:tcPr>
          <w:p>
            <w:pPr>
              <w:spacing w:after="0"/>
              <w:rPr>
                <w:rFonts w:ascii="Arial" w:cs="Arial" w:eastAsia="Arial" w:hAnsi="Arial"/>
                <w:sz w:val="22"/>
                <w:szCs w:val="22"/>
                <w:color w:val="0000FF"/>
              </w:rPr>
            </w:pPr>
            <w:hyperlink w:anchor="page239">
              <w:r>
                <w:rPr>
                  <w:rFonts w:ascii="Arial" w:cs="Arial" w:eastAsia="Arial" w:hAnsi="Arial"/>
                  <w:sz w:val="22"/>
                  <w:szCs w:val="22"/>
                  <w:color w:val="0000FF"/>
                </w:rPr>
                <w:t>ARTICLE III CAPITAL CONTRIBUTIONS</w:t>
              </w:r>
            </w:hyperlink>
            <w:r>
              <w:rPr>
                <w:rFonts w:ascii="Arial" w:cs="Arial" w:eastAsia="Arial" w:hAnsi="Arial"/>
                <w:sz w:val="22"/>
                <w:szCs w:val="22"/>
                <w:color w:val="000000"/>
              </w:rPr>
              <w:t>25</w:t>
            </w:r>
          </w:p>
        </w:tc>
      </w:tr>
      <w:tr>
        <w:trPr>
          <w:trHeight w:val="345"/>
        </w:trPr>
        <w:tc>
          <w:tcPr>
            <w:tcW w:w="34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rFonts w:ascii="Arial" w:cs="Arial" w:eastAsia="Arial" w:hAnsi="Arial"/>
                <w:sz w:val="22"/>
                <w:szCs w:val="22"/>
                <w:color w:val="0000FF"/>
                <w:w w:val="85"/>
              </w:rPr>
            </w:pPr>
            <w:hyperlink w:anchor="page239">
              <w:r>
                <w:rPr>
                  <w:rFonts w:ascii="Arial" w:cs="Arial" w:eastAsia="Arial" w:hAnsi="Arial"/>
                  <w:sz w:val="22"/>
                  <w:szCs w:val="22"/>
                  <w:color w:val="0000FF"/>
                  <w:w w:val="85"/>
                </w:rPr>
                <w:t>Section 3.1</w:t>
              </w:r>
            </w:hyperlink>
          </w:p>
        </w:tc>
        <w:tc>
          <w:tcPr>
            <w:tcW w:w="240" w:type="dxa"/>
            <w:vAlign w:val="bottom"/>
            <w:tcBorders>
              <w:top w:val="single" w:sz="8" w:color="0000FF"/>
            </w:tcBorders>
          </w:tcPr>
          <w:p>
            <w:pPr>
              <w:spacing w:after="0"/>
              <w:rPr>
                <w:sz w:val="24"/>
                <w:szCs w:val="24"/>
                <w:color w:val="auto"/>
              </w:rPr>
            </w:pPr>
          </w:p>
        </w:tc>
        <w:tc>
          <w:tcPr>
            <w:tcW w:w="1420" w:type="dxa"/>
            <w:vAlign w:val="bottom"/>
            <w:tcBorders>
              <w:top w:val="single" w:sz="8" w:color="0000FF"/>
            </w:tcBorders>
            <w:gridSpan w:val="4"/>
          </w:tcPr>
          <w:p>
            <w:pPr>
              <w:spacing w:after="0"/>
              <w:rPr>
                <w:sz w:val="20"/>
                <w:szCs w:val="20"/>
                <w:color w:val="auto"/>
              </w:rPr>
            </w:pPr>
            <w:r>
              <w:rPr>
                <w:rFonts w:ascii="Arial" w:cs="Arial" w:eastAsia="Arial" w:hAnsi="Arial"/>
                <w:sz w:val="22"/>
                <w:szCs w:val="22"/>
                <w:color w:val="0000FF"/>
                <w:w w:val="85"/>
              </w:rPr>
              <w:t>Class A Interest.</w:t>
            </w:r>
          </w:p>
        </w:tc>
        <w:tc>
          <w:tcPr>
            <w:tcW w:w="960" w:type="dxa"/>
            <w:vAlign w:val="bottom"/>
            <w:tcBorders>
              <w:top w:val="single" w:sz="8" w:color="0000FF"/>
            </w:tcBorders>
          </w:tcPr>
          <w:p>
            <w:pPr>
              <w:jc w:val="right"/>
              <w:ind w:right="412"/>
              <w:spacing w:after="0"/>
              <w:rPr>
                <w:sz w:val="20"/>
                <w:szCs w:val="20"/>
                <w:color w:val="auto"/>
              </w:rPr>
            </w:pPr>
            <w:r>
              <w:rPr>
                <w:rFonts w:ascii="Arial" w:cs="Arial" w:eastAsia="Arial" w:hAnsi="Arial"/>
                <w:sz w:val="22"/>
                <w:szCs w:val="22"/>
                <w:color w:val="auto"/>
              </w:rPr>
              <w:t>25</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8400" w:type="dxa"/>
            <w:vAlign w:val="bottom"/>
            <w:gridSpan w:val="11"/>
          </w:tcPr>
          <w:p>
            <w:pPr>
              <w:spacing w:after="0"/>
              <w:rPr>
                <w:rFonts w:ascii="Arial" w:cs="Arial" w:eastAsia="Arial" w:hAnsi="Arial"/>
                <w:sz w:val="22"/>
                <w:szCs w:val="22"/>
                <w:color w:val="0000FF"/>
              </w:rPr>
            </w:pPr>
            <w:hyperlink w:anchor="page239">
              <w:r>
                <w:rPr>
                  <w:rFonts w:ascii="Arial" w:cs="Arial" w:eastAsia="Arial" w:hAnsi="Arial"/>
                  <w:sz w:val="22"/>
                  <w:szCs w:val="22"/>
                  <w:color w:val="0000FF"/>
                </w:rPr>
                <w:t xml:space="preserve">Section 3.2  </w:t>
              </w:r>
            </w:hyperlink>
            <w:r>
              <w:rPr>
                <w:rFonts w:ascii="Arial" w:cs="Arial" w:eastAsia="Arial" w:hAnsi="Arial"/>
                <w:sz w:val="22"/>
                <w:szCs w:val="22"/>
                <w:color w:val="0000FF"/>
              </w:rPr>
              <w:t xml:space="preserve">Class B Interest.  </w:t>
            </w:r>
            <w:r>
              <w:rPr>
                <w:rFonts w:ascii="Arial" w:cs="Arial" w:eastAsia="Arial" w:hAnsi="Arial"/>
                <w:sz w:val="22"/>
                <w:szCs w:val="22"/>
                <w:color w:val="000000"/>
              </w:rPr>
              <w:t>25</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8400" w:type="dxa"/>
            <w:vAlign w:val="bottom"/>
            <w:gridSpan w:val="11"/>
          </w:tcPr>
          <w:p>
            <w:pPr>
              <w:spacing w:after="0"/>
              <w:rPr>
                <w:rFonts w:ascii="Arial" w:cs="Arial" w:eastAsia="Arial" w:hAnsi="Arial"/>
                <w:sz w:val="22"/>
                <w:szCs w:val="22"/>
                <w:color w:val="0000FF"/>
              </w:rPr>
            </w:pPr>
            <w:hyperlink w:anchor="page240">
              <w:r>
                <w:rPr>
                  <w:rFonts w:ascii="Arial" w:cs="Arial" w:eastAsia="Arial" w:hAnsi="Arial"/>
                  <w:sz w:val="22"/>
                  <w:szCs w:val="22"/>
                  <w:color w:val="0000FF"/>
                </w:rPr>
                <w:t xml:space="preserve">Section 3.3  </w:t>
              </w:r>
            </w:hyperlink>
            <w:r>
              <w:rPr>
                <w:rFonts w:ascii="Arial" w:cs="Arial" w:eastAsia="Arial" w:hAnsi="Arial"/>
                <w:sz w:val="22"/>
                <w:szCs w:val="22"/>
                <w:color w:val="0000FF"/>
              </w:rPr>
              <w:t xml:space="preserve">Other Required Capital Contributions.  </w:t>
            </w:r>
            <w:r>
              <w:rPr>
                <w:rFonts w:ascii="Arial" w:cs="Arial" w:eastAsia="Arial" w:hAnsi="Arial"/>
                <w:sz w:val="22"/>
                <w:szCs w:val="22"/>
                <w:color w:val="000000"/>
              </w:rPr>
              <w:t>26</w:t>
            </w:r>
          </w:p>
        </w:tc>
      </w:tr>
      <w:tr>
        <w:trPr>
          <w:trHeight w:val="345"/>
        </w:trPr>
        <w:tc>
          <w:tcPr>
            <w:tcW w:w="340" w:type="dxa"/>
            <w:vAlign w:val="bottom"/>
          </w:tcPr>
          <w:p>
            <w:pPr>
              <w:spacing w:after="0"/>
              <w:rPr>
                <w:sz w:val="24"/>
                <w:szCs w:val="24"/>
                <w:color w:val="auto"/>
              </w:rPr>
            </w:pPr>
          </w:p>
        </w:tc>
        <w:tc>
          <w:tcPr>
            <w:tcW w:w="960" w:type="dxa"/>
            <w:vAlign w:val="bottom"/>
            <w:tcBorders>
              <w:top w:val="single" w:sz="8" w:color="0000FF"/>
              <w:bottom w:val="single" w:sz="8" w:color="0000FF"/>
            </w:tcBorders>
          </w:tcPr>
          <w:p>
            <w:pPr>
              <w:spacing w:after="0"/>
              <w:rPr>
                <w:rFonts w:ascii="Arial" w:cs="Arial" w:eastAsia="Arial" w:hAnsi="Arial"/>
                <w:sz w:val="22"/>
                <w:szCs w:val="22"/>
                <w:color w:val="0000FF"/>
                <w:w w:val="85"/>
              </w:rPr>
            </w:pPr>
            <w:hyperlink w:anchor="page241">
              <w:r>
                <w:rPr>
                  <w:rFonts w:ascii="Arial" w:cs="Arial" w:eastAsia="Arial" w:hAnsi="Arial"/>
                  <w:sz w:val="22"/>
                  <w:szCs w:val="22"/>
                  <w:color w:val="0000FF"/>
                  <w:w w:val="85"/>
                </w:rPr>
                <w:t>Section 3.4</w:t>
              </w:r>
            </w:hyperlink>
          </w:p>
        </w:tc>
        <w:tc>
          <w:tcPr>
            <w:tcW w:w="240" w:type="dxa"/>
            <w:vAlign w:val="bottom"/>
          </w:tcPr>
          <w:p>
            <w:pPr>
              <w:spacing w:after="0"/>
              <w:rPr>
                <w:sz w:val="24"/>
                <w:szCs w:val="24"/>
                <w:color w:val="auto"/>
              </w:rPr>
            </w:pPr>
          </w:p>
        </w:tc>
        <w:tc>
          <w:tcPr>
            <w:tcW w:w="14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22"/>
                <w:szCs w:val="22"/>
                <w:color w:val="0000FF"/>
                <w:w w:val="90"/>
              </w:rPr>
              <w:t>Member Loans.</w:t>
            </w:r>
          </w:p>
        </w:tc>
        <w:tc>
          <w:tcPr>
            <w:tcW w:w="960" w:type="dxa"/>
            <w:vAlign w:val="bottom"/>
            <w:tcBorders>
              <w:top w:val="single" w:sz="8" w:color="0000FF"/>
            </w:tcBorders>
          </w:tcPr>
          <w:p>
            <w:pPr>
              <w:jc w:val="right"/>
              <w:ind w:right="472"/>
              <w:spacing w:after="0"/>
              <w:rPr>
                <w:sz w:val="20"/>
                <w:szCs w:val="20"/>
                <w:color w:val="auto"/>
              </w:rPr>
            </w:pPr>
            <w:r>
              <w:rPr>
                <w:rFonts w:ascii="Arial" w:cs="Arial" w:eastAsia="Arial" w:hAnsi="Arial"/>
                <w:sz w:val="22"/>
                <w:szCs w:val="22"/>
                <w:color w:val="auto"/>
              </w:rPr>
              <w:t>28</w:t>
            </w:r>
          </w:p>
        </w:tc>
        <w:tc>
          <w:tcPr>
            <w:tcW w:w="8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815" w:right="239" w:bottom="1440" w:gutter="0" w:footer="0" w:header="0"/>
        </w:sectPr>
      </w:pPr>
    </w:p>
    <w:bookmarkStart w:id="208" w:name="page209"/>
    <w:bookmarkEnd w:id="208"/>
    <w:p>
      <w:pPr>
        <w:ind w:left="340"/>
        <w:spacing w:after="0"/>
        <w:tabs>
          <w:tab w:leader="none" w:pos="1520" w:val="left"/>
          <w:tab w:leader="none" w:pos="5620" w:val="left"/>
        </w:tabs>
        <w:rPr>
          <w:rFonts w:ascii="Arial" w:cs="Arial" w:eastAsia="Arial" w:hAnsi="Arial"/>
          <w:sz w:val="22"/>
          <w:szCs w:val="22"/>
          <w:color w:val="0000FF"/>
        </w:rPr>
      </w:pPr>
      <w:hyperlink w:anchor="page241">
        <w:r>
          <w:rPr>
            <w:rFonts w:ascii="Arial" w:cs="Arial" w:eastAsia="Arial" w:hAnsi="Arial"/>
            <w:sz w:val="22"/>
            <w:szCs w:val="22"/>
            <w:u w:val="single" w:color="auto"/>
            <w:color w:val="0000FF"/>
          </w:rPr>
          <w:t>Section 3.5</w:t>
        </w:r>
      </w:hyperlink>
      <w:r>
        <w:rPr>
          <w:rFonts w:ascii="Arial" w:cs="Arial" w:eastAsia="Arial" w:hAnsi="Arial"/>
          <w:sz w:val="22"/>
          <w:szCs w:val="22"/>
          <w:color w:val="0000FF"/>
        </w:rPr>
        <w:tab/>
      </w:r>
      <w:r>
        <w:rPr>
          <w:rFonts w:ascii="Arial" w:cs="Arial" w:eastAsia="Arial" w:hAnsi="Arial"/>
          <w:sz w:val="22"/>
          <w:szCs w:val="22"/>
          <w:u w:val="single" w:color="auto"/>
          <w:color w:val="0000FF"/>
        </w:rPr>
        <w:t>No Right to Return of Capital Contributions.</w:t>
      </w:r>
      <w:r>
        <w:rPr>
          <w:rFonts w:ascii="Arial" w:cs="Arial" w:eastAsia="Arial" w:hAnsi="Arial"/>
          <w:sz w:val="22"/>
          <w:szCs w:val="22"/>
          <w:color w:val="0000FF"/>
        </w:rPr>
        <w:tab/>
      </w:r>
      <w:r>
        <w:rPr>
          <w:rFonts w:ascii="Arial" w:cs="Arial" w:eastAsia="Arial" w:hAnsi="Arial"/>
          <w:sz w:val="19"/>
          <w:szCs w:val="19"/>
          <w:color w:val="0000FF"/>
        </w:rPr>
        <w:t>28</w:t>
      </w:r>
    </w:p>
    <w:p>
      <w:pPr>
        <w:spacing w:after="0" w:line="112" w:lineRule="exact"/>
        <w:rPr>
          <w:sz w:val="20"/>
          <w:szCs w:val="20"/>
          <w:color w:val="auto"/>
        </w:rPr>
      </w:pPr>
    </w:p>
    <w:p>
      <w:pPr>
        <w:ind w:left="340" w:right="5039" w:hanging="323"/>
        <w:spacing w:after="0" w:line="362" w:lineRule="auto"/>
        <w:rPr>
          <w:rFonts w:ascii="Arial" w:cs="Arial" w:eastAsia="Arial" w:hAnsi="Arial"/>
          <w:sz w:val="21"/>
          <w:szCs w:val="21"/>
          <w:color w:val="0000FF"/>
        </w:rPr>
      </w:pPr>
      <w:hyperlink w:anchor="page241">
        <w:r>
          <w:rPr>
            <w:rFonts w:ascii="Arial" w:cs="Arial" w:eastAsia="Arial" w:hAnsi="Arial"/>
            <w:sz w:val="21"/>
            <w:szCs w:val="21"/>
            <w:u w:val="single" w:color="auto"/>
            <w:color w:val="0000FF"/>
          </w:rPr>
          <w:t>ARTICLE IV CAPITAL ACCOUNTS; ALLOCATIONS</w:t>
        </w:r>
      </w:hyperlink>
      <w:r>
        <w:rPr>
          <w:rFonts w:ascii="Arial" w:cs="Arial" w:eastAsia="Arial" w:hAnsi="Arial"/>
          <w:sz w:val="21"/>
          <w:szCs w:val="21"/>
          <w:color w:val="000000"/>
        </w:rPr>
        <w:t>29</w:t>
      </w:r>
      <w:r>
        <w:rPr>
          <w:rFonts w:ascii="Arial" w:cs="Arial" w:eastAsia="Arial" w:hAnsi="Arial"/>
          <w:sz w:val="21"/>
          <w:szCs w:val="21"/>
          <w:color w:val="0000FF"/>
        </w:rPr>
        <w:t xml:space="preserve"> </w:t>
      </w:r>
      <w:hyperlink w:anchor="page241">
        <w:r>
          <w:rPr>
            <w:rFonts w:ascii="Arial" w:cs="Arial" w:eastAsia="Arial" w:hAnsi="Arial"/>
            <w:sz w:val="21"/>
            <w:szCs w:val="21"/>
            <w:u w:val="single" w:color="auto"/>
            <w:color w:val="0000FF"/>
          </w:rPr>
          <w:t xml:space="preserve">Section 4.1 </w:t>
        </w:r>
      </w:hyperlink>
      <w:r>
        <w:rPr>
          <w:rFonts w:ascii="Arial" w:cs="Arial" w:eastAsia="Arial" w:hAnsi="Arial"/>
          <w:sz w:val="21"/>
          <w:szCs w:val="21"/>
          <w:color w:val="0000FF"/>
        </w:rPr>
        <w:t xml:space="preserve">Capital </w:t>
      </w:r>
      <w:r>
        <w:rPr>
          <w:rFonts w:ascii="Arial" w:cs="Arial" w:eastAsia="Arial" w:hAnsi="Arial"/>
          <w:sz w:val="21"/>
          <w:szCs w:val="21"/>
          <w:u w:val="single" w:color="auto"/>
          <w:color w:val="0000FF"/>
        </w:rPr>
        <w:t>Accounts.</w:t>
      </w:r>
      <w:r>
        <w:rPr>
          <w:rFonts w:ascii="Arial" w:cs="Arial" w:eastAsia="Arial" w:hAnsi="Arial"/>
          <w:sz w:val="21"/>
          <w:szCs w:val="21"/>
          <w:color w:val="0000FF"/>
        </w:rPr>
        <w:t xml:space="preserve"> </w:t>
      </w:r>
      <w:r>
        <w:rPr>
          <w:rFonts w:ascii="Arial" w:cs="Arial" w:eastAsia="Arial" w:hAnsi="Arial"/>
          <w:sz w:val="21"/>
          <w:szCs w:val="21"/>
          <w:color w:val="000000"/>
        </w:rPr>
        <w:t>29</w:t>
      </w:r>
    </w:p>
    <w:p>
      <w:pPr>
        <w:spacing w:after="0" w:line="1" w:lineRule="exact"/>
        <w:rPr>
          <w:sz w:val="20"/>
          <w:szCs w:val="20"/>
          <w:color w:val="auto"/>
        </w:rPr>
      </w:pPr>
    </w:p>
    <w:p>
      <w:pPr>
        <w:ind w:left="340"/>
        <w:spacing w:after="0"/>
        <w:tabs>
          <w:tab w:leader="none" w:pos="1520" w:val="left"/>
          <w:tab w:leader="none" w:pos="2800" w:val="left"/>
        </w:tabs>
        <w:rPr>
          <w:rFonts w:ascii="Arial" w:cs="Arial" w:eastAsia="Arial" w:hAnsi="Arial"/>
          <w:sz w:val="22"/>
          <w:szCs w:val="22"/>
          <w:color w:val="0000FF"/>
        </w:rPr>
      </w:pPr>
      <w:hyperlink w:anchor="page242">
        <w:r>
          <w:rPr>
            <w:rFonts w:ascii="Arial" w:cs="Arial" w:eastAsia="Arial" w:hAnsi="Arial"/>
            <w:sz w:val="22"/>
            <w:szCs w:val="22"/>
            <w:u w:val="single" w:color="auto"/>
            <w:color w:val="0000FF"/>
          </w:rPr>
          <w:t>Section 4.2</w:t>
        </w:r>
      </w:hyperlink>
      <w:r>
        <w:rPr>
          <w:rFonts w:ascii="Arial" w:cs="Arial" w:eastAsia="Arial" w:hAnsi="Arial"/>
          <w:sz w:val="22"/>
          <w:szCs w:val="22"/>
          <w:color w:val="0000FF"/>
        </w:rPr>
        <w:tab/>
      </w:r>
      <w:r>
        <w:rPr>
          <w:rFonts w:ascii="Arial" w:cs="Arial" w:eastAsia="Arial" w:hAnsi="Arial"/>
          <w:sz w:val="22"/>
          <w:szCs w:val="22"/>
          <w:u w:val="single" w:color="auto"/>
          <w:color w:val="0000FF"/>
        </w:rPr>
        <w:t>Allocations.</w:t>
      </w:r>
      <w:r>
        <w:rPr>
          <w:rFonts w:ascii="Arial" w:cs="Arial" w:eastAsia="Arial" w:hAnsi="Arial"/>
          <w:sz w:val="22"/>
          <w:szCs w:val="22"/>
          <w:color w:val="0000FF"/>
        </w:rPr>
        <w:tab/>
      </w:r>
      <w:r>
        <w:rPr>
          <w:rFonts w:ascii="Arial" w:cs="Arial" w:eastAsia="Arial" w:hAnsi="Arial"/>
          <w:sz w:val="19"/>
          <w:szCs w:val="19"/>
          <w:color w:val="0000FF"/>
        </w:rPr>
        <w:t>30</w:t>
      </w:r>
    </w:p>
    <w:p>
      <w:pPr>
        <w:spacing w:after="0" w:line="112" w:lineRule="exact"/>
        <w:rPr>
          <w:sz w:val="20"/>
          <w:szCs w:val="20"/>
          <w:color w:val="auto"/>
        </w:rPr>
      </w:pPr>
    </w:p>
    <w:p>
      <w:pPr>
        <w:ind w:left="340"/>
        <w:spacing w:after="0"/>
        <w:tabs>
          <w:tab w:leader="none" w:pos="1520" w:val="left"/>
          <w:tab w:leader="none" w:pos="2900" w:val="left"/>
        </w:tabs>
        <w:rPr>
          <w:rFonts w:ascii="Arial" w:cs="Arial" w:eastAsia="Arial" w:hAnsi="Arial"/>
          <w:sz w:val="22"/>
          <w:szCs w:val="22"/>
          <w:color w:val="0000FF"/>
        </w:rPr>
      </w:pPr>
      <w:hyperlink w:anchor="page242">
        <w:r>
          <w:rPr>
            <w:rFonts w:ascii="Arial" w:cs="Arial" w:eastAsia="Arial" w:hAnsi="Arial"/>
            <w:sz w:val="22"/>
            <w:szCs w:val="22"/>
            <w:u w:val="single" w:color="auto"/>
            <w:color w:val="0000FF"/>
          </w:rPr>
          <w:t>Section 4.3</w:t>
        </w:r>
      </w:hyperlink>
      <w:r>
        <w:rPr>
          <w:rFonts w:ascii="Arial" w:cs="Arial" w:eastAsia="Arial" w:hAnsi="Arial"/>
          <w:sz w:val="22"/>
          <w:szCs w:val="22"/>
          <w:color w:val="0000FF"/>
        </w:rPr>
        <w:tab/>
      </w:r>
      <w:r>
        <w:rPr>
          <w:rFonts w:ascii="Arial" w:cs="Arial" w:eastAsia="Arial" w:hAnsi="Arial"/>
          <w:sz w:val="22"/>
          <w:szCs w:val="22"/>
          <w:u w:val="single" w:color="auto"/>
          <w:color w:val="0000FF"/>
        </w:rPr>
        <w:t>Adjustments.</w:t>
      </w:r>
      <w:r>
        <w:rPr>
          <w:rFonts w:ascii="Arial" w:cs="Arial" w:eastAsia="Arial" w:hAnsi="Arial"/>
          <w:sz w:val="22"/>
          <w:szCs w:val="22"/>
          <w:color w:val="0000FF"/>
        </w:rPr>
        <w:tab/>
      </w:r>
      <w:r>
        <w:rPr>
          <w:rFonts w:ascii="Arial" w:cs="Arial" w:eastAsia="Arial" w:hAnsi="Arial"/>
          <w:sz w:val="17"/>
          <w:szCs w:val="17"/>
          <w:color w:val="0000FF"/>
        </w:rPr>
        <w:t>30</w:t>
      </w:r>
    </w:p>
    <w:p>
      <w:pPr>
        <w:spacing w:after="0" w:line="112" w:lineRule="exact"/>
        <w:rPr>
          <w:sz w:val="20"/>
          <w:szCs w:val="20"/>
          <w:color w:val="auto"/>
        </w:rPr>
      </w:pPr>
    </w:p>
    <w:p>
      <w:pPr>
        <w:ind w:left="340"/>
        <w:spacing w:after="0"/>
        <w:tabs>
          <w:tab w:leader="none" w:pos="1520" w:val="left"/>
          <w:tab w:leader="none" w:pos="3160" w:val="left"/>
        </w:tabs>
        <w:rPr>
          <w:rFonts w:ascii="Arial" w:cs="Arial" w:eastAsia="Arial" w:hAnsi="Arial"/>
          <w:sz w:val="22"/>
          <w:szCs w:val="22"/>
          <w:color w:val="0000FF"/>
        </w:rPr>
      </w:pPr>
      <w:hyperlink w:anchor="page243">
        <w:r>
          <w:rPr>
            <w:rFonts w:ascii="Arial" w:cs="Arial" w:eastAsia="Arial" w:hAnsi="Arial"/>
            <w:sz w:val="22"/>
            <w:szCs w:val="22"/>
            <w:u w:val="single" w:color="auto"/>
            <w:color w:val="0000FF"/>
          </w:rPr>
          <w:t>Section 4.4</w:t>
        </w:r>
      </w:hyperlink>
      <w:r>
        <w:rPr>
          <w:rFonts w:ascii="Arial" w:cs="Arial" w:eastAsia="Arial" w:hAnsi="Arial"/>
          <w:sz w:val="22"/>
          <w:szCs w:val="22"/>
          <w:color w:val="0000FF"/>
        </w:rPr>
        <w:tab/>
      </w:r>
      <w:r>
        <w:rPr>
          <w:rFonts w:ascii="Arial" w:cs="Arial" w:eastAsia="Arial" w:hAnsi="Arial"/>
          <w:sz w:val="22"/>
          <w:szCs w:val="22"/>
          <w:u w:val="single" w:color="auto"/>
          <w:color w:val="0000FF"/>
        </w:rPr>
        <w:t>Tax Allocations.</w:t>
      </w:r>
      <w:r>
        <w:rPr>
          <w:rFonts w:ascii="Arial" w:cs="Arial" w:eastAsia="Arial" w:hAnsi="Arial"/>
          <w:sz w:val="22"/>
          <w:szCs w:val="22"/>
          <w:color w:val="0000FF"/>
        </w:rPr>
        <w:tab/>
      </w:r>
      <w:r>
        <w:rPr>
          <w:rFonts w:ascii="Arial" w:cs="Arial" w:eastAsia="Arial" w:hAnsi="Arial"/>
          <w:sz w:val="19"/>
          <w:szCs w:val="19"/>
          <w:color w:val="0000FF"/>
        </w:rPr>
        <w:t>32</w:t>
      </w:r>
    </w:p>
    <w:p>
      <w:pPr>
        <w:spacing w:after="0" w:line="112" w:lineRule="exact"/>
        <w:rPr>
          <w:sz w:val="20"/>
          <w:szCs w:val="20"/>
          <w:color w:val="auto"/>
        </w:rPr>
      </w:pPr>
    </w:p>
    <w:p>
      <w:pPr>
        <w:ind w:left="340"/>
        <w:spacing w:after="0"/>
        <w:tabs>
          <w:tab w:leader="none" w:pos="1520" w:val="left"/>
          <w:tab w:leader="none" w:pos="3800" w:val="left"/>
        </w:tabs>
        <w:rPr>
          <w:rFonts w:ascii="Arial" w:cs="Arial" w:eastAsia="Arial" w:hAnsi="Arial"/>
          <w:sz w:val="22"/>
          <w:szCs w:val="22"/>
          <w:color w:val="0000FF"/>
        </w:rPr>
      </w:pPr>
      <w:hyperlink w:anchor="page244">
        <w:r>
          <w:rPr>
            <w:rFonts w:ascii="Arial" w:cs="Arial" w:eastAsia="Arial" w:hAnsi="Arial"/>
            <w:sz w:val="22"/>
            <w:szCs w:val="22"/>
            <w:u w:val="single" w:color="auto"/>
            <w:color w:val="0000FF"/>
          </w:rPr>
          <w:t>Section 4.5</w:t>
        </w:r>
      </w:hyperlink>
      <w:r>
        <w:rPr>
          <w:rFonts w:ascii="Arial" w:cs="Arial" w:eastAsia="Arial" w:hAnsi="Arial"/>
          <w:sz w:val="22"/>
          <w:szCs w:val="22"/>
          <w:color w:val="0000FF"/>
        </w:rPr>
        <w:tab/>
      </w:r>
      <w:r>
        <w:rPr>
          <w:rFonts w:ascii="Arial" w:cs="Arial" w:eastAsia="Arial" w:hAnsi="Arial"/>
          <w:sz w:val="22"/>
          <w:szCs w:val="22"/>
          <w:u w:val="single" w:color="auto"/>
          <w:color w:val="0000FF"/>
        </w:rPr>
        <w:t>Other Allocation Rules.</w:t>
      </w:r>
      <w:r>
        <w:rPr>
          <w:rFonts w:ascii="Arial" w:cs="Arial" w:eastAsia="Arial" w:hAnsi="Arial"/>
          <w:sz w:val="22"/>
          <w:szCs w:val="22"/>
          <w:color w:val="0000FF"/>
        </w:rPr>
        <w:tab/>
      </w:r>
      <w:r>
        <w:rPr>
          <w:rFonts w:ascii="Arial" w:cs="Arial" w:eastAsia="Arial" w:hAnsi="Arial"/>
          <w:sz w:val="19"/>
          <w:szCs w:val="19"/>
          <w:color w:val="0000FF"/>
        </w:rPr>
        <w:t>33</w:t>
      </w:r>
    </w:p>
    <w:p>
      <w:pPr>
        <w:spacing w:after="0" w:line="112" w:lineRule="exact"/>
        <w:rPr>
          <w:sz w:val="20"/>
          <w:szCs w:val="20"/>
          <w:color w:val="auto"/>
        </w:rPr>
      </w:pPr>
    </w:p>
    <w:p>
      <w:pPr>
        <w:spacing w:after="0"/>
        <w:rPr>
          <w:rFonts w:ascii="Arial" w:cs="Arial" w:eastAsia="Arial" w:hAnsi="Arial"/>
          <w:sz w:val="22"/>
          <w:szCs w:val="22"/>
          <w:color w:val="0000FF"/>
        </w:rPr>
      </w:pPr>
      <w:hyperlink w:anchor="page244">
        <w:r>
          <w:rPr>
            <w:rFonts w:ascii="Arial" w:cs="Arial" w:eastAsia="Arial" w:hAnsi="Arial"/>
            <w:sz w:val="22"/>
            <w:szCs w:val="22"/>
            <w:u w:val="single" w:color="auto"/>
            <w:color w:val="0000FF"/>
          </w:rPr>
          <w:t>ARTICLE V DISTRIBUTIONS</w:t>
        </w:r>
      </w:hyperlink>
      <w:r>
        <w:rPr>
          <w:rFonts w:ascii="Arial" w:cs="Arial" w:eastAsia="Arial" w:hAnsi="Arial"/>
          <w:sz w:val="22"/>
          <w:szCs w:val="22"/>
          <w:color w:val="000000"/>
        </w:rPr>
        <w:t>33</w:t>
      </w:r>
    </w:p>
    <w:p>
      <w:pPr>
        <w:spacing w:after="0" w:line="112" w:lineRule="exact"/>
        <w:rPr>
          <w:sz w:val="20"/>
          <w:szCs w:val="20"/>
          <w:color w:val="auto"/>
        </w:rPr>
      </w:pPr>
    </w:p>
    <w:p>
      <w:pPr>
        <w:ind w:left="340"/>
        <w:spacing w:after="0"/>
        <w:tabs>
          <w:tab w:leader="none" w:pos="1520" w:val="left"/>
          <w:tab w:leader="none" w:pos="5000" w:val="left"/>
        </w:tabs>
        <w:rPr>
          <w:rFonts w:ascii="Arial" w:cs="Arial" w:eastAsia="Arial" w:hAnsi="Arial"/>
          <w:sz w:val="22"/>
          <w:szCs w:val="22"/>
          <w:color w:val="0000FF"/>
        </w:rPr>
      </w:pPr>
      <w:hyperlink w:anchor="page244">
        <w:r>
          <w:rPr>
            <w:rFonts w:ascii="Arial" w:cs="Arial" w:eastAsia="Arial" w:hAnsi="Arial"/>
            <w:sz w:val="22"/>
            <w:szCs w:val="22"/>
            <w:u w:val="single" w:color="auto"/>
            <w:color w:val="0000FF"/>
          </w:rPr>
          <w:t>Section 5.1</w:t>
        </w:r>
      </w:hyperlink>
      <w:r>
        <w:rPr>
          <w:rFonts w:ascii="Arial" w:cs="Arial" w:eastAsia="Arial" w:hAnsi="Arial"/>
          <w:sz w:val="22"/>
          <w:szCs w:val="22"/>
          <w:color w:val="0000FF"/>
        </w:rPr>
        <w:tab/>
      </w:r>
      <w:r>
        <w:rPr>
          <w:rFonts w:ascii="Arial" w:cs="Arial" w:eastAsia="Arial" w:hAnsi="Arial"/>
          <w:sz w:val="22"/>
          <w:szCs w:val="22"/>
          <w:u w:val="single" w:color="auto"/>
          <w:color w:val="0000FF"/>
        </w:rPr>
        <w:t>Distributions of Available Cash Flow.</w:t>
      </w:r>
      <w:r>
        <w:rPr>
          <w:rFonts w:ascii="Arial" w:cs="Arial" w:eastAsia="Arial" w:hAnsi="Arial"/>
          <w:sz w:val="22"/>
          <w:szCs w:val="22"/>
          <w:color w:val="0000FF"/>
        </w:rPr>
        <w:tab/>
      </w:r>
      <w:r>
        <w:rPr>
          <w:rFonts w:ascii="Arial" w:cs="Arial" w:eastAsia="Arial" w:hAnsi="Arial"/>
          <w:sz w:val="19"/>
          <w:szCs w:val="19"/>
          <w:color w:val="0000FF"/>
        </w:rPr>
        <w:t>33</w:t>
      </w:r>
    </w:p>
    <w:p>
      <w:pPr>
        <w:spacing w:after="0" w:line="112" w:lineRule="exact"/>
        <w:rPr>
          <w:sz w:val="20"/>
          <w:szCs w:val="20"/>
          <w:color w:val="auto"/>
        </w:rPr>
      </w:pPr>
    </w:p>
    <w:p>
      <w:pPr>
        <w:ind w:left="340"/>
        <w:spacing w:after="0"/>
        <w:tabs>
          <w:tab w:leader="none" w:pos="1520" w:val="left"/>
          <w:tab w:leader="none" w:pos="2720" w:val="left"/>
        </w:tabs>
        <w:rPr>
          <w:rFonts w:ascii="Arial" w:cs="Arial" w:eastAsia="Arial" w:hAnsi="Arial"/>
          <w:sz w:val="22"/>
          <w:szCs w:val="22"/>
          <w:color w:val="0000FF"/>
        </w:rPr>
      </w:pPr>
      <w:hyperlink w:anchor="page244">
        <w:r>
          <w:rPr>
            <w:rFonts w:ascii="Arial" w:cs="Arial" w:eastAsia="Arial" w:hAnsi="Arial"/>
            <w:sz w:val="22"/>
            <w:szCs w:val="22"/>
            <w:u w:val="single" w:color="auto"/>
            <w:color w:val="0000FF"/>
          </w:rPr>
          <w:t>Section 5.2</w:t>
        </w:r>
      </w:hyperlink>
      <w:r>
        <w:rPr>
          <w:rFonts w:ascii="Arial" w:cs="Arial" w:eastAsia="Arial" w:hAnsi="Arial"/>
          <w:sz w:val="22"/>
          <w:szCs w:val="22"/>
          <w:color w:val="0000FF"/>
        </w:rPr>
        <w:tab/>
      </w:r>
      <w:r>
        <w:rPr>
          <w:rFonts w:ascii="Arial" w:cs="Arial" w:eastAsia="Arial" w:hAnsi="Arial"/>
          <w:sz w:val="22"/>
          <w:szCs w:val="22"/>
          <w:u w:val="single" w:color="auto"/>
          <w:color w:val="0000FF"/>
        </w:rPr>
        <w:t>Limitation.</w:t>
      </w:r>
      <w:r>
        <w:rPr>
          <w:rFonts w:ascii="Arial" w:cs="Arial" w:eastAsia="Arial" w:hAnsi="Arial"/>
          <w:sz w:val="22"/>
          <w:szCs w:val="22"/>
          <w:color w:val="0000FF"/>
        </w:rPr>
        <w:tab/>
      </w:r>
      <w:r>
        <w:rPr>
          <w:rFonts w:ascii="Arial" w:cs="Arial" w:eastAsia="Arial" w:hAnsi="Arial"/>
          <w:sz w:val="17"/>
          <w:szCs w:val="17"/>
          <w:color w:val="0000FF"/>
        </w:rPr>
        <w:t>34</w:t>
      </w:r>
    </w:p>
    <w:p>
      <w:pPr>
        <w:spacing w:after="0" w:line="112" w:lineRule="exact"/>
        <w:rPr>
          <w:sz w:val="20"/>
          <w:szCs w:val="20"/>
          <w:color w:val="auto"/>
        </w:rPr>
      </w:pPr>
    </w:p>
    <w:p>
      <w:pPr>
        <w:ind w:left="340"/>
        <w:spacing w:after="0"/>
        <w:tabs>
          <w:tab w:leader="none" w:pos="1520" w:val="left"/>
          <w:tab w:leader="none" w:pos="2880" w:val="left"/>
        </w:tabs>
        <w:rPr>
          <w:rFonts w:ascii="Arial" w:cs="Arial" w:eastAsia="Arial" w:hAnsi="Arial"/>
          <w:sz w:val="22"/>
          <w:szCs w:val="22"/>
          <w:color w:val="0000FF"/>
        </w:rPr>
      </w:pPr>
      <w:hyperlink w:anchor="page244">
        <w:r>
          <w:rPr>
            <w:rFonts w:ascii="Arial" w:cs="Arial" w:eastAsia="Arial" w:hAnsi="Arial"/>
            <w:sz w:val="22"/>
            <w:szCs w:val="22"/>
            <w:u w:val="single" w:color="auto"/>
            <w:color w:val="0000FF"/>
          </w:rPr>
          <w:t>Section 5.3</w:t>
        </w:r>
      </w:hyperlink>
      <w:r>
        <w:rPr>
          <w:rFonts w:ascii="Arial" w:cs="Arial" w:eastAsia="Arial" w:hAnsi="Arial"/>
          <w:sz w:val="22"/>
          <w:szCs w:val="22"/>
          <w:color w:val="0000FF"/>
        </w:rPr>
        <w:tab/>
      </w:r>
      <w:r>
        <w:rPr>
          <w:rFonts w:ascii="Arial" w:cs="Arial" w:eastAsia="Arial" w:hAnsi="Arial"/>
          <w:sz w:val="22"/>
          <w:szCs w:val="22"/>
          <w:u w:val="single" w:color="auto"/>
          <w:color w:val="0000FF"/>
        </w:rPr>
        <w:t>Withholding.</w:t>
      </w:r>
      <w:r>
        <w:rPr>
          <w:rFonts w:ascii="Arial" w:cs="Arial" w:eastAsia="Arial" w:hAnsi="Arial"/>
          <w:sz w:val="22"/>
          <w:szCs w:val="22"/>
          <w:color w:val="0000FF"/>
        </w:rPr>
        <w:tab/>
      </w:r>
      <w:r>
        <w:rPr>
          <w:rFonts w:ascii="Arial" w:cs="Arial" w:eastAsia="Arial" w:hAnsi="Arial"/>
          <w:sz w:val="19"/>
          <w:szCs w:val="19"/>
          <w:color w:val="0000FF"/>
        </w:rPr>
        <w:t>34</w:t>
      </w:r>
    </w:p>
    <w:p>
      <w:pPr>
        <w:spacing w:after="0" w:line="112" w:lineRule="exact"/>
        <w:rPr>
          <w:sz w:val="20"/>
          <w:szCs w:val="20"/>
          <w:color w:val="auto"/>
        </w:rPr>
      </w:pPr>
    </w:p>
    <w:p>
      <w:pPr>
        <w:spacing w:after="0"/>
        <w:rPr>
          <w:rFonts w:ascii="Arial" w:cs="Arial" w:eastAsia="Arial" w:hAnsi="Arial"/>
          <w:sz w:val="22"/>
          <w:szCs w:val="22"/>
          <w:color w:val="0000FF"/>
        </w:rPr>
      </w:pPr>
      <w:hyperlink w:anchor="page245">
        <w:r>
          <w:rPr>
            <w:rFonts w:ascii="Arial" w:cs="Arial" w:eastAsia="Arial" w:hAnsi="Arial"/>
            <w:sz w:val="22"/>
            <w:szCs w:val="22"/>
            <w:u w:val="single" w:color="auto"/>
            <w:color w:val="0000FF"/>
          </w:rPr>
          <w:t>ARTICLE VI MANAGEMENT</w:t>
        </w:r>
      </w:hyperlink>
      <w:r>
        <w:rPr>
          <w:rFonts w:ascii="Arial" w:cs="Arial" w:eastAsia="Arial" w:hAnsi="Arial"/>
          <w:sz w:val="22"/>
          <w:szCs w:val="22"/>
          <w:color w:val="000000"/>
        </w:rPr>
        <w:t>34</w:t>
      </w:r>
    </w:p>
    <w:p>
      <w:pPr>
        <w:spacing w:after="0" w:line="112" w:lineRule="exact"/>
        <w:rPr>
          <w:sz w:val="20"/>
          <w:szCs w:val="20"/>
          <w:color w:val="auto"/>
        </w:rPr>
      </w:pPr>
    </w:p>
    <w:p>
      <w:pPr>
        <w:ind w:left="340"/>
        <w:spacing w:after="0"/>
        <w:tabs>
          <w:tab w:leader="none" w:pos="1520" w:val="left"/>
          <w:tab w:leader="none" w:pos="2560" w:val="left"/>
        </w:tabs>
        <w:rPr>
          <w:rFonts w:ascii="Arial" w:cs="Arial" w:eastAsia="Arial" w:hAnsi="Arial"/>
          <w:sz w:val="22"/>
          <w:szCs w:val="22"/>
          <w:color w:val="0000FF"/>
        </w:rPr>
      </w:pPr>
      <w:hyperlink w:anchor="page245">
        <w:r>
          <w:rPr>
            <w:rFonts w:ascii="Arial" w:cs="Arial" w:eastAsia="Arial" w:hAnsi="Arial"/>
            <w:sz w:val="22"/>
            <w:szCs w:val="22"/>
            <w:u w:val="single" w:color="auto"/>
            <w:color w:val="0000FF"/>
          </w:rPr>
          <w:t>Section 6.1</w:t>
        </w:r>
      </w:hyperlink>
      <w:r>
        <w:rPr>
          <w:rFonts w:ascii="Arial" w:cs="Arial" w:eastAsia="Arial" w:hAnsi="Arial"/>
          <w:sz w:val="22"/>
          <w:szCs w:val="22"/>
          <w:color w:val="0000FF"/>
        </w:rPr>
        <w:tab/>
      </w:r>
      <w:r>
        <w:rPr>
          <w:rFonts w:ascii="Arial" w:cs="Arial" w:eastAsia="Arial" w:hAnsi="Arial"/>
          <w:sz w:val="22"/>
          <w:szCs w:val="22"/>
          <w:u w:val="single" w:color="auto"/>
          <w:color w:val="0000FF"/>
        </w:rPr>
        <w:t>Manager.</w:t>
      </w:r>
      <w:r>
        <w:rPr>
          <w:rFonts w:ascii="Arial" w:cs="Arial" w:eastAsia="Arial" w:hAnsi="Arial"/>
          <w:sz w:val="22"/>
          <w:szCs w:val="22"/>
          <w:color w:val="0000FF"/>
        </w:rPr>
        <w:tab/>
      </w:r>
      <w:r>
        <w:rPr>
          <w:rFonts w:ascii="Arial" w:cs="Arial" w:eastAsia="Arial" w:hAnsi="Arial"/>
          <w:sz w:val="17"/>
          <w:szCs w:val="17"/>
          <w:color w:val="0000FF"/>
        </w:rPr>
        <w:t>34</w:t>
      </w:r>
    </w:p>
    <w:p>
      <w:pPr>
        <w:spacing w:after="0" w:line="112" w:lineRule="exact"/>
        <w:rPr>
          <w:sz w:val="20"/>
          <w:szCs w:val="20"/>
          <w:color w:val="auto"/>
        </w:rPr>
      </w:pPr>
    </w:p>
    <w:p>
      <w:pPr>
        <w:ind w:left="340"/>
        <w:spacing w:after="0"/>
        <w:tabs>
          <w:tab w:leader="none" w:pos="1520" w:val="left"/>
          <w:tab w:leader="none" w:pos="5020" w:val="left"/>
        </w:tabs>
        <w:rPr>
          <w:rFonts w:ascii="Arial" w:cs="Arial" w:eastAsia="Arial" w:hAnsi="Arial"/>
          <w:sz w:val="22"/>
          <w:szCs w:val="22"/>
          <w:color w:val="0000FF"/>
        </w:rPr>
      </w:pPr>
      <w:hyperlink w:anchor="page247">
        <w:r>
          <w:rPr>
            <w:rFonts w:ascii="Arial" w:cs="Arial" w:eastAsia="Arial" w:hAnsi="Arial"/>
            <w:sz w:val="22"/>
            <w:szCs w:val="22"/>
            <w:u w:val="single" w:color="auto"/>
            <w:color w:val="0000FF"/>
          </w:rPr>
          <w:t>Section 6.2</w:t>
        </w:r>
      </w:hyperlink>
      <w:r>
        <w:rPr>
          <w:rFonts w:ascii="Arial" w:cs="Arial" w:eastAsia="Arial" w:hAnsi="Arial"/>
          <w:sz w:val="22"/>
          <w:szCs w:val="22"/>
          <w:color w:val="0000FF"/>
        </w:rPr>
        <w:tab/>
      </w:r>
      <w:r>
        <w:rPr>
          <w:rFonts w:ascii="Arial" w:cs="Arial" w:eastAsia="Arial" w:hAnsi="Arial"/>
          <w:sz w:val="21"/>
          <w:szCs w:val="21"/>
          <w:u w:val="single" w:color="auto"/>
          <w:color w:val="0000FF"/>
        </w:rPr>
        <w:t>Standard of Care; Required Consents.</w:t>
      </w:r>
      <w:r>
        <w:rPr>
          <w:rFonts w:ascii="Arial" w:cs="Arial" w:eastAsia="Arial" w:hAnsi="Arial"/>
          <w:sz w:val="22"/>
          <w:szCs w:val="22"/>
          <w:color w:val="0000FF"/>
        </w:rPr>
        <w:tab/>
      </w:r>
      <w:r>
        <w:rPr>
          <w:rFonts w:ascii="Arial" w:cs="Arial" w:eastAsia="Arial" w:hAnsi="Arial"/>
          <w:sz w:val="19"/>
          <w:szCs w:val="19"/>
          <w:color w:val="0000FF"/>
        </w:rPr>
        <w:t>39</w:t>
      </w:r>
    </w:p>
    <w:p>
      <w:pPr>
        <w:spacing w:after="0" w:line="112" w:lineRule="exact"/>
        <w:rPr>
          <w:sz w:val="20"/>
          <w:szCs w:val="20"/>
          <w:color w:val="auto"/>
        </w:rPr>
      </w:pPr>
    </w:p>
    <w:p>
      <w:pPr>
        <w:ind w:left="340" w:right="3199"/>
        <w:spacing w:after="0" w:line="345" w:lineRule="auto"/>
        <w:rPr>
          <w:rFonts w:ascii="Arial" w:cs="Arial" w:eastAsia="Arial" w:hAnsi="Arial"/>
          <w:sz w:val="22"/>
          <w:szCs w:val="22"/>
          <w:color w:val="0000FF"/>
        </w:rPr>
      </w:pPr>
      <w:hyperlink w:anchor="page250">
        <w:r>
          <w:rPr>
            <w:rFonts w:ascii="Arial" w:cs="Arial" w:eastAsia="Arial" w:hAnsi="Arial"/>
            <w:sz w:val="22"/>
            <w:szCs w:val="22"/>
            <w:u w:val="single" w:color="auto"/>
            <w:color w:val="0000FF"/>
          </w:rPr>
          <w:t xml:space="preserve">Section 6.3 </w:t>
        </w:r>
      </w:hyperlink>
      <w:r>
        <w:rPr>
          <w:rFonts w:ascii="Arial" w:cs="Arial" w:eastAsia="Arial" w:hAnsi="Arial"/>
          <w:sz w:val="22"/>
          <w:szCs w:val="22"/>
          <w:color w:val="0000FF"/>
        </w:rPr>
        <w:t xml:space="preserve">Fund </w:t>
      </w:r>
      <w:r>
        <w:rPr>
          <w:rFonts w:ascii="Arial" w:cs="Arial" w:eastAsia="Arial" w:hAnsi="Arial"/>
          <w:sz w:val="22"/>
          <w:szCs w:val="22"/>
          <w:u w:val="single" w:color="auto"/>
          <w:color w:val="0000FF"/>
        </w:rPr>
        <w:t>Company Acquisitions; Fund Company Call Events.</w:t>
      </w:r>
      <w:r>
        <w:rPr>
          <w:rFonts w:ascii="Arial" w:cs="Arial" w:eastAsia="Arial" w:hAnsi="Arial"/>
          <w:sz w:val="22"/>
          <w:szCs w:val="22"/>
          <w:color w:val="0000FF"/>
        </w:rPr>
        <w:t xml:space="preserve"> </w:t>
      </w:r>
      <w:r>
        <w:rPr>
          <w:rFonts w:ascii="Arial" w:cs="Arial" w:eastAsia="Arial" w:hAnsi="Arial"/>
          <w:sz w:val="22"/>
          <w:szCs w:val="22"/>
          <w:color w:val="000000"/>
        </w:rPr>
        <w:t>44</w:t>
      </w:r>
      <w:r>
        <w:rPr>
          <w:rFonts w:ascii="Arial" w:cs="Arial" w:eastAsia="Arial" w:hAnsi="Arial"/>
          <w:sz w:val="22"/>
          <w:szCs w:val="22"/>
          <w:color w:val="0000FF"/>
        </w:rPr>
        <w:t xml:space="preserve"> </w:t>
      </w:r>
      <w:hyperlink w:anchor="page251">
        <w:r>
          <w:rPr>
            <w:rFonts w:ascii="Arial" w:cs="Arial" w:eastAsia="Arial" w:hAnsi="Arial"/>
            <w:sz w:val="22"/>
            <w:szCs w:val="22"/>
            <w:u w:val="single" w:color="auto"/>
            <w:color w:val="0000FF"/>
          </w:rPr>
          <w:t xml:space="preserve">Section 6.4 </w:t>
        </w:r>
      </w:hyperlink>
      <w:r>
        <w:rPr>
          <w:rFonts w:ascii="Arial" w:cs="Arial" w:eastAsia="Arial" w:hAnsi="Arial"/>
          <w:sz w:val="22"/>
          <w:szCs w:val="22"/>
          <w:color w:val="0000FF"/>
        </w:rPr>
        <w:t xml:space="preserve">Removal </w:t>
      </w:r>
      <w:r>
        <w:rPr>
          <w:rFonts w:ascii="Arial" w:cs="Arial" w:eastAsia="Arial" w:hAnsi="Arial"/>
          <w:sz w:val="22"/>
          <w:szCs w:val="22"/>
          <w:u w:val="single" w:color="auto"/>
          <w:color w:val="0000FF"/>
        </w:rPr>
        <w:t>and Election of Manager.</w:t>
      </w:r>
      <w:r>
        <w:rPr>
          <w:rFonts w:ascii="Arial" w:cs="Arial" w:eastAsia="Arial" w:hAnsi="Arial"/>
          <w:sz w:val="22"/>
          <w:szCs w:val="22"/>
          <w:color w:val="0000FF"/>
        </w:rPr>
        <w:t xml:space="preserve"> </w:t>
      </w:r>
      <w:r>
        <w:rPr>
          <w:rFonts w:ascii="Arial" w:cs="Arial" w:eastAsia="Arial" w:hAnsi="Arial"/>
          <w:sz w:val="22"/>
          <w:szCs w:val="22"/>
          <w:color w:val="000000"/>
        </w:rPr>
        <w:t>45</w:t>
      </w:r>
      <w:r>
        <w:rPr>
          <w:rFonts w:ascii="Arial" w:cs="Arial" w:eastAsia="Arial" w:hAnsi="Arial"/>
          <w:sz w:val="22"/>
          <w:szCs w:val="22"/>
          <w:color w:val="0000FF"/>
        </w:rPr>
        <w:t xml:space="preserve"> </w:t>
      </w:r>
      <w:hyperlink w:anchor="page251">
        <w:r>
          <w:rPr>
            <w:rFonts w:ascii="Arial" w:cs="Arial" w:eastAsia="Arial" w:hAnsi="Arial"/>
            <w:sz w:val="22"/>
            <w:szCs w:val="22"/>
            <w:u w:val="single" w:color="auto"/>
            <w:color w:val="0000FF"/>
          </w:rPr>
          <w:t xml:space="preserve">Section 6.5 </w:t>
        </w:r>
      </w:hyperlink>
      <w:r>
        <w:rPr>
          <w:rFonts w:ascii="Arial" w:cs="Arial" w:eastAsia="Arial" w:hAnsi="Arial"/>
          <w:sz w:val="22"/>
          <w:szCs w:val="22"/>
          <w:color w:val="0000FF"/>
        </w:rPr>
        <w:t xml:space="preserve">Indemnification </w:t>
      </w:r>
      <w:r>
        <w:rPr>
          <w:rFonts w:ascii="Arial" w:cs="Arial" w:eastAsia="Arial" w:hAnsi="Arial"/>
          <w:sz w:val="22"/>
          <w:szCs w:val="22"/>
          <w:u w:val="single" w:color="auto"/>
          <w:color w:val="0000FF"/>
        </w:rPr>
        <w:t>and Exculpation.</w:t>
      </w:r>
      <w:r>
        <w:rPr>
          <w:rFonts w:ascii="Arial" w:cs="Arial" w:eastAsia="Arial" w:hAnsi="Arial"/>
          <w:sz w:val="22"/>
          <w:szCs w:val="22"/>
          <w:color w:val="0000FF"/>
        </w:rPr>
        <w:t xml:space="preserve"> </w:t>
      </w:r>
      <w:r>
        <w:rPr>
          <w:rFonts w:ascii="Arial" w:cs="Arial" w:eastAsia="Arial" w:hAnsi="Arial"/>
          <w:sz w:val="22"/>
          <w:szCs w:val="22"/>
          <w:color w:val="000000"/>
        </w:rPr>
        <w:t>46</w:t>
      </w:r>
    </w:p>
    <w:p>
      <w:pPr>
        <w:spacing w:after="0" w:line="3" w:lineRule="exact"/>
        <w:rPr>
          <w:rFonts w:ascii="Arial" w:cs="Arial" w:eastAsia="Arial" w:hAnsi="Arial"/>
          <w:sz w:val="22"/>
          <w:szCs w:val="22"/>
          <w:color w:val="0000FF"/>
        </w:rPr>
      </w:pPr>
    </w:p>
    <w:p>
      <w:pPr>
        <w:ind w:left="1540" w:right="3539" w:hanging="5321"/>
        <w:spacing w:after="0" w:line="571" w:lineRule="auto"/>
        <w:tabs>
          <w:tab w:leader="none" w:pos="1520" w:val="left"/>
        </w:tabs>
        <w:rPr>
          <w:rFonts w:ascii="Arial" w:cs="Arial" w:eastAsia="Arial" w:hAnsi="Arial"/>
          <w:sz w:val="22"/>
          <w:szCs w:val="22"/>
          <w:color w:val="0000FF"/>
        </w:rPr>
      </w:pPr>
      <w:hyperlink w:anchor="page251">
        <w:r>
          <w:rPr>
            <w:rFonts w:ascii="Arial" w:cs="Arial" w:eastAsia="Arial" w:hAnsi="Arial"/>
            <w:sz w:val="22"/>
            <w:szCs w:val="22"/>
            <w:u w:val="single" w:color="auto"/>
            <w:color w:val="0000FF"/>
          </w:rPr>
          <w:t>Section 6.6</w:t>
        </w:r>
      </w:hyperlink>
      <w:r>
        <w:rPr>
          <w:rFonts w:ascii="Arial" w:cs="Arial" w:eastAsia="Arial" w:hAnsi="Arial"/>
          <w:sz w:val="22"/>
          <w:szCs w:val="22"/>
          <w:color w:val="0000FF"/>
        </w:rPr>
        <w:tab/>
      </w:r>
      <w:r>
        <w:rPr>
          <w:rFonts w:ascii="Arial" w:cs="Arial" w:eastAsia="Arial" w:hAnsi="Arial"/>
          <w:sz w:val="22"/>
          <w:szCs w:val="22"/>
          <w:u w:val="single" w:color="auto"/>
          <w:color w:val="0000FF"/>
        </w:rPr>
        <w:t xml:space="preserve">Company Reimbursement; Fund Formation Expenses. </w:t>
      </w:r>
      <w:r>
        <w:rPr>
          <w:rFonts w:ascii="Arial" w:cs="Arial" w:eastAsia="Arial" w:hAnsi="Arial"/>
          <w:sz w:val="22"/>
          <w:szCs w:val="22"/>
          <w:color w:val="000000"/>
        </w:rPr>
        <w:t>46</w:t>
      </w:r>
      <w:r>
        <w:rPr>
          <w:rFonts w:ascii="Arial" w:cs="Arial" w:eastAsia="Arial" w:hAnsi="Arial"/>
          <w:sz w:val="22"/>
          <w:szCs w:val="22"/>
          <w:u w:val="single" w:color="auto"/>
          <w:color w:val="0000FF"/>
        </w:rPr>
        <w:t xml:space="preserve"> </w:t>
      </w:r>
      <w:r>
        <w:rPr>
          <w:rFonts w:ascii="Arial" w:cs="Arial" w:eastAsia="Arial" w:hAnsi="Arial"/>
          <w:sz w:val="22"/>
          <w:szCs w:val="22"/>
          <w:color w:val="000000"/>
        </w:rPr>
        <w:t>ii</w:t>
      </w:r>
    </w:p>
    <w:p>
      <w:pPr>
        <w:sectPr>
          <w:pgSz w:w="11900" w:h="16838" w:orient="portrait"/>
          <w:cols w:equalWidth="0" w:num="1">
            <w:col w:w="10219"/>
          </w:cols>
          <w:pgMar w:left="240" w:top="604" w:right="1440"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960" w:type="dxa"/>
            <w:vAlign w:val="bottom"/>
            <w:tcBorders>
              <w:bottom w:val="single" w:sz="8" w:color="0000FF"/>
            </w:tcBorders>
          </w:tcPr>
          <w:p>
            <w:pPr>
              <w:spacing w:after="0"/>
              <w:rPr>
                <w:rFonts w:ascii="Arial" w:cs="Arial" w:eastAsia="Arial" w:hAnsi="Arial"/>
                <w:sz w:val="22"/>
                <w:szCs w:val="22"/>
                <w:color w:val="0000FF"/>
                <w:w w:val="83"/>
              </w:rPr>
            </w:pPr>
            <w:hyperlink w:anchor="page251">
              <w:r>
                <w:rPr>
                  <w:rFonts w:ascii="Arial" w:cs="Arial" w:eastAsia="Arial" w:hAnsi="Arial"/>
                  <w:sz w:val="22"/>
                  <w:szCs w:val="22"/>
                  <w:color w:val="0000FF"/>
                  <w:w w:val="83"/>
                </w:rPr>
                <w:t>Section 6.7</w:t>
              </w:r>
            </w:hyperlink>
          </w:p>
        </w:tc>
        <w:tc>
          <w:tcPr>
            <w:tcW w:w="240" w:type="dxa"/>
            <w:vAlign w:val="bottom"/>
          </w:tcPr>
          <w:p>
            <w:pPr>
              <w:spacing w:after="0"/>
              <w:rPr>
                <w:sz w:val="21"/>
                <w:szCs w:val="21"/>
                <w:color w:val="auto"/>
              </w:rPr>
            </w:pPr>
          </w:p>
        </w:tc>
        <w:tc>
          <w:tcPr>
            <w:tcW w:w="780" w:type="dxa"/>
            <w:vAlign w:val="bottom"/>
            <w:tcBorders>
              <w:bottom w:val="single" w:sz="8" w:color="0000FF"/>
            </w:tcBorders>
            <w:gridSpan w:val="3"/>
          </w:tcPr>
          <w:p>
            <w:pPr>
              <w:spacing w:after="0"/>
              <w:rPr>
                <w:sz w:val="20"/>
                <w:szCs w:val="20"/>
                <w:color w:val="auto"/>
              </w:rPr>
            </w:pPr>
            <w:r>
              <w:rPr>
                <w:rFonts w:ascii="Arial" w:cs="Arial" w:eastAsia="Arial" w:hAnsi="Arial"/>
                <w:sz w:val="22"/>
                <w:szCs w:val="22"/>
                <w:color w:val="0000FF"/>
                <w:w w:val="92"/>
              </w:rPr>
              <w:t>Officers.</w:t>
            </w:r>
          </w:p>
        </w:tc>
        <w:tc>
          <w:tcPr>
            <w:tcW w:w="460" w:type="dxa"/>
            <w:vAlign w:val="bottom"/>
            <w:gridSpan w:val="2"/>
          </w:tcPr>
          <w:p>
            <w:pPr>
              <w:jc w:val="right"/>
              <w:ind w:right="40"/>
              <w:spacing w:after="0"/>
              <w:rPr>
                <w:sz w:val="20"/>
                <w:szCs w:val="20"/>
                <w:color w:val="auto"/>
              </w:rPr>
            </w:pPr>
            <w:r>
              <w:rPr>
                <w:rFonts w:ascii="Arial" w:cs="Arial" w:eastAsia="Arial" w:hAnsi="Arial"/>
                <w:sz w:val="22"/>
                <w:szCs w:val="22"/>
                <w:color w:val="auto"/>
              </w:rPr>
              <w:t>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345"/>
        </w:trPr>
        <w:tc>
          <w:tcPr>
            <w:tcW w:w="340" w:type="dxa"/>
            <w:vAlign w:val="bottom"/>
          </w:tcPr>
          <w:p>
            <w:pPr>
              <w:spacing w:after="0"/>
              <w:rPr>
                <w:sz w:val="24"/>
                <w:szCs w:val="24"/>
                <w:color w:val="auto"/>
              </w:rPr>
            </w:pPr>
          </w:p>
        </w:tc>
        <w:tc>
          <w:tcPr>
            <w:tcW w:w="6780" w:type="dxa"/>
            <w:vAlign w:val="bottom"/>
            <w:gridSpan w:val="20"/>
          </w:tcPr>
          <w:p>
            <w:pPr>
              <w:spacing w:after="0"/>
              <w:rPr>
                <w:rFonts w:ascii="Arial" w:cs="Arial" w:eastAsia="Arial" w:hAnsi="Arial"/>
                <w:sz w:val="22"/>
                <w:szCs w:val="22"/>
                <w:color w:val="0000FF"/>
              </w:rPr>
            </w:pPr>
            <w:hyperlink w:anchor="page252">
              <w:r>
                <w:rPr>
                  <w:rFonts w:ascii="Arial" w:cs="Arial" w:eastAsia="Arial" w:hAnsi="Arial"/>
                  <w:sz w:val="22"/>
                  <w:szCs w:val="22"/>
                  <w:color w:val="0000FF"/>
                </w:rPr>
                <w:t xml:space="preserve">Section 6.8  </w:t>
              </w:r>
            </w:hyperlink>
            <w:r>
              <w:rPr>
                <w:rFonts w:ascii="Arial" w:cs="Arial" w:eastAsia="Arial" w:hAnsi="Arial"/>
                <w:sz w:val="22"/>
                <w:szCs w:val="22"/>
                <w:color w:val="0000FF"/>
              </w:rPr>
              <w:t xml:space="preserve">Approved Budgets.  </w:t>
            </w:r>
            <w:r>
              <w:rPr>
                <w:rFonts w:ascii="Arial" w:cs="Arial" w:eastAsia="Arial" w:hAnsi="Arial"/>
                <w:sz w:val="22"/>
                <w:szCs w:val="22"/>
                <w:color w:val="000000"/>
              </w:rPr>
              <w:t>48</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7120" w:type="dxa"/>
            <w:vAlign w:val="bottom"/>
            <w:gridSpan w:val="21"/>
          </w:tcPr>
          <w:p>
            <w:pPr>
              <w:spacing w:after="0"/>
              <w:rPr>
                <w:rFonts w:ascii="Arial" w:cs="Arial" w:eastAsia="Arial" w:hAnsi="Arial"/>
                <w:sz w:val="22"/>
                <w:szCs w:val="22"/>
                <w:color w:val="0000FF"/>
              </w:rPr>
            </w:pPr>
            <w:hyperlink w:anchor="page252">
              <w:r>
                <w:rPr>
                  <w:rFonts w:ascii="Arial" w:cs="Arial" w:eastAsia="Arial" w:hAnsi="Arial"/>
                  <w:sz w:val="22"/>
                  <w:szCs w:val="22"/>
                  <w:color w:val="0000FF"/>
                </w:rPr>
                <w:t>ARTICLE VII RIGHTS AND RESPONSIBILITIES OF MEMBERS</w:t>
              </w:r>
            </w:hyperlink>
            <w:r>
              <w:rPr>
                <w:rFonts w:ascii="Arial" w:cs="Arial" w:eastAsia="Arial" w:hAnsi="Arial"/>
                <w:sz w:val="22"/>
                <w:szCs w:val="22"/>
                <w:color w:val="000000"/>
              </w:rPr>
              <w:t>48</w:t>
            </w:r>
          </w:p>
        </w:tc>
      </w:tr>
      <w:tr>
        <w:trPr>
          <w:trHeight w:val="345"/>
        </w:trPr>
        <w:tc>
          <w:tcPr>
            <w:tcW w:w="340" w:type="dxa"/>
            <w:vAlign w:val="bottom"/>
            <w:tcBorders>
              <w:top w:val="single" w:sz="8" w:color="0000FF"/>
            </w:tcBorders>
          </w:tcPr>
          <w:p>
            <w:pPr>
              <w:spacing w:after="0"/>
              <w:rPr>
                <w:sz w:val="24"/>
                <w:szCs w:val="24"/>
                <w:color w:val="auto"/>
              </w:rPr>
            </w:pPr>
          </w:p>
        </w:tc>
        <w:tc>
          <w:tcPr>
            <w:tcW w:w="960" w:type="dxa"/>
            <w:vAlign w:val="bottom"/>
            <w:tcBorders>
              <w:top w:val="single" w:sz="8" w:color="0000FF"/>
              <w:bottom w:val="single" w:sz="8" w:color="0000FF"/>
            </w:tcBorders>
          </w:tcPr>
          <w:p>
            <w:pPr>
              <w:spacing w:after="0"/>
              <w:rPr>
                <w:rFonts w:ascii="Arial" w:cs="Arial" w:eastAsia="Arial" w:hAnsi="Arial"/>
                <w:sz w:val="22"/>
                <w:szCs w:val="22"/>
                <w:color w:val="0000FF"/>
                <w:w w:val="83"/>
              </w:rPr>
            </w:pPr>
            <w:hyperlink w:anchor="page253">
              <w:r>
                <w:rPr>
                  <w:rFonts w:ascii="Arial" w:cs="Arial" w:eastAsia="Arial" w:hAnsi="Arial"/>
                  <w:sz w:val="22"/>
                  <w:szCs w:val="22"/>
                  <w:color w:val="0000FF"/>
                  <w:w w:val="83"/>
                </w:rPr>
                <w:t>Section 7.1</w:t>
              </w:r>
            </w:hyperlink>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2"/>
                <w:szCs w:val="22"/>
                <w:color w:val="0000FF"/>
                <w:w w:val="87"/>
              </w:rPr>
              <w:t>General.</w:t>
            </w: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gridSpan w:val="2"/>
          </w:tcPr>
          <w:p>
            <w:pPr>
              <w:jc w:val="right"/>
              <w:ind w:right="60"/>
              <w:spacing w:after="0"/>
              <w:rPr>
                <w:sz w:val="20"/>
                <w:szCs w:val="20"/>
                <w:color w:val="auto"/>
              </w:rPr>
            </w:pPr>
            <w:r>
              <w:rPr>
                <w:rFonts w:ascii="Arial" w:cs="Arial" w:eastAsia="Arial" w:hAnsi="Arial"/>
                <w:sz w:val="22"/>
                <w:szCs w:val="22"/>
                <w:color w:val="auto"/>
              </w:rPr>
              <w:t>48</w:t>
            </w: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6780" w:type="dxa"/>
            <w:vAlign w:val="bottom"/>
            <w:gridSpan w:val="20"/>
          </w:tcPr>
          <w:p>
            <w:pPr>
              <w:spacing w:after="0"/>
              <w:rPr>
                <w:rFonts w:ascii="Arial" w:cs="Arial" w:eastAsia="Arial" w:hAnsi="Arial"/>
                <w:sz w:val="22"/>
                <w:szCs w:val="22"/>
                <w:color w:val="0000FF"/>
              </w:rPr>
            </w:pPr>
            <w:hyperlink w:anchor="page253">
              <w:r>
                <w:rPr>
                  <w:rFonts w:ascii="Arial" w:cs="Arial" w:eastAsia="Arial" w:hAnsi="Arial"/>
                  <w:sz w:val="22"/>
                  <w:szCs w:val="22"/>
                  <w:color w:val="0000FF"/>
                </w:rPr>
                <w:t xml:space="preserve">Section 7.2  </w:t>
              </w:r>
            </w:hyperlink>
            <w:r>
              <w:rPr>
                <w:rFonts w:ascii="Arial" w:cs="Arial" w:eastAsia="Arial" w:hAnsi="Arial"/>
                <w:sz w:val="22"/>
                <w:szCs w:val="22"/>
                <w:color w:val="0000FF"/>
              </w:rPr>
              <w:t xml:space="preserve">Member Consent.  </w:t>
            </w:r>
            <w:r>
              <w:rPr>
                <w:rFonts w:ascii="Arial" w:cs="Arial" w:eastAsia="Arial" w:hAnsi="Arial"/>
                <w:sz w:val="22"/>
                <w:szCs w:val="22"/>
                <w:color w:val="000000"/>
              </w:rPr>
              <w:t>49</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6780" w:type="dxa"/>
            <w:vAlign w:val="bottom"/>
            <w:gridSpan w:val="20"/>
          </w:tcPr>
          <w:p>
            <w:pPr>
              <w:spacing w:after="0"/>
              <w:rPr>
                <w:rFonts w:ascii="Arial" w:cs="Arial" w:eastAsia="Arial" w:hAnsi="Arial"/>
                <w:sz w:val="22"/>
                <w:szCs w:val="22"/>
                <w:color w:val="0000FF"/>
              </w:rPr>
            </w:pPr>
            <w:hyperlink w:anchor="page253">
              <w:r>
                <w:rPr>
                  <w:rFonts w:ascii="Arial" w:cs="Arial" w:eastAsia="Arial" w:hAnsi="Arial"/>
                  <w:sz w:val="22"/>
                  <w:szCs w:val="22"/>
                  <w:color w:val="0000FF"/>
                </w:rPr>
                <w:t xml:space="preserve">Section 7.3  </w:t>
              </w:r>
            </w:hyperlink>
            <w:r>
              <w:rPr>
                <w:rFonts w:ascii="Arial" w:cs="Arial" w:eastAsia="Arial" w:hAnsi="Arial"/>
                <w:sz w:val="22"/>
                <w:szCs w:val="22"/>
                <w:color w:val="0000FF"/>
              </w:rPr>
              <w:t xml:space="preserve">Member Liability.  </w:t>
            </w:r>
            <w:r>
              <w:rPr>
                <w:rFonts w:ascii="Arial" w:cs="Arial" w:eastAsia="Arial" w:hAnsi="Arial"/>
                <w:sz w:val="22"/>
                <w:szCs w:val="22"/>
                <w:color w:val="000000"/>
              </w:rPr>
              <w:t>49</w:t>
            </w:r>
          </w:p>
        </w:tc>
      </w:tr>
      <w:tr>
        <w:trPr>
          <w:trHeight w:val="345"/>
        </w:trPr>
        <w:tc>
          <w:tcPr>
            <w:tcW w:w="340" w:type="dxa"/>
            <w:vAlign w:val="bottom"/>
          </w:tcPr>
          <w:p>
            <w:pPr>
              <w:spacing w:after="0"/>
              <w:rPr>
                <w:sz w:val="24"/>
                <w:szCs w:val="24"/>
                <w:color w:val="auto"/>
              </w:rPr>
            </w:pPr>
          </w:p>
        </w:tc>
        <w:tc>
          <w:tcPr>
            <w:tcW w:w="960" w:type="dxa"/>
            <w:vAlign w:val="bottom"/>
            <w:tcBorders>
              <w:top w:val="single" w:sz="8" w:color="0000FF"/>
              <w:bottom w:val="single" w:sz="8" w:color="0000FF"/>
            </w:tcBorders>
          </w:tcPr>
          <w:p>
            <w:pPr>
              <w:spacing w:after="0"/>
              <w:rPr>
                <w:rFonts w:ascii="Arial" w:cs="Arial" w:eastAsia="Arial" w:hAnsi="Arial"/>
                <w:sz w:val="22"/>
                <w:szCs w:val="22"/>
                <w:color w:val="0000FF"/>
                <w:w w:val="83"/>
              </w:rPr>
            </w:pPr>
            <w:hyperlink w:anchor="page253">
              <w:r>
                <w:rPr>
                  <w:rFonts w:ascii="Arial" w:cs="Arial" w:eastAsia="Arial" w:hAnsi="Arial"/>
                  <w:sz w:val="22"/>
                  <w:szCs w:val="22"/>
                  <w:color w:val="0000FF"/>
                  <w:w w:val="83"/>
                </w:rPr>
                <w:t>Section 7.4</w:t>
              </w:r>
            </w:hyperlink>
          </w:p>
        </w:tc>
        <w:tc>
          <w:tcPr>
            <w:tcW w:w="240" w:type="dxa"/>
            <w:vAlign w:val="bottom"/>
          </w:tcPr>
          <w:p>
            <w:pPr>
              <w:spacing w:after="0"/>
              <w:rPr>
                <w:sz w:val="24"/>
                <w:szCs w:val="24"/>
                <w:color w:val="auto"/>
              </w:rPr>
            </w:pPr>
          </w:p>
        </w:tc>
        <w:tc>
          <w:tcPr>
            <w:tcW w:w="10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22"/>
                <w:szCs w:val="22"/>
                <w:color w:val="0000FF"/>
                <w:w w:val="92"/>
              </w:rPr>
              <w:t>Withdrawal.</w:t>
            </w:r>
          </w:p>
        </w:tc>
        <w:tc>
          <w:tcPr>
            <w:tcW w:w="180" w:type="dxa"/>
            <w:vAlign w:val="bottom"/>
            <w:tcBorders>
              <w:top w:val="single" w:sz="8" w:color="0000FF"/>
            </w:tcBorders>
            <w:gridSpan w:val="2"/>
          </w:tcPr>
          <w:p>
            <w:pPr>
              <w:spacing w:after="0"/>
              <w:rPr>
                <w:sz w:val="24"/>
                <w:szCs w:val="24"/>
                <w:color w:val="auto"/>
              </w:rPr>
            </w:pPr>
          </w:p>
        </w:tc>
        <w:tc>
          <w:tcPr>
            <w:tcW w:w="300" w:type="dxa"/>
            <w:vAlign w:val="bottom"/>
            <w:tcBorders>
              <w:top w:val="single" w:sz="8" w:color="0000FF"/>
            </w:tcBorders>
            <w:gridSpan w:val="2"/>
          </w:tcPr>
          <w:p>
            <w:pPr>
              <w:jc w:val="right"/>
              <w:ind w:right="60"/>
              <w:spacing w:after="0"/>
              <w:rPr>
                <w:sz w:val="20"/>
                <w:szCs w:val="20"/>
                <w:color w:val="auto"/>
              </w:rPr>
            </w:pPr>
            <w:r>
              <w:rPr>
                <w:rFonts w:ascii="Arial" w:cs="Arial" w:eastAsia="Arial" w:hAnsi="Arial"/>
                <w:sz w:val="22"/>
                <w:szCs w:val="22"/>
                <w:color w:val="auto"/>
                <w:w w:val="89"/>
              </w:rPr>
              <w:t>50</w:t>
            </w: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6780" w:type="dxa"/>
            <w:vAlign w:val="bottom"/>
            <w:gridSpan w:val="20"/>
          </w:tcPr>
          <w:p>
            <w:pPr>
              <w:spacing w:after="0"/>
              <w:rPr>
                <w:rFonts w:ascii="Arial" w:cs="Arial" w:eastAsia="Arial" w:hAnsi="Arial"/>
                <w:sz w:val="22"/>
                <w:szCs w:val="22"/>
                <w:color w:val="0000FF"/>
              </w:rPr>
            </w:pPr>
            <w:hyperlink w:anchor="page253">
              <w:r>
                <w:rPr>
                  <w:rFonts w:ascii="Arial" w:cs="Arial" w:eastAsia="Arial" w:hAnsi="Arial"/>
                  <w:sz w:val="22"/>
                  <w:szCs w:val="22"/>
                  <w:color w:val="0000FF"/>
                </w:rPr>
                <w:t xml:space="preserve">Section 7.5  </w:t>
              </w:r>
            </w:hyperlink>
            <w:r>
              <w:rPr>
                <w:rFonts w:ascii="Arial" w:cs="Arial" w:eastAsia="Arial" w:hAnsi="Arial"/>
                <w:sz w:val="22"/>
                <w:szCs w:val="22"/>
                <w:color w:val="0000FF"/>
              </w:rPr>
              <w:t xml:space="preserve">Member Compensation.  </w:t>
            </w:r>
            <w:r>
              <w:rPr>
                <w:rFonts w:ascii="Arial" w:cs="Arial" w:eastAsia="Arial" w:hAnsi="Arial"/>
                <w:sz w:val="22"/>
                <w:szCs w:val="22"/>
                <w:color w:val="000000"/>
              </w:rPr>
              <w:t>50</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6780" w:type="dxa"/>
            <w:vAlign w:val="bottom"/>
            <w:gridSpan w:val="20"/>
          </w:tcPr>
          <w:p>
            <w:pPr>
              <w:spacing w:after="0"/>
              <w:rPr>
                <w:rFonts w:ascii="Arial" w:cs="Arial" w:eastAsia="Arial" w:hAnsi="Arial"/>
                <w:sz w:val="22"/>
                <w:szCs w:val="22"/>
                <w:color w:val="0000FF"/>
              </w:rPr>
            </w:pPr>
            <w:hyperlink w:anchor="page253">
              <w:r>
                <w:rPr>
                  <w:rFonts w:ascii="Arial" w:cs="Arial" w:eastAsia="Arial" w:hAnsi="Arial"/>
                  <w:sz w:val="22"/>
                  <w:szCs w:val="22"/>
                  <w:color w:val="0000FF"/>
                </w:rPr>
                <w:t xml:space="preserve">Section 7.6  </w:t>
              </w:r>
            </w:hyperlink>
            <w:r>
              <w:rPr>
                <w:rFonts w:ascii="Arial" w:cs="Arial" w:eastAsia="Arial" w:hAnsi="Arial"/>
                <w:sz w:val="22"/>
                <w:szCs w:val="22"/>
                <w:color w:val="0000FF"/>
              </w:rPr>
              <w:t xml:space="preserve">Other Ventures.  </w:t>
            </w:r>
            <w:r>
              <w:rPr>
                <w:rFonts w:ascii="Arial" w:cs="Arial" w:eastAsia="Arial" w:hAnsi="Arial"/>
                <w:sz w:val="22"/>
                <w:szCs w:val="22"/>
                <w:color w:val="000000"/>
              </w:rPr>
              <w:t>50</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6780" w:type="dxa"/>
            <w:vAlign w:val="bottom"/>
            <w:gridSpan w:val="20"/>
          </w:tcPr>
          <w:p>
            <w:pPr>
              <w:spacing w:after="0"/>
              <w:rPr>
                <w:rFonts w:ascii="Arial" w:cs="Arial" w:eastAsia="Arial" w:hAnsi="Arial"/>
                <w:sz w:val="22"/>
                <w:szCs w:val="22"/>
                <w:color w:val="0000FF"/>
              </w:rPr>
            </w:pPr>
            <w:hyperlink w:anchor="page254">
              <w:r>
                <w:rPr>
                  <w:rFonts w:ascii="Arial" w:cs="Arial" w:eastAsia="Arial" w:hAnsi="Arial"/>
                  <w:sz w:val="22"/>
                  <w:szCs w:val="22"/>
                  <w:color w:val="0000FF"/>
                </w:rPr>
                <w:t xml:space="preserve">Section 7.7  </w:t>
              </w:r>
            </w:hyperlink>
            <w:r>
              <w:rPr>
                <w:rFonts w:ascii="Arial" w:cs="Arial" w:eastAsia="Arial" w:hAnsi="Arial"/>
                <w:sz w:val="22"/>
                <w:szCs w:val="22"/>
                <w:color w:val="0000FF"/>
              </w:rPr>
              <w:t xml:space="preserve">Confidential Information.  </w:t>
            </w:r>
            <w:r>
              <w:rPr>
                <w:rFonts w:ascii="Arial" w:cs="Arial" w:eastAsia="Arial" w:hAnsi="Arial"/>
                <w:sz w:val="22"/>
                <w:szCs w:val="22"/>
                <w:color w:val="000000"/>
              </w:rPr>
              <w:t>50</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6780" w:type="dxa"/>
            <w:vAlign w:val="bottom"/>
            <w:gridSpan w:val="20"/>
          </w:tcPr>
          <w:p>
            <w:pPr>
              <w:spacing w:after="0"/>
              <w:rPr>
                <w:rFonts w:ascii="Arial" w:cs="Arial" w:eastAsia="Arial" w:hAnsi="Arial"/>
                <w:sz w:val="22"/>
                <w:szCs w:val="22"/>
                <w:color w:val="0000FF"/>
              </w:rPr>
            </w:pPr>
            <w:hyperlink w:anchor="page255">
              <w:r>
                <w:rPr>
                  <w:rFonts w:ascii="Arial" w:cs="Arial" w:eastAsia="Arial" w:hAnsi="Arial"/>
                  <w:sz w:val="22"/>
                  <w:szCs w:val="22"/>
                  <w:color w:val="0000FF"/>
                </w:rPr>
                <w:t xml:space="preserve">Section 7.8  </w:t>
              </w:r>
            </w:hyperlink>
            <w:r>
              <w:rPr>
                <w:rFonts w:ascii="Arial" w:cs="Arial" w:eastAsia="Arial" w:hAnsi="Arial"/>
                <w:sz w:val="22"/>
                <w:szCs w:val="22"/>
                <w:color w:val="0000FF"/>
              </w:rPr>
              <w:t xml:space="preserve">Company Property.  </w:t>
            </w:r>
            <w:r>
              <w:rPr>
                <w:rFonts w:ascii="Arial" w:cs="Arial" w:eastAsia="Arial" w:hAnsi="Arial"/>
                <w:sz w:val="22"/>
                <w:szCs w:val="22"/>
                <w:color w:val="000000"/>
              </w:rPr>
              <w:t>53</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7120" w:type="dxa"/>
            <w:vAlign w:val="bottom"/>
            <w:gridSpan w:val="21"/>
          </w:tcPr>
          <w:p>
            <w:pPr>
              <w:spacing w:after="0"/>
              <w:rPr>
                <w:rFonts w:ascii="Arial" w:cs="Arial" w:eastAsia="Arial" w:hAnsi="Arial"/>
                <w:sz w:val="22"/>
                <w:szCs w:val="22"/>
                <w:color w:val="0000FF"/>
              </w:rPr>
            </w:pPr>
            <w:hyperlink w:anchor="page255">
              <w:r>
                <w:rPr>
                  <w:rFonts w:ascii="Arial" w:cs="Arial" w:eastAsia="Arial" w:hAnsi="Arial"/>
                  <w:sz w:val="22"/>
                  <w:szCs w:val="22"/>
                  <w:color w:val="0000FF"/>
                </w:rPr>
                <w:t>ARTICLE VIII ADMINISTRATIVE AND TAX MATTERS</w:t>
              </w:r>
            </w:hyperlink>
            <w:r>
              <w:rPr>
                <w:rFonts w:ascii="Arial" w:cs="Arial" w:eastAsia="Arial" w:hAnsi="Arial"/>
                <w:sz w:val="22"/>
                <w:szCs w:val="22"/>
                <w:color w:val="000000"/>
              </w:rPr>
              <w:t>53</w:t>
            </w:r>
          </w:p>
        </w:tc>
      </w:tr>
      <w:tr>
        <w:trPr>
          <w:trHeight w:val="345"/>
        </w:trPr>
        <w:tc>
          <w:tcPr>
            <w:tcW w:w="340" w:type="dxa"/>
            <w:vAlign w:val="bottom"/>
            <w:tcBorders>
              <w:top w:val="single" w:sz="8" w:color="0000FF"/>
            </w:tcBorders>
          </w:tcPr>
          <w:p>
            <w:pPr>
              <w:spacing w:after="0"/>
              <w:rPr>
                <w:sz w:val="24"/>
                <w:szCs w:val="24"/>
                <w:color w:val="auto"/>
              </w:rPr>
            </w:pPr>
          </w:p>
        </w:tc>
        <w:tc>
          <w:tcPr>
            <w:tcW w:w="4900" w:type="dxa"/>
            <w:vAlign w:val="bottom"/>
            <w:tcBorders>
              <w:top w:val="single" w:sz="8" w:color="0000FF"/>
            </w:tcBorders>
            <w:gridSpan w:val="17"/>
          </w:tcPr>
          <w:p>
            <w:pPr>
              <w:spacing w:after="0"/>
              <w:rPr>
                <w:rFonts w:ascii="Arial" w:cs="Arial" w:eastAsia="Arial" w:hAnsi="Arial"/>
                <w:sz w:val="22"/>
                <w:szCs w:val="22"/>
                <w:color w:val="0000FF"/>
              </w:rPr>
            </w:pPr>
            <w:hyperlink w:anchor="page255">
              <w:r>
                <w:rPr>
                  <w:rFonts w:ascii="Arial" w:cs="Arial" w:eastAsia="Arial" w:hAnsi="Arial"/>
                  <w:sz w:val="22"/>
                  <w:szCs w:val="22"/>
                  <w:color w:val="0000FF"/>
                </w:rPr>
                <w:t xml:space="preserve">Section 8.1  </w:t>
              </w:r>
            </w:hyperlink>
            <w:r>
              <w:rPr>
                <w:rFonts w:ascii="Arial" w:cs="Arial" w:eastAsia="Arial" w:hAnsi="Arial"/>
                <w:sz w:val="22"/>
                <w:szCs w:val="22"/>
                <w:color w:val="0000FF"/>
              </w:rPr>
              <w:t xml:space="preserve">Intent for Income Tax Purposes.  </w:t>
            </w:r>
            <w:r>
              <w:rPr>
                <w:rFonts w:ascii="Arial" w:cs="Arial" w:eastAsia="Arial" w:hAnsi="Arial"/>
                <w:sz w:val="22"/>
                <w:szCs w:val="22"/>
                <w:color w:val="000000"/>
              </w:rPr>
              <w:t>53</w:t>
            </w:r>
          </w:p>
        </w:tc>
        <w:tc>
          <w:tcPr>
            <w:tcW w:w="1880" w:type="dxa"/>
            <w:vAlign w:val="bottom"/>
            <w:gridSpan w:val="3"/>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6780" w:type="dxa"/>
            <w:vAlign w:val="bottom"/>
            <w:gridSpan w:val="20"/>
          </w:tcPr>
          <w:p>
            <w:pPr>
              <w:spacing w:after="0"/>
              <w:rPr>
                <w:rFonts w:ascii="Arial" w:cs="Arial" w:eastAsia="Arial" w:hAnsi="Arial"/>
                <w:sz w:val="22"/>
                <w:szCs w:val="22"/>
                <w:color w:val="0000FF"/>
                <w:w w:val="91"/>
              </w:rPr>
            </w:pPr>
            <w:hyperlink w:anchor="page255">
              <w:r>
                <w:rPr>
                  <w:rFonts w:ascii="Arial" w:cs="Arial" w:eastAsia="Arial" w:hAnsi="Arial"/>
                  <w:sz w:val="22"/>
                  <w:szCs w:val="22"/>
                  <w:color w:val="0000FF"/>
                  <w:w w:val="91"/>
                </w:rPr>
                <w:t xml:space="preserve">Section 8.2  </w:t>
              </w:r>
            </w:hyperlink>
            <w:r>
              <w:rPr>
                <w:rFonts w:ascii="Arial" w:cs="Arial" w:eastAsia="Arial" w:hAnsi="Arial"/>
                <w:sz w:val="22"/>
                <w:szCs w:val="22"/>
                <w:color w:val="0000FF"/>
                <w:w w:val="91"/>
              </w:rPr>
              <w:t xml:space="preserve">Books and Records; Bank Accounts; Company Procedures.  </w:t>
            </w:r>
            <w:r>
              <w:rPr>
                <w:rFonts w:ascii="Arial" w:cs="Arial" w:eastAsia="Arial" w:hAnsi="Arial"/>
                <w:sz w:val="22"/>
                <w:szCs w:val="22"/>
                <w:color w:val="000000"/>
                <w:w w:val="91"/>
              </w:rPr>
              <w:t>53</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6780" w:type="dxa"/>
            <w:vAlign w:val="bottom"/>
            <w:gridSpan w:val="20"/>
          </w:tcPr>
          <w:p>
            <w:pPr>
              <w:spacing w:after="0"/>
              <w:rPr>
                <w:rFonts w:ascii="Arial" w:cs="Arial" w:eastAsia="Arial" w:hAnsi="Arial"/>
                <w:sz w:val="22"/>
                <w:szCs w:val="22"/>
                <w:color w:val="0000FF"/>
              </w:rPr>
            </w:pPr>
            <w:hyperlink w:anchor="page256">
              <w:r>
                <w:rPr>
                  <w:rFonts w:ascii="Arial" w:cs="Arial" w:eastAsia="Arial" w:hAnsi="Arial"/>
                  <w:sz w:val="22"/>
                  <w:szCs w:val="22"/>
                  <w:color w:val="0000FF"/>
                </w:rPr>
                <w:t xml:space="preserve">Section 8.3  </w:t>
              </w:r>
            </w:hyperlink>
            <w:r>
              <w:rPr>
                <w:rFonts w:ascii="Arial" w:cs="Arial" w:eastAsia="Arial" w:hAnsi="Arial"/>
                <w:sz w:val="22"/>
                <w:szCs w:val="22"/>
                <w:color w:val="0000FF"/>
              </w:rPr>
              <w:t xml:space="preserve">Information and Access Rights.  </w:t>
            </w:r>
            <w:r>
              <w:rPr>
                <w:rFonts w:ascii="Arial" w:cs="Arial" w:eastAsia="Arial" w:hAnsi="Arial"/>
                <w:sz w:val="22"/>
                <w:szCs w:val="22"/>
                <w:color w:val="000000"/>
              </w:rPr>
              <w:t>55</w:t>
            </w:r>
          </w:p>
        </w:tc>
      </w:tr>
      <w:tr>
        <w:trPr>
          <w:trHeight w:val="345"/>
        </w:trPr>
        <w:tc>
          <w:tcPr>
            <w:tcW w:w="340" w:type="dxa"/>
            <w:vAlign w:val="bottom"/>
          </w:tcPr>
          <w:p>
            <w:pPr>
              <w:spacing w:after="0"/>
              <w:rPr>
                <w:sz w:val="24"/>
                <w:szCs w:val="24"/>
                <w:color w:val="auto"/>
              </w:rPr>
            </w:pPr>
          </w:p>
        </w:tc>
        <w:tc>
          <w:tcPr>
            <w:tcW w:w="960" w:type="dxa"/>
            <w:vAlign w:val="bottom"/>
            <w:tcBorders>
              <w:top w:val="single" w:sz="8" w:color="0000FF"/>
              <w:bottom w:val="single" w:sz="8" w:color="0000FF"/>
            </w:tcBorders>
          </w:tcPr>
          <w:p>
            <w:pPr>
              <w:spacing w:after="0"/>
              <w:rPr>
                <w:rFonts w:ascii="Arial" w:cs="Arial" w:eastAsia="Arial" w:hAnsi="Arial"/>
                <w:sz w:val="22"/>
                <w:szCs w:val="22"/>
                <w:color w:val="0000FF"/>
                <w:w w:val="83"/>
              </w:rPr>
            </w:pPr>
            <w:hyperlink w:anchor="page256">
              <w:r>
                <w:rPr>
                  <w:rFonts w:ascii="Arial" w:cs="Arial" w:eastAsia="Arial" w:hAnsi="Arial"/>
                  <w:sz w:val="22"/>
                  <w:szCs w:val="22"/>
                  <w:color w:val="0000FF"/>
                  <w:w w:val="83"/>
                </w:rPr>
                <w:t>Section 8.4</w:t>
              </w:r>
            </w:hyperlink>
          </w:p>
        </w:tc>
        <w:tc>
          <w:tcPr>
            <w:tcW w:w="240" w:type="dxa"/>
            <w:vAlign w:val="bottom"/>
          </w:tcPr>
          <w:p>
            <w:pPr>
              <w:spacing w:after="0"/>
              <w:rPr>
                <w:sz w:val="24"/>
                <w:szCs w:val="24"/>
                <w:color w:val="auto"/>
              </w:rPr>
            </w:pPr>
          </w:p>
        </w:tc>
        <w:tc>
          <w:tcPr>
            <w:tcW w:w="7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2"/>
                <w:szCs w:val="22"/>
                <w:color w:val="0000FF"/>
                <w:w w:val="86"/>
              </w:rPr>
              <w:t>Reports.</w:t>
            </w:r>
          </w:p>
        </w:tc>
        <w:tc>
          <w:tcPr>
            <w:tcW w:w="40" w:type="dxa"/>
            <w:vAlign w:val="bottom"/>
            <w:tcBorders>
              <w:top w:val="single" w:sz="8" w:color="0000FF"/>
            </w:tcBorders>
            <w:gridSpan w:val="2"/>
          </w:tcPr>
          <w:p>
            <w:pPr>
              <w:spacing w:after="0"/>
              <w:rPr>
                <w:sz w:val="24"/>
                <w:szCs w:val="24"/>
                <w:color w:val="auto"/>
              </w:rPr>
            </w:pPr>
          </w:p>
        </w:tc>
        <w:tc>
          <w:tcPr>
            <w:tcW w:w="460" w:type="dxa"/>
            <w:vAlign w:val="bottom"/>
            <w:tcBorders>
              <w:top w:val="single" w:sz="8" w:color="0000FF"/>
            </w:tcBorders>
            <w:gridSpan w:val="2"/>
          </w:tcPr>
          <w:p>
            <w:pPr>
              <w:jc w:val="right"/>
              <w:ind w:right="80"/>
              <w:spacing w:after="0"/>
              <w:rPr>
                <w:sz w:val="20"/>
                <w:szCs w:val="20"/>
                <w:color w:val="auto"/>
              </w:rPr>
            </w:pPr>
            <w:r>
              <w:rPr>
                <w:rFonts w:ascii="Arial" w:cs="Arial" w:eastAsia="Arial" w:hAnsi="Arial"/>
                <w:sz w:val="22"/>
                <w:szCs w:val="22"/>
                <w:color w:val="auto"/>
              </w:rPr>
              <w:t>55</w:t>
            </w: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6780" w:type="dxa"/>
            <w:vAlign w:val="bottom"/>
            <w:gridSpan w:val="20"/>
          </w:tcPr>
          <w:p>
            <w:pPr>
              <w:spacing w:after="0"/>
              <w:rPr>
                <w:rFonts w:ascii="Arial" w:cs="Arial" w:eastAsia="Arial" w:hAnsi="Arial"/>
                <w:sz w:val="22"/>
                <w:szCs w:val="22"/>
                <w:color w:val="0000FF"/>
              </w:rPr>
            </w:pPr>
            <w:hyperlink w:anchor="page257">
              <w:r>
                <w:rPr>
                  <w:rFonts w:ascii="Arial" w:cs="Arial" w:eastAsia="Arial" w:hAnsi="Arial"/>
                  <w:sz w:val="22"/>
                  <w:szCs w:val="22"/>
                  <w:color w:val="0000FF"/>
                </w:rPr>
                <w:t xml:space="preserve">Section 8.5  </w:t>
              </w:r>
            </w:hyperlink>
            <w:r>
              <w:rPr>
                <w:rFonts w:ascii="Arial" w:cs="Arial" w:eastAsia="Arial" w:hAnsi="Arial"/>
                <w:sz w:val="22"/>
                <w:szCs w:val="22"/>
                <w:color w:val="0000FF"/>
              </w:rPr>
              <w:t xml:space="preserve">Permitted Investments.  </w:t>
            </w:r>
            <w:r>
              <w:rPr>
                <w:rFonts w:ascii="Arial" w:cs="Arial" w:eastAsia="Arial" w:hAnsi="Arial"/>
                <w:sz w:val="22"/>
                <w:szCs w:val="22"/>
                <w:color w:val="000000"/>
              </w:rPr>
              <w:t>56</w:t>
            </w:r>
          </w:p>
        </w:tc>
      </w:tr>
      <w:tr>
        <w:trPr>
          <w:trHeight w:val="345"/>
        </w:trPr>
        <w:tc>
          <w:tcPr>
            <w:tcW w:w="340" w:type="dxa"/>
            <w:vAlign w:val="bottom"/>
          </w:tcPr>
          <w:p>
            <w:pPr>
              <w:spacing w:after="0"/>
              <w:rPr>
                <w:sz w:val="24"/>
                <w:szCs w:val="24"/>
                <w:color w:val="auto"/>
              </w:rPr>
            </w:pPr>
          </w:p>
        </w:tc>
        <w:tc>
          <w:tcPr>
            <w:tcW w:w="960" w:type="dxa"/>
            <w:vAlign w:val="bottom"/>
            <w:tcBorders>
              <w:top w:val="single" w:sz="8" w:color="0000FF"/>
            </w:tcBorders>
          </w:tcPr>
          <w:p>
            <w:pPr>
              <w:spacing w:after="0"/>
              <w:rPr>
                <w:rFonts w:ascii="Arial" w:cs="Arial" w:eastAsia="Arial" w:hAnsi="Arial"/>
                <w:sz w:val="22"/>
                <w:szCs w:val="22"/>
                <w:color w:val="0000FF"/>
                <w:w w:val="83"/>
              </w:rPr>
            </w:pPr>
            <w:hyperlink w:anchor="page258">
              <w:r>
                <w:rPr>
                  <w:rFonts w:ascii="Arial" w:cs="Arial" w:eastAsia="Arial" w:hAnsi="Arial"/>
                  <w:sz w:val="22"/>
                  <w:szCs w:val="22"/>
                  <w:color w:val="0000FF"/>
                  <w:w w:val="83"/>
                </w:rPr>
                <w:t>Section 8.6</w:t>
              </w:r>
            </w:hyperlink>
          </w:p>
        </w:tc>
        <w:tc>
          <w:tcPr>
            <w:tcW w:w="240" w:type="dxa"/>
            <w:vAlign w:val="bottom"/>
          </w:tcPr>
          <w:p>
            <w:pPr>
              <w:spacing w:after="0"/>
              <w:rPr>
                <w:sz w:val="24"/>
                <w:szCs w:val="24"/>
                <w:color w:val="auto"/>
              </w:rPr>
            </w:pPr>
          </w:p>
        </w:tc>
        <w:tc>
          <w:tcPr>
            <w:tcW w:w="1260" w:type="dxa"/>
            <w:vAlign w:val="bottom"/>
            <w:tcBorders>
              <w:top w:val="single" w:sz="8" w:color="0000FF"/>
            </w:tcBorders>
            <w:gridSpan w:val="6"/>
          </w:tcPr>
          <w:p>
            <w:pPr>
              <w:spacing w:after="0"/>
              <w:rPr>
                <w:sz w:val="20"/>
                <w:szCs w:val="20"/>
                <w:color w:val="auto"/>
              </w:rPr>
            </w:pPr>
            <w:r>
              <w:rPr>
                <w:rFonts w:ascii="Arial" w:cs="Arial" w:eastAsia="Arial" w:hAnsi="Arial"/>
                <w:sz w:val="22"/>
                <w:szCs w:val="22"/>
                <w:color w:val="0000FF"/>
                <w:w w:val="89"/>
              </w:rPr>
              <w:t>Tax Elections.</w:t>
            </w:r>
          </w:p>
        </w:tc>
        <w:tc>
          <w:tcPr>
            <w:tcW w:w="420" w:type="dxa"/>
            <w:vAlign w:val="bottom"/>
            <w:tcBorders>
              <w:top w:val="single" w:sz="8" w:color="0000FF"/>
            </w:tcBorders>
            <w:gridSpan w:val="4"/>
          </w:tcPr>
          <w:p>
            <w:pPr>
              <w:jc w:val="right"/>
              <w:spacing w:after="0"/>
              <w:rPr>
                <w:sz w:val="20"/>
                <w:szCs w:val="20"/>
                <w:color w:val="auto"/>
              </w:rPr>
            </w:pPr>
            <w:r>
              <w:rPr>
                <w:rFonts w:ascii="Arial" w:cs="Arial" w:eastAsia="Arial" w:hAnsi="Arial"/>
                <w:sz w:val="22"/>
                <w:szCs w:val="22"/>
                <w:color w:val="auto"/>
              </w:rPr>
              <w:t>57</w:t>
            </w:r>
          </w:p>
        </w:tc>
        <w:tc>
          <w:tcPr>
            <w:tcW w:w="3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34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219"/>
          </w:cols>
          <w:pgMar w:left="240" w:top="576" w:right="1440"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1080" w:type="dxa"/>
            <w:vAlign w:val="bottom"/>
            <w:gridSpan w:val="3"/>
          </w:tcPr>
          <w:p>
            <w:pPr>
              <w:spacing w:after="0"/>
              <w:rPr>
                <w:rFonts w:ascii="Arial" w:cs="Arial" w:eastAsia="Arial" w:hAnsi="Arial"/>
                <w:sz w:val="22"/>
                <w:szCs w:val="22"/>
                <w:color w:val="0000FF"/>
                <w:w w:val="96"/>
              </w:rPr>
            </w:pPr>
            <w:hyperlink w:anchor="page258">
              <w:r>
                <w:rPr>
                  <w:rFonts w:ascii="Arial" w:cs="Arial" w:eastAsia="Arial" w:hAnsi="Arial"/>
                  <w:sz w:val="22"/>
                  <w:szCs w:val="22"/>
                  <w:color w:val="0000FF"/>
                  <w:w w:val="96"/>
                </w:rPr>
                <w:t>Section 8.7</w:t>
              </w:r>
            </w:hyperlink>
          </w:p>
        </w:tc>
        <w:tc>
          <w:tcPr>
            <w:tcW w:w="5780" w:type="dxa"/>
            <w:vAlign w:val="bottom"/>
            <w:gridSpan w:val="20"/>
          </w:tcPr>
          <w:p>
            <w:pPr>
              <w:ind w:left="120"/>
              <w:spacing w:after="0"/>
              <w:rPr>
                <w:sz w:val="20"/>
                <w:szCs w:val="20"/>
                <w:color w:val="auto"/>
              </w:rPr>
            </w:pPr>
            <w:r>
              <w:rPr>
                <w:rFonts w:ascii="Arial" w:cs="Arial" w:eastAsia="Arial" w:hAnsi="Arial"/>
                <w:sz w:val="22"/>
                <w:szCs w:val="22"/>
                <w:color w:val="0000FF"/>
              </w:rPr>
              <w:t xml:space="preserve">Tax Matters Person and Company Tax Filings.  </w:t>
            </w:r>
            <w:r>
              <w:rPr>
                <w:rFonts w:ascii="Arial" w:cs="Arial" w:eastAsia="Arial" w:hAnsi="Arial"/>
                <w:sz w:val="22"/>
                <w:szCs w:val="22"/>
                <w:color w:val="000000"/>
              </w:rPr>
              <w:t>58</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0">
              <w:r>
                <w:rPr>
                  <w:rFonts w:ascii="Arial" w:cs="Arial" w:eastAsia="Arial" w:hAnsi="Arial"/>
                  <w:sz w:val="22"/>
                  <w:szCs w:val="22"/>
                  <w:color w:val="0000FF"/>
                  <w:w w:val="96"/>
                </w:rPr>
                <w:t>Section 8.8</w:t>
              </w:r>
            </w:hyperlink>
          </w:p>
        </w:tc>
        <w:tc>
          <w:tcPr>
            <w:tcW w:w="2080" w:type="dxa"/>
            <w:vAlign w:val="bottom"/>
            <w:gridSpan w:val="8"/>
          </w:tcPr>
          <w:p>
            <w:pPr>
              <w:ind w:left="120"/>
              <w:spacing w:after="0"/>
              <w:rPr>
                <w:sz w:val="20"/>
                <w:szCs w:val="20"/>
                <w:color w:val="auto"/>
              </w:rPr>
            </w:pPr>
            <w:r>
              <w:rPr>
                <w:rFonts w:ascii="Arial" w:cs="Arial" w:eastAsia="Arial" w:hAnsi="Arial"/>
                <w:sz w:val="22"/>
                <w:szCs w:val="22"/>
                <w:color w:val="0000FF"/>
                <w:w w:val="92"/>
              </w:rPr>
              <w:t>Financial Accounting.</w:t>
            </w:r>
          </w:p>
        </w:tc>
        <w:tc>
          <w:tcPr>
            <w:tcW w:w="440" w:type="dxa"/>
            <w:vAlign w:val="bottom"/>
            <w:gridSpan w:val="2"/>
          </w:tcPr>
          <w:p>
            <w:pPr>
              <w:jc w:val="right"/>
              <w:ind w:right="40"/>
              <w:spacing w:after="0"/>
              <w:rPr>
                <w:sz w:val="20"/>
                <w:szCs w:val="20"/>
                <w:color w:val="auto"/>
              </w:rPr>
            </w:pPr>
            <w:r>
              <w:rPr>
                <w:rFonts w:ascii="Arial" w:cs="Arial" w:eastAsia="Arial" w:hAnsi="Arial"/>
                <w:sz w:val="22"/>
                <w:szCs w:val="22"/>
                <w:color w:val="auto"/>
              </w:rPr>
              <w:t>61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0">
              <w:r>
                <w:rPr>
                  <w:rFonts w:ascii="Arial" w:cs="Arial" w:eastAsia="Arial" w:hAnsi="Arial"/>
                  <w:sz w:val="22"/>
                  <w:szCs w:val="22"/>
                  <w:color w:val="0000FF"/>
                  <w:w w:val="96"/>
                </w:rPr>
                <w:t>Section 8.9</w:t>
              </w:r>
            </w:hyperlink>
          </w:p>
        </w:tc>
        <w:tc>
          <w:tcPr>
            <w:tcW w:w="2720" w:type="dxa"/>
            <w:vAlign w:val="bottom"/>
            <w:gridSpan w:val="13"/>
          </w:tcPr>
          <w:p>
            <w:pPr>
              <w:ind w:left="120"/>
              <w:spacing w:after="0"/>
              <w:rPr>
                <w:sz w:val="20"/>
                <w:szCs w:val="20"/>
                <w:color w:val="auto"/>
              </w:rPr>
            </w:pPr>
            <w:r>
              <w:rPr>
                <w:rFonts w:ascii="Arial" w:cs="Arial" w:eastAsia="Arial" w:hAnsi="Arial"/>
                <w:sz w:val="22"/>
                <w:szCs w:val="22"/>
                <w:color w:val="0000FF"/>
                <w:w w:val="90"/>
              </w:rPr>
              <w:t>Membership Interest Legend.</w:t>
            </w:r>
          </w:p>
        </w:tc>
        <w:tc>
          <w:tcPr>
            <w:tcW w:w="760" w:type="dxa"/>
            <w:vAlign w:val="bottom"/>
            <w:gridSpan w:val="2"/>
          </w:tcPr>
          <w:p>
            <w:pPr>
              <w:jc w:val="right"/>
              <w:ind w:right="360"/>
              <w:spacing w:after="0"/>
              <w:rPr>
                <w:sz w:val="20"/>
                <w:szCs w:val="20"/>
                <w:color w:val="auto"/>
              </w:rPr>
            </w:pPr>
            <w:r>
              <w:rPr>
                <w:rFonts w:ascii="Arial" w:cs="Arial" w:eastAsia="Arial" w:hAnsi="Arial"/>
                <w:sz w:val="22"/>
                <w:szCs w:val="22"/>
                <w:color w:val="auto"/>
              </w:rPr>
              <w:t>61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86"/>
              </w:rPr>
            </w:pPr>
            <w:hyperlink w:anchor="page260">
              <w:r>
                <w:rPr>
                  <w:rFonts w:ascii="Arial" w:cs="Arial" w:eastAsia="Arial" w:hAnsi="Arial"/>
                  <w:sz w:val="22"/>
                  <w:szCs w:val="22"/>
                  <w:color w:val="0000FF"/>
                  <w:w w:val="86"/>
                </w:rPr>
                <w:t>Section 8.10</w:t>
              </w:r>
            </w:hyperlink>
          </w:p>
        </w:tc>
        <w:tc>
          <w:tcPr>
            <w:tcW w:w="120" w:type="dxa"/>
            <w:vAlign w:val="bottom"/>
          </w:tcPr>
          <w:p>
            <w:pPr>
              <w:spacing w:after="0"/>
              <w:rPr>
                <w:sz w:val="24"/>
                <w:szCs w:val="24"/>
                <w:color w:val="auto"/>
              </w:rPr>
            </w:pPr>
          </w:p>
        </w:tc>
        <w:tc>
          <w:tcPr>
            <w:tcW w:w="5660" w:type="dxa"/>
            <w:vAlign w:val="bottom"/>
            <w:gridSpan w:val="19"/>
          </w:tcPr>
          <w:p>
            <w:pPr>
              <w:spacing w:after="0"/>
              <w:rPr>
                <w:sz w:val="20"/>
                <w:szCs w:val="20"/>
                <w:color w:val="auto"/>
              </w:rPr>
            </w:pPr>
            <w:r>
              <w:rPr>
                <w:rFonts w:ascii="Arial" w:cs="Arial" w:eastAsia="Arial" w:hAnsi="Arial"/>
                <w:sz w:val="22"/>
                <w:szCs w:val="22"/>
                <w:color w:val="0000FF"/>
                <w:w w:val="88"/>
              </w:rPr>
              <w:t xml:space="preserve">Representations, Warranties and Covenants of the Members.  </w:t>
            </w:r>
            <w:r>
              <w:rPr>
                <w:rFonts w:ascii="Arial" w:cs="Arial" w:eastAsia="Arial" w:hAnsi="Arial"/>
                <w:sz w:val="22"/>
                <w:szCs w:val="22"/>
                <w:color w:val="000000"/>
                <w:w w:val="88"/>
              </w:rPr>
              <w:t>62</w:t>
            </w:r>
          </w:p>
        </w:tc>
      </w:tr>
      <w:tr>
        <w:trPr>
          <w:trHeight w:val="345"/>
        </w:trPr>
        <w:tc>
          <w:tcPr>
            <w:tcW w:w="34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rFonts w:ascii="Arial" w:cs="Arial" w:eastAsia="Arial" w:hAnsi="Arial"/>
                <w:sz w:val="22"/>
                <w:szCs w:val="22"/>
                <w:color w:val="0000FF"/>
                <w:w w:val="86"/>
              </w:rPr>
            </w:pPr>
            <w:hyperlink w:anchor="page261">
              <w:r>
                <w:rPr>
                  <w:rFonts w:ascii="Arial" w:cs="Arial" w:eastAsia="Arial" w:hAnsi="Arial"/>
                  <w:sz w:val="22"/>
                  <w:szCs w:val="22"/>
                  <w:color w:val="0000FF"/>
                  <w:w w:val="86"/>
                </w:rPr>
                <w:t>Section 8.11</w:t>
              </w:r>
            </w:hyperlink>
          </w:p>
        </w:tc>
        <w:tc>
          <w:tcPr>
            <w:tcW w:w="120" w:type="dxa"/>
            <w:vAlign w:val="bottom"/>
          </w:tcPr>
          <w:p>
            <w:pPr>
              <w:spacing w:after="0"/>
              <w:rPr>
                <w:sz w:val="24"/>
                <w:szCs w:val="24"/>
                <w:color w:val="auto"/>
              </w:rPr>
            </w:pPr>
          </w:p>
        </w:tc>
        <w:tc>
          <w:tcPr>
            <w:tcW w:w="880" w:type="dxa"/>
            <w:vAlign w:val="bottom"/>
            <w:tcBorders>
              <w:top w:val="single" w:sz="8" w:color="0000FF"/>
            </w:tcBorders>
            <w:gridSpan w:val="2"/>
          </w:tcPr>
          <w:p>
            <w:pPr>
              <w:spacing w:after="0"/>
              <w:rPr>
                <w:sz w:val="20"/>
                <w:szCs w:val="20"/>
                <w:color w:val="auto"/>
              </w:rPr>
            </w:pPr>
            <w:r>
              <w:rPr>
                <w:rFonts w:ascii="Arial" w:cs="Arial" w:eastAsia="Arial" w:hAnsi="Arial"/>
                <w:sz w:val="22"/>
                <w:szCs w:val="22"/>
                <w:color w:val="0000FF"/>
              </w:rPr>
              <w:t>Survival.</w:t>
            </w:r>
          </w:p>
        </w:tc>
        <w:tc>
          <w:tcPr>
            <w:tcW w:w="740" w:type="dxa"/>
            <w:vAlign w:val="bottom"/>
            <w:tcBorders>
              <w:top w:val="single" w:sz="8" w:color="0000FF"/>
            </w:tcBorders>
          </w:tcPr>
          <w:p>
            <w:pPr>
              <w:jc w:val="right"/>
              <w:ind w:right="292"/>
              <w:spacing w:after="0"/>
              <w:rPr>
                <w:sz w:val="20"/>
                <w:szCs w:val="20"/>
                <w:color w:val="auto"/>
              </w:rPr>
            </w:pPr>
            <w:r>
              <w:rPr>
                <w:rFonts w:ascii="Arial" w:cs="Arial" w:eastAsia="Arial" w:hAnsi="Arial"/>
                <w:sz w:val="22"/>
                <w:szCs w:val="22"/>
                <w:color w:val="auto"/>
              </w:rPr>
              <w:t>63</w:t>
            </w: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5040" w:type="dxa"/>
            <w:vAlign w:val="bottom"/>
            <w:gridSpan w:val="20"/>
          </w:tcPr>
          <w:p>
            <w:pPr>
              <w:spacing w:after="0"/>
              <w:rPr>
                <w:rFonts w:ascii="Arial" w:cs="Arial" w:eastAsia="Arial" w:hAnsi="Arial"/>
                <w:sz w:val="22"/>
                <w:szCs w:val="22"/>
                <w:color w:val="0000FF"/>
              </w:rPr>
            </w:pPr>
            <w:hyperlink w:anchor="page261">
              <w:r>
                <w:rPr>
                  <w:rFonts w:ascii="Arial" w:cs="Arial" w:eastAsia="Arial" w:hAnsi="Arial"/>
                  <w:sz w:val="22"/>
                  <w:szCs w:val="22"/>
                  <w:color w:val="0000FF"/>
                </w:rPr>
                <w:t>ARTICLE IX TRANSFERS OF INTERESTS</w:t>
              </w:r>
            </w:hyperlink>
            <w:r>
              <w:rPr>
                <w:rFonts w:ascii="Arial" w:cs="Arial" w:eastAsia="Arial" w:hAnsi="Arial"/>
                <w:sz w:val="22"/>
                <w:szCs w:val="22"/>
                <w:color w:val="000000"/>
              </w:rPr>
              <w:t>64</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34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gridSpan w:val="3"/>
          </w:tcPr>
          <w:p>
            <w:pPr>
              <w:spacing w:after="0"/>
              <w:rPr>
                <w:rFonts w:ascii="Arial" w:cs="Arial" w:eastAsia="Arial" w:hAnsi="Arial"/>
                <w:sz w:val="22"/>
                <w:szCs w:val="22"/>
                <w:color w:val="0000FF"/>
                <w:w w:val="96"/>
              </w:rPr>
            </w:pPr>
            <w:hyperlink w:anchor="page261">
              <w:r>
                <w:rPr>
                  <w:rFonts w:ascii="Arial" w:cs="Arial" w:eastAsia="Arial" w:hAnsi="Arial"/>
                  <w:sz w:val="22"/>
                  <w:szCs w:val="22"/>
                  <w:color w:val="0000FF"/>
                  <w:w w:val="96"/>
                </w:rPr>
                <w:t>Section 9.1</w:t>
              </w:r>
            </w:hyperlink>
          </w:p>
        </w:tc>
        <w:tc>
          <w:tcPr>
            <w:tcW w:w="2080" w:type="dxa"/>
            <w:vAlign w:val="bottom"/>
            <w:tcBorders>
              <w:top w:val="single" w:sz="8" w:color="0000FF"/>
            </w:tcBorders>
            <w:gridSpan w:val="8"/>
          </w:tcPr>
          <w:p>
            <w:pPr>
              <w:ind w:left="120"/>
              <w:spacing w:after="0"/>
              <w:rPr>
                <w:sz w:val="20"/>
                <w:szCs w:val="20"/>
                <w:color w:val="auto"/>
              </w:rPr>
            </w:pPr>
            <w:r>
              <w:rPr>
                <w:rFonts w:ascii="Arial" w:cs="Arial" w:eastAsia="Arial" w:hAnsi="Arial"/>
                <w:sz w:val="22"/>
                <w:szCs w:val="22"/>
                <w:color w:val="0000FF"/>
                <w:w w:val="92"/>
              </w:rPr>
              <w:t>Transfer Restrictions.</w:t>
            </w:r>
          </w:p>
        </w:tc>
        <w:tc>
          <w:tcPr>
            <w:tcW w:w="440" w:type="dxa"/>
            <w:vAlign w:val="bottom"/>
            <w:tcBorders>
              <w:top w:val="single" w:sz="8" w:color="0000FF"/>
            </w:tcBorders>
            <w:gridSpan w:val="2"/>
          </w:tcPr>
          <w:p>
            <w:pPr>
              <w:jc w:val="right"/>
              <w:ind w:right="100"/>
              <w:spacing w:after="0"/>
              <w:rPr>
                <w:sz w:val="20"/>
                <w:szCs w:val="20"/>
                <w:color w:val="auto"/>
              </w:rPr>
            </w:pPr>
            <w:r>
              <w:rPr>
                <w:rFonts w:ascii="Arial" w:cs="Arial" w:eastAsia="Arial" w:hAnsi="Arial"/>
                <w:sz w:val="22"/>
                <w:szCs w:val="22"/>
                <w:color w:val="auto"/>
              </w:rPr>
              <w:t>64</w:t>
            </w: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1">
              <w:r>
                <w:rPr>
                  <w:rFonts w:ascii="Arial" w:cs="Arial" w:eastAsia="Arial" w:hAnsi="Arial"/>
                  <w:sz w:val="22"/>
                  <w:szCs w:val="22"/>
                  <w:color w:val="0000FF"/>
                  <w:w w:val="96"/>
                </w:rPr>
                <w:t>Section 9.2</w:t>
              </w:r>
            </w:hyperlink>
          </w:p>
        </w:tc>
        <w:tc>
          <w:tcPr>
            <w:tcW w:w="2080" w:type="dxa"/>
            <w:vAlign w:val="bottom"/>
            <w:gridSpan w:val="8"/>
          </w:tcPr>
          <w:p>
            <w:pPr>
              <w:ind w:left="120"/>
              <w:spacing w:after="0"/>
              <w:rPr>
                <w:sz w:val="20"/>
                <w:szCs w:val="20"/>
                <w:color w:val="auto"/>
              </w:rPr>
            </w:pPr>
            <w:r>
              <w:rPr>
                <w:rFonts w:ascii="Arial" w:cs="Arial" w:eastAsia="Arial" w:hAnsi="Arial"/>
                <w:sz w:val="22"/>
                <w:szCs w:val="22"/>
                <w:color w:val="0000FF"/>
                <w:w w:val="97"/>
              </w:rPr>
              <w:t>Permitted Transfers.</w:t>
            </w:r>
          </w:p>
        </w:tc>
        <w:tc>
          <w:tcPr>
            <w:tcW w:w="440" w:type="dxa"/>
            <w:vAlign w:val="bottom"/>
            <w:gridSpan w:val="2"/>
          </w:tcPr>
          <w:p>
            <w:pPr>
              <w:jc w:val="right"/>
              <w:ind w:right="200"/>
              <w:spacing w:after="0"/>
              <w:rPr>
                <w:sz w:val="20"/>
                <w:szCs w:val="20"/>
                <w:color w:val="auto"/>
              </w:rPr>
            </w:pPr>
            <w:r>
              <w:rPr>
                <w:rFonts w:ascii="Arial" w:cs="Arial" w:eastAsia="Arial" w:hAnsi="Arial"/>
                <w:sz w:val="22"/>
                <w:szCs w:val="22"/>
                <w:color w:val="auto"/>
                <w:w w:val="89"/>
              </w:rPr>
              <w:t>64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2">
              <w:r>
                <w:rPr>
                  <w:rFonts w:ascii="Arial" w:cs="Arial" w:eastAsia="Arial" w:hAnsi="Arial"/>
                  <w:sz w:val="22"/>
                  <w:szCs w:val="22"/>
                  <w:color w:val="0000FF"/>
                  <w:w w:val="96"/>
                </w:rPr>
                <w:t>Section 9.3</w:t>
              </w:r>
            </w:hyperlink>
          </w:p>
        </w:tc>
        <w:tc>
          <w:tcPr>
            <w:tcW w:w="2720" w:type="dxa"/>
            <w:vAlign w:val="bottom"/>
            <w:gridSpan w:val="13"/>
          </w:tcPr>
          <w:p>
            <w:pPr>
              <w:ind w:left="120"/>
              <w:spacing w:after="0"/>
              <w:rPr>
                <w:sz w:val="20"/>
                <w:szCs w:val="20"/>
                <w:color w:val="auto"/>
              </w:rPr>
            </w:pPr>
            <w:r>
              <w:rPr>
                <w:rFonts w:ascii="Arial" w:cs="Arial" w:eastAsia="Arial" w:hAnsi="Arial"/>
                <w:sz w:val="22"/>
                <w:szCs w:val="22"/>
                <w:color w:val="0000FF"/>
                <w:w w:val="95"/>
              </w:rPr>
              <w:t xml:space="preserve">Conditions to Transfers.  </w:t>
            </w:r>
            <w:r>
              <w:rPr>
                <w:rFonts w:ascii="Arial" w:cs="Arial" w:eastAsia="Arial" w:hAnsi="Arial"/>
                <w:sz w:val="22"/>
                <w:szCs w:val="22"/>
                <w:color w:val="000000"/>
                <w:w w:val="95"/>
              </w:rPr>
              <w:t>64</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3">
              <w:r>
                <w:rPr>
                  <w:rFonts w:ascii="Arial" w:cs="Arial" w:eastAsia="Arial" w:hAnsi="Arial"/>
                  <w:sz w:val="22"/>
                  <w:szCs w:val="22"/>
                  <w:color w:val="0000FF"/>
                  <w:w w:val="96"/>
                </w:rPr>
                <w:t>Section 9.4</w:t>
              </w:r>
            </w:hyperlink>
          </w:p>
        </w:tc>
        <w:tc>
          <w:tcPr>
            <w:tcW w:w="3620" w:type="dxa"/>
            <w:vAlign w:val="bottom"/>
            <w:gridSpan w:val="16"/>
          </w:tcPr>
          <w:p>
            <w:pPr>
              <w:ind w:left="120"/>
              <w:spacing w:after="0"/>
              <w:rPr>
                <w:sz w:val="20"/>
                <w:szCs w:val="20"/>
                <w:color w:val="auto"/>
              </w:rPr>
            </w:pPr>
            <w:r>
              <w:rPr>
                <w:rFonts w:ascii="Arial" w:cs="Arial" w:eastAsia="Arial" w:hAnsi="Arial"/>
                <w:sz w:val="22"/>
                <w:szCs w:val="22"/>
                <w:color w:val="0000FF"/>
                <w:w w:val="90"/>
              </w:rPr>
              <w:t>Encumbrances of Membership Interest.</w:t>
            </w:r>
          </w:p>
        </w:tc>
        <w:tc>
          <w:tcPr>
            <w:tcW w:w="520" w:type="dxa"/>
            <w:vAlign w:val="bottom"/>
          </w:tcPr>
          <w:p>
            <w:pPr>
              <w:jc w:val="right"/>
              <w:ind w:right="72"/>
              <w:spacing w:after="0"/>
              <w:rPr>
                <w:sz w:val="20"/>
                <w:szCs w:val="20"/>
                <w:color w:val="auto"/>
              </w:rPr>
            </w:pPr>
            <w:r>
              <w:rPr>
                <w:rFonts w:ascii="Arial" w:cs="Arial" w:eastAsia="Arial" w:hAnsi="Arial"/>
                <w:sz w:val="22"/>
                <w:szCs w:val="22"/>
                <w:color w:val="auto"/>
              </w:rPr>
              <w:t>66</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3">
              <w:r>
                <w:rPr>
                  <w:rFonts w:ascii="Arial" w:cs="Arial" w:eastAsia="Arial" w:hAnsi="Arial"/>
                  <w:sz w:val="22"/>
                  <w:szCs w:val="22"/>
                  <w:color w:val="0000FF"/>
                  <w:w w:val="96"/>
                </w:rPr>
                <w:t>Section 9.5</w:t>
              </w:r>
            </w:hyperlink>
          </w:p>
        </w:tc>
        <w:tc>
          <w:tcPr>
            <w:tcW w:w="3620" w:type="dxa"/>
            <w:vAlign w:val="bottom"/>
            <w:gridSpan w:val="16"/>
          </w:tcPr>
          <w:p>
            <w:pPr>
              <w:ind w:left="120"/>
              <w:spacing w:after="0"/>
              <w:rPr>
                <w:sz w:val="20"/>
                <w:szCs w:val="20"/>
                <w:color w:val="auto"/>
              </w:rPr>
            </w:pPr>
            <w:r>
              <w:rPr>
                <w:rFonts w:ascii="Arial" w:cs="Arial" w:eastAsia="Arial" w:hAnsi="Arial"/>
                <w:sz w:val="22"/>
                <w:szCs w:val="22"/>
                <w:color w:val="0000FF"/>
                <w:w w:val="91"/>
              </w:rPr>
              <w:t>Admission of Transferee as a Member.</w:t>
            </w:r>
          </w:p>
        </w:tc>
        <w:tc>
          <w:tcPr>
            <w:tcW w:w="520" w:type="dxa"/>
            <w:vAlign w:val="bottom"/>
          </w:tcPr>
          <w:p>
            <w:pPr>
              <w:jc w:val="right"/>
              <w:ind w:right="112"/>
              <w:spacing w:after="0"/>
              <w:rPr>
                <w:sz w:val="20"/>
                <w:szCs w:val="20"/>
                <w:color w:val="auto"/>
              </w:rPr>
            </w:pPr>
            <w:r>
              <w:rPr>
                <w:rFonts w:ascii="Arial" w:cs="Arial" w:eastAsia="Arial" w:hAnsi="Arial"/>
                <w:sz w:val="22"/>
                <w:szCs w:val="22"/>
                <w:color w:val="auto"/>
              </w:rPr>
              <w:t>66</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3">
              <w:r>
                <w:rPr>
                  <w:rFonts w:ascii="Arial" w:cs="Arial" w:eastAsia="Arial" w:hAnsi="Arial"/>
                  <w:sz w:val="22"/>
                  <w:szCs w:val="22"/>
                  <w:color w:val="0000FF"/>
                  <w:w w:val="96"/>
                </w:rPr>
                <w:t>Section 9.6</w:t>
              </w:r>
            </w:hyperlink>
          </w:p>
        </w:tc>
        <w:tc>
          <w:tcPr>
            <w:tcW w:w="2720" w:type="dxa"/>
            <w:vAlign w:val="bottom"/>
            <w:gridSpan w:val="13"/>
          </w:tcPr>
          <w:p>
            <w:pPr>
              <w:ind w:left="120"/>
              <w:spacing w:after="0"/>
              <w:rPr>
                <w:sz w:val="20"/>
                <w:szCs w:val="20"/>
                <w:color w:val="auto"/>
              </w:rPr>
            </w:pPr>
            <w:r>
              <w:rPr>
                <w:rFonts w:ascii="Arial" w:cs="Arial" w:eastAsia="Arial" w:hAnsi="Arial"/>
                <w:sz w:val="22"/>
                <w:szCs w:val="22"/>
                <w:color w:val="0000FF"/>
              </w:rPr>
              <w:t xml:space="preserve">Change in Control.  </w:t>
            </w:r>
            <w:r>
              <w:rPr>
                <w:rFonts w:ascii="Arial" w:cs="Arial" w:eastAsia="Arial" w:hAnsi="Arial"/>
                <w:sz w:val="22"/>
                <w:szCs w:val="22"/>
                <w:color w:val="000000"/>
              </w:rPr>
              <w:t>67</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4">
              <w:r>
                <w:rPr>
                  <w:rFonts w:ascii="Arial" w:cs="Arial" w:eastAsia="Arial" w:hAnsi="Arial"/>
                  <w:sz w:val="22"/>
                  <w:szCs w:val="22"/>
                  <w:color w:val="0000FF"/>
                  <w:w w:val="96"/>
                </w:rPr>
                <w:t>Section 9.7</w:t>
              </w:r>
            </w:hyperlink>
          </w:p>
        </w:tc>
        <w:tc>
          <w:tcPr>
            <w:tcW w:w="2080" w:type="dxa"/>
            <w:vAlign w:val="bottom"/>
            <w:gridSpan w:val="8"/>
          </w:tcPr>
          <w:p>
            <w:pPr>
              <w:ind w:left="120"/>
              <w:spacing w:after="0"/>
              <w:rPr>
                <w:sz w:val="20"/>
                <w:szCs w:val="20"/>
                <w:color w:val="auto"/>
              </w:rPr>
            </w:pPr>
            <w:r>
              <w:rPr>
                <w:rFonts w:ascii="Arial" w:cs="Arial" w:eastAsia="Arial" w:hAnsi="Arial"/>
                <w:sz w:val="22"/>
                <w:szCs w:val="22"/>
                <w:color w:val="0000FF"/>
                <w:w w:val="94"/>
              </w:rPr>
              <w:t>Terminated Member.</w:t>
            </w:r>
          </w:p>
        </w:tc>
        <w:tc>
          <w:tcPr>
            <w:tcW w:w="440" w:type="dxa"/>
            <w:vAlign w:val="bottom"/>
            <w:gridSpan w:val="2"/>
          </w:tcPr>
          <w:p>
            <w:pPr>
              <w:jc w:val="right"/>
              <w:ind w:right="160"/>
              <w:spacing w:after="0"/>
              <w:rPr>
                <w:sz w:val="20"/>
                <w:szCs w:val="20"/>
                <w:color w:val="auto"/>
              </w:rPr>
            </w:pPr>
            <w:r>
              <w:rPr>
                <w:rFonts w:ascii="Arial" w:cs="Arial" w:eastAsia="Arial" w:hAnsi="Arial"/>
                <w:sz w:val="22"/>
                <w:szCs w:val="22"/>
                <w:color w:val="auto"/>
              </w:rPr>
              <w:t>68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345"/>
        </w:trPr>
        <w:tc>
          <w:tcPr>
            <w:tcW w:w="7200" w:type="dxa"/>
            <w:vAlign w:val="bottom"/>
            <w:gridSpan w:val="24"/>
          </w:tcPr>
          <w:p>
            <w:pPr>
              <w:spacing w:after="0"/>
              <w:rPr>
                <w:rFonts w:ascii="Arial" w:cs="Arial" w:eastAsia="Arial" w:hAnsi="Arial"/>
                <w:sz w:val="22"/>
                <w:szCs w:val="22"/>
                <w:color w:val="0000FF"/>
              </w:rPr>
            </w:pPr>
            <w:hyperlink w:anchor="page264">
              <w:r>
                <w:rPr>
                  <w:rFonts w:ascii="Arial" w:cs="Arial" w:eastAsia="Arial" w:hAnsi="Arial"/>
                  <w:sz w:val="22"/>
                  <w:szCs w:val="22"/>
                  <w:color w:val="0000FF"/>
                </w:rPr>
                <w:t>ARTICLE X AGGREGATE TRACKING MODEL AND DISPUTE</w:t>
              </w:r>
            </w:hyperlink>
            <w:r>
              <w:rPr>
                <w:rFonts w:ascii="Arial" w:cs="Arial" w:eastAsia="Arial" w:hAnsi="Arial"/>
                <w:sz w:val="22"/>
                <w:szCs w:val="22"/>
                <w:color w:val="000000"/>
              </w:rPr>
              <w:t>69</w:t>
            </w:r>
          </w:p>
        </w:tc>
      </w:tr>
      <w:tr>
        <w:trPr>
          <w:trHeight w:val="345"/>
        </w:trPr>
        <w:tc>
          <w:tcPr>
            <w:tcW w:w="34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gridSpan w:val="3"/>
          </w:tcPr>
          <w:p>
            <w:pPr>
              <w:spacing w:after="0"/>
              <w:rPr>
                <w:rFonts w:ascii="Arial" w:cs="Arial" w:eastAsia="Arial" w:hAnsi="Arial"/>
                <w:sz w:val="22"/>
                <w:szCs w:val="22"/>
                <w:color w:val="0000FF"/>
                <w:w w:val="86"/>
              </w:rPr>
            </w:pPr>
            <w:hyperlink w:anchor="page264">
              <w:r>
                <w:rPr>
                  <w:rFonts w:ascii="Arial" w:cs="Arial" w:eastAsia="Arial" w:hAnsi="Arial"/>
                  <w:sz w:val="22"/>
                  <w:szCs w:val="22"/>
                  <w:color w:val="0000FF"/>
                  <w:w w:val="86"/>
                </w:rPr>
                <w:t>Section 10.1</w:t>
              </w:r>
            </w:hyperlink>
          </w:p>
        </w:tc>
        <w:tc>
          <w:tcPr>
            <w:tcW w:w="12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12"/>
          </w:tcPr>
          <w:p>
            <w:pPr>
              <w:spacing w:after="0"/>
              <w:rPr>
                <w:sz w:val="20"/>
                <w:szCs w:val="20"/>
                <w:color w:val="auto"/>
              </w:rPr>
            </w:pPr>
            <w:r>
              <w:rPr>
                <w:rFonts w:ascii="Arial" w:cs="Arial" w:eastAsia="Arial" w:hAnsi="Arial"/>
                <w:sz w:val="22"/>
                <w:szCs w:val="22"/>
                <w:color w:val="0000FF"/>
                <w:w w:val="97"/>
              </w:rPr>
              <w:t>Aggregate Tracking Model.</w:t>
            </w:r>
          </w:p>
        </w:tc>
        <w:tc>
          <w:tcPr>
            <w:tcW w:w="300" w:type="dxa"/>
            <w:vAlign w:val="bottom"/>
            <w:tcBorders>
              <w:top w:val="single" w:sz="8" w:color="0000FF"/>
            </w:tcBorders>
          </w:tcPr>
          <w:p>
            <w:pPr>
              <w:jc w:val="right"/>
              <w:spacing w:after="0"/>
              <w:rPr>
                <w:sz w:val="20"/>
                <w:szCs w:val="20"/>
                <w:color w:val="auto"/>
              </w:rPr>
            </w:pPr>
            <w:r>
              <w:rPr>
                <w:rFonts w:ascii="Arial" w:cs="Arial" w:eastAsia="Arial" w:hAnsi="Arial"/>
                <w:sz w:val="22"/>
                <w:szCs w:val="22"/>
                <w:color w:val="auto"/>
                <w:w w:val="89"/>
              </w:rPr>
              <w:t>69</w:t>
            </w: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80" w:type="dxa"/>
            <w:vAlign w:val="bottom"/>
            <w:tcBorders>
              <w:top w:val="single" w:sz="8" w:color="0000FF"/>
              <w:bottom w:val="single" w:sz="8" w:color="0000FF"/>
            </w:tcBorders>
            <w:gridSpan w:val="3"/>
          </w:tcPr>
          <w:p>
            <w:pPr>
              <w:spacing w:after="0"/>
              <w:rPr>
                <w:rFonts w:ascii="Arial" w:cs="Arial" w:eastAsia="Arial" w:hAnsi="Arial"/>
                <w:sz w:val="22"/>
                <w:szCs w:val="22"/>
                <w:color w:val="0000FF"/>
                <w:w w:val="86"/>
              </w:rPr>
            </w:pPr>
            <w:hyperlink w:anchor="page265">
              <w:r>
                <w:rPr>
                  <w:rFonts w:ascii="Arial" w:cs="Arial" w:eastAsia="Arial" w:hAnsi="Arial"/>
                  <w:sz w:val="22"/>
                  <w:szCs w:val="22"/>
                  <w:color w:val="0000FF"/>
                  <w:w w:val="86"/>
                </w:rPr>
                <w:t>Section 10.2</w:t>
              </w:r>
            </w:hyperlink>
          </w:p>
        </w:tc>
        <w:tc>
          <w:tcPr>
            <w:tcW w:w="120" w:type="dxa"/>
            <w:vAlign w:val="bottom"/>
          </w:tcPr>
          <w:p>
            <w:pPr>
              <w:spacing w:after="0"/>
              <w:rPr>
                <w:sz w:val="24"/>
                <w:szCs w:val="24"/>
                <w:color w:val="auto"/>
              </w:rPr>
            </w:pPr>
          </w:p>
        </w:tc>
        <w:tc>
          <w:tcPr>
            <w:tcW w:w="8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2"/>
                <w:szCs w:val="22"/>
                <w:color w:val="0000FF"/>
                <w:w w:val="94"/>
              </w:rPr>
              <w:t>Dispute.</w:t>
            </w:r>
          </w:p>
        </w:tc>
        <w:tc>
          <w:tcPr>
            <w:tcW w:w="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jc w:val="right"/>
              <w:ind w:right="352"/>
              <w:spacing w:after="0"/>
              <w:rPr>
                <w:sz w:val="20"/>
                <w:szCs w:val="20"/>
                <w:color w:val="auto"/>
              </w:rPr>
            </w:pPr>
            <w:r>
              <w:rPr>
                <w:rFonts w:ascii="Arial" w:cs="Arial" w:eastAsia="Arial" w:hAnsi="Arial"/>
                <w:sz w:val="22"/>
                <w:szCs w:val="22"/>
                <w:color w:val="auto"/>
              </w:rPr>
              <w:t>69</w:t>
            </w: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3500" w:type="dxa"/>
            <w:vAlign w:val="bottom"/>
            <w:gridSpan w:val="12"/>
          </w:tcPr>
          <w:p>
            <w:pPr>
              <w:spacing w:after="0"/>
              <w:rPr>
                <w:rFonts w:ascii="Arial" w:cs="Arial" w:eastAsia="Arial" w:hAnsi="Arial"/>
                <w:sz w:val="22"/>
                <w:szCs w:val="22"/>
                <w:color w:val="0000FF"/>
              </w:rPr>
            </w:pPr>
            <w:hyperlink w:anchor="page265">
              <w:r>
                <w:rPr>
                  <w:rFonts w:ascii="Arial" w:cs="Arial" w:eastAsia="Arial" w:hAnsi="Arial"/>
                  <w:sz w:val="22"/>
                  <w:szCs w:val="22"/>
                  <w:color w:val="0000FF"/>
                </w:rPr>
                <w:t>ARTICLE XI INDEMNIFICATION</w:t>
              </w:r>
            </w:hyperlink>
            <w:r>
              <w:rPr>
                <w:rFonts w:ascii="Arial" w:cs="Arial" w:eastAsia="Arial" w:hAnsi="Arial"/>
                <w:sz w:val="22"/>
                <w:szCs w:val="22"/>
                <w:color w:val="000000"/>
              </w:rPr>
              <w:t>70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86"/>
              </w:rPr>
            </w:pPr>
            <w:hyperlink w:anchor="page265">
              <w:r>
                <w:rPr>
                  <w:rFonts w:ascii="Arial" w:cs="Arial" w:eastAsia="Arial" w:hAnsi="Arial"/>
                  <w:sz w:val="22"/>
                  <w:szCs w:val="22"/>
                  <w:color w:val="0000FF"/>
                  <w:w w:val="86"/>
                </w:rPr>
                <w:t>Section 11.1</w:t>
              </w:r>
            </w:hyperlink>
          </w:p>
        </w:tc>
        <w:tc>
          <w:tcPr>
            <w:tcW w:w="3620" w:type="dxa"/>
            <w:vAlign w:val="bottom"/>
            <w:gridSpan w:val="16"/>
          </w:tcPr>
          <w:p>
            <w:pPr>
              <w:ind w:left="120"/>
              <w:spacing w:after="0"/>
              <w:rPr>
                <w:sz w:val="20"/>
                <w:szCs w:val="20"/>
                <w:color w:val="auto"/>
              </w:rPr>
            </w:pPr>
            <w:r>
              <w:rPr>
                <w:rFonts w:ascii="Arial" w:cs="Arial" w:eastAsia="Arial" w:hAnsi="Arial"/>
                <w:sz w:val="22"/>
                <w:szCs w:val="22"/>
                <w:color w:val="0000FF"/>
                <w:w w:val="98"/>
              </w:rPr>
              <w:t xml:space="preserve">Indemnification by the Members.  </w:t>
            </w:r>
            <w:r>
              <w:rPr>
                <w:rFonts w:ascii="Arial" w:cs="Arial" w:eastAsia="Arial" w:hAnsi="Arial"/>
                <w:sz w:val="22"/>
                <w:szCs w:val="22"/>
                <w:color w:val="000000"/>
                <w:w w:val="98"/>
              </w:rPr>
              <w:t>70</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343"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219"/>
          </w:cols>
          <w:pgMar w:left="240" w:top="575" w:right="1440"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3900" w:type="dxa"/>
            <w:vAlign w:val="bottom"/>
            <w:gridSpan w:val="18"/>
          </w:tcPr>
          <w:p>
            <w:pPr>
              <w:spacing w:after="0"/>
              <w:rPr>
                <w:rFonts w:ascii="Arial" w:cs="Arial" w:eastAsia="Arial" w:hAnsi="Arial"/>
                <w:sz w:val="22"/>
                <w:szCs w:val="22"/>
                <w:color w:val="0000FF"/>
              </w:rPr>
            </w:pPr>
            <w:hyperlink w:anchor="page266">
              <w:r>
                <w:rPr>
                  <w:rFonts w:ascii="Arial" w:cs="Arial" w:eastAsia="Arial" w:hAnsi="Arial"/>
                  <w:sz w:val="22"/>
                  <w:szCs w:val="22"/>
                  <w:color w:val="0000FF"/>
                </w:rPr>
                <w:t xml:space="preserve">Section 11.2  </w:t>
              </w:r>
            </w:hyperlink>
            <w:r>
              <w:rPr>
                <w:rFonts w:ascii="Arial" w:cs="Arial" w:eastAsia="Arial" w:hAnsi="Arial"/>
                <w:sz w:val="22"/>
                <w:szCs w:val="22"/>
                <w:color w:val="0000FF"/>
              </w:rPr>
              <w:t xml:space="preserve">Limitation on Liability.  </w:t>
            </w:r>
            <w:r>
              <w:rPr>
                <w:rFonts w:ascii="Arial" w:cs="Arial" w:eastAsia="Arial" w:hAnsi="Arial"/>
                <w:sz w:val="22"/>
                <w:szCs w:val="22"/>
                <w:color w:val="000000"/>
              </w:rPr>
              <w:t>72</w:t>
            </w: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67">
              <w:r>
                <w:rPr>
                  <w:rFonts w:ascii="Arial" w:cs="Arial" w:eastAsia="Arial" w:hAnsi="Arial"/>
                  <w:sz w:val="22"/>
                  <w:szCs w:val="22"/>
                  <w:color w:val="0000FF"/>
                  <w:w w:val="83"/>
                </w:rPr>
                <w:t>Section 11.3</w:t>
              </w:r>
            </w:hyperlink>
          </w:p>
        </w:tc>
        <w:tc>
          <w:tcPr>
            <w:tcW w:w="140" w:type="dxa"/>
            <w:vAlign w:val="bottom"/>
          </w:tcPr>
          <w:p>
            <w:pPr>
              <w:spacing w:after="0"/>
              <w:rPr>
                <w:sz w:val="24"/>
                <w:szCs w:val="24"/>
                <w:color w:val="auto"/>
              </w:rPr>
            </w:pPr>
          </w:p>
        </w:tc>
        <w:tc>
          <w:tcPr>
            <w:tcW w:w="4980" w:type="dxa"/>
            <w:vAlign w:val="bottom"/>
            <w:gridSpan w:val="19"/>
          </w:tcPr>
          <w:p>
            <w:pPr>
              <w:spacing w:after="0"/>
              <w:rPr>
                <w:sz w:val="20"/>
                <w:szCs w:val="20"/>
                <w:color w:val="auto"/>
              </w:rPr>
            </w:pPr>
            <w:r>
              <w:rPr>
                <w:rFonts w:ascii="Arial" w:cs="Arial" w:eastAsia="Arial" w:hAnsi="Arial"/>
                <w:sz w:val="22"/>
                <w:szCs w:val="22"/>
                <w:color w:val="0000FF"/>
              </w:rPr>
              <w:t xml:space="preserve">Procedure for Indemnification.  </w:t>
            </w:r>
            <w:r>
              <w:rPr>
                <w:rFonts w:ascii="Arial" w:cs="Arial" w:eastAsia="Arial" w:hAnsi="Arial"/>
                <w:sz w:val="22"/>
                <w:szCs w:val="22"/>
                <w:color w:val="000000"/>
              </w:rPr>
              <w:t>73</w:t>
            </w:r>
          </w:p>
        </w:tc>
      </w:tr>
      <w:tr>
        <w:trPr>
          <w:trHeight w:val="345"/>
        </w:trPr>
        <w:tc>
          <w:tcPr>
            <w:tcW w:w="340" w:type="dxa"/>
            <w:vAlign w:val="bottom"/>
          </w:tcPr>
          <w:p>
            <w:pPr>
              <w:spacing w:after="0"/>
              <w:rPr>
                <w:sz w:val="24"/>
                <w:szCs w:val="24"/>
                <w:color w:val="auto"/>
              </w:rPr>
            </w:pPr>
          </w:p>
        </w:tc>
        <w:tc>
          <w:tcPr>
            <w:tcW w:w="1060" w:type="dxa"/>
            <w:vAlign w:val="bottom"/>
            <w:tcBorders>
              <w:top w:val="single" w:sz="8" w:color="0000FF"/>
              <w:bottom w:val="single" w:sz="8" w:color="0000FF"/>
            </w:tcBorders>
          </w:tcPr>
          <w:p>
            <w:pPr>
              <w:spacing w:after="0"/>
              <w:rPr>
                <w:rFonts w:ascii="Arial" w:cs="Arial" w:eastAsia="Arial" w:hAnsi="Arial"/>
                <w:sz w:val="22"/>
                <w:szCs w:val="22"/>
                <w:color w:val="0000FF"/>
                <w:w w:val="83"/>
              </w:rPr>
            </w:pPr>
            <w:hyperlink w:anchor="page267">
              <w:r>
                <w:rPr>
                  <w:rFonts w:ascii="Arial" w:cs="Arial" w:eastAsia="Arial" w:hAnsi="Arial"/>
                  <w:sz w:val="22"/>
                  <w:szCs w:val="22"/>
                  <w:color w:val="0000FF"/>
                  <w:w w:val="83"/>
                </w:rPr>
                <w:t>Section 11.4</w:t>
              </w:r>
            </w:hyperlink>
          </w:p>
        </w:tc>
        <w:tc>
          <w:tcPr>
            <w:tcW w:w="140" w:type="dxa"/>
            <w:vAlign w:val="bottom"/>
          </w:tcPr>
          <w:p>
            <w:pPr>
              <w:spacing w:after="0"/>
              <w:rPr>
                <w:sz w:val="24"/>
                <w:szCs w:val="24"/>
                <w:color w:val="auto"/>
              </w:rPr>
            </w:pPr>
          </w:p>
        </w:tc>
        <w:tc>
          <w:tcPr>
            <w:tcW w:w="10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22"/>
                <w:szCs w:val="22"/>
                <w:color w:val="0000FF"/>
                <w:w w:val="93"/>
              </w:rPr>
              <w:t>Exclusivity.</w:t>
            </w:r>
          </w:p>
        </w:tc>
        <w:tc>
          <w:tcPr>
            <w:tcW w:w="180" w:type="dxa"/>
            <w:vAlign w:val="bottom"/>
            <w:tcBorders>
              <w:top w:val="single" w:sz="8" w:color="0000FF"/>
            </w:tcBorders>
            <w:gridSpan w:val="4"/>
          </w:tcPr>
          <w:p>
            <w:pPr>
              <w:spacing w:after="0"/>
              <w:rPr>
                <w:sz w:val="24"/>
                <w:szCs w:val="24"/>
                <w:color w:val="auto"/>
              </w:rPr>
            </w:pPr>
          </w:p>
        </w:tc>
        <w:tc>
          <w:tcPr>
            <w:tcW w:w="380" w:type="dxa"/>
            <w:vAlign w:val="bottom"/>
            <w:tcBorders>
              <w:top w:val="single" w:sz="8" w:color="0000FF"/>
            </w:tcBorders>
          </w:tcPr>
          <w:p>
            <w:pPr>
              <w:jc w:val="right"/>
              <w:ind w:right="32"/>
              <w:spacing w:after="0"/>
              <w:rPr>
                <w:sz w:val="20"/>
                <w:szCs w:val="20"/>
                <w:color w:val="auto"/>
              </w:rPr>
            </w:pPr>
            <w:r>
              <w:rPr>
                <w:rFonts w:ascii="Arial" w:cs="Arial" w:eastAsia="Arial" w:hAnsi="Arial"/>
                <w:sz w:val="22"/>
                <w:szCs w:val="22"/>
                <w:color w:val="auto"/>
                <w:w w:val="89"/>
              </w:rPr>
              <w:t>74</w:t>
            </w:r>
          </w:p>
        </w:tc>
        <w:tc>
          <w:tcPr>
            <w:tcW w:w="4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67">
              <w:r>
                <w:rPr>
                  <w:rFonts w:ascii="Arial" w:cs="Arial" w:eastAsia="Arial" w:hAnsi="Arial"/>
                  <w:sz w:val="22"/>
                  <w:szCs w:val="22"/>
                  <w:color w:val="0000FF"/>
                  <w:w w:val="83"/>
                </w:rPr>
                <w:t>Section 11.5</w:t>
              </w:r>
            </w:hyperlink>
          </w:p>
        </w:tc>
        <w:tc>
          <w:tcPr>
            <w:tcW w:w="140" w:type="dxa"/>
            <w:vAlign w:val="bottom"/>
          </w:tcPr>
          <w:p>
            <w:pPr>
              <w:spacing w:after="0"/>
              <w:rPr>
                <w:sz w:val="24"/>
                <w:szCs w:val="24"/>
                <w:color w:val="auto"/>
              </w:rPr>
            </w:pPr>
          </w:p>
        </w:tc>
        <w:tc>
          <w:tcPr>
            <w:tcW w:w="2700" w:type="dxa"/>
            <w:vAlign w:val="bottom"/>
            <w:gridSpan w:val="16"/>
          </w:tcPr>
          <w:p>
            <w:pPr>
              <w:spacing w:after="0"/>
              <w:rPr>
                <w:sz w:val="20"/>
                <w:szCs w:val="20"/>
                <w:color w:val="auto"/>
              </w:rPr>
            </w:pPr>
            <w:r>
              <w:rPr>
                <w:rFonts w:ascii="Arial" w:cs="Arial" w:eastAsia="Arial" w:hAnsi="Arial"/>
                <w:sz w:val="22"/>
                <w:szCs w:val="22"/>
                <w:color w:val="0000FF"/>
                <w:w w:val="96"/>
              </w:rPr>
              <w:t xml:space="preserve">No Right of Contribution.  </w:t>
            </w:r>
            <w:r>
              <w:rPr>
                <w:rFonts w:ascii="Arial" w:cs="Arial" w:eastAsia="Arial" w:hAnsi="Arial"/>
                <w:sz w:val="22"/>
                <w:szCs w:val="22"/>
                <w:color w:val="000000"/>
                <w:w w:val="96"/>
              </w:rPr>
              <w:t>74</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60" w:type="dxa"/>
            <w:vAlign w:val="bottom"/>
            <w:tcBorders>
              <w:top w:val="single" w:sz="8" w:color="0000FF"/>
            </w:tcBorders>
          </w:tcPr>
          <w:p>
            <w:pPr>
              <w:spacing w:after="0"/>
              <w:rPr>
                <w:rFonts w:ascii="Arial" w:cs="Arial" w:eastAsia="Arial" w:hAnsi="Arial"/>
                <w:sz w:val="22"/>
                <w:szCs w:val="22"/>
                <w:color w:val="0000FF"/>
                <w:w w:val="83"/>
              </w:rPr>
            </w:pPr>
            <w:hyperlink w:anchor="page267">
              <w:r>
                <w:rPr>
                  <w:rFonts w:ascii="Arial" w:cs="Arial" w:eastAsia="Arial" w:hAnsi="Arial"/>
                  <w:sz w:val="22"/>
                  <w:szCs w:val="22"/>
                  <w:color w:val="0000FF"/>
                  <w:w w:val="83"/>
                </w:rPr>
                <w:t>Section 11.6</w:t>
              </w:r>
            </w:hyperlink>
          </w:p>
        </w:tc>
        <w:tc>
          <w:tcPr>
            <w:tcW w:w="140" w:type="dxa"/>
            <w:vAlign w:val="bottom"/>
          </w:tcPr>
          <w:p>
            <w:pPr>
              <w:spacing w:after="0"/>
              <w:rPr>
                <w:sz w:val="24"/>
                <w:szCs w:val="24"/>
                <w:color w:val="auto"/>
              </w:rPr>
            </w:pPr>
          </w:p>
        </w:tc>
        <w:tc>
          <w:tcPr>
            <w:tcW w:w="2260" w:type="dxa"/>
            <w:vAlign w:val="bottom"/>
            <w:tcBorders>
              <w:top w:val="single" w:sz="8" w:color="0000FF"/>
            </w:tcBorders>
            <w:gridSpan w:val="13"/>
          </w:tcPr>
          <w:p>
            <w:pPr>
              <w:spacing w:after="0"/>
              <w:rPr>
                <w:sz w:val="20"/>
                <w:szCs w:val="20"/>
                <w:color w:val="auto"/>
              </w:rPr>
            </w:pPr>
            <w:r>
              <w:rPr>
                <w:rFonts w:ascii="Arial" w:cs="Arial" w:eastAsia="Arial" w:hAnsi="Arial"/>
                <w:sz w:val="22"/>
                <w:szCs w:val="22"/>
                <w:color w:val="0000FF"/>
              </w:rPr>
              <w:t xml:space="preserve">Entire Agreement.  </w:t>
            </w:r>
            <w:r>
              <w:rPr>
                <w:rFonts w:ascii="Arial" w:cs="Arial" w:eastAsia="Arial" w:hAnsi="Arial"/>
                <w:sz w:val="22"/>
                <w:szCs w:val="22"/>
                <w:color w:val="000000"/>
              </w:rPr>
              <w:t>74</w:t>
            </w:r>
          </w:p>
        </w:tc>
        <w:tc>
          <w:tcPr>
            <w:tcW w:w="4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6520" w:type="dxa"/>
            <w:vAlign w:val="bottom"/>
            <w:gridSpan w:val="22"/>
          </w:tcPr>
          <w:p>
            <w:pPr>
              <w:spacing w:after="0"/>
              <w:rPr>
                <w:rFonts w:ascii="Arial" w:cs="Arial" w:eastAsia="Arial" w:hAnsi="Arial"/>
                <w:sz w:val="22"/>
                <w:szCs w:val="22"/>
                <w:color w:val="0000FF"/>
                <w:w w:val="97"/>
              </w:rPr>
            </w:pPr>
            <w:hyperlink w:anchor="page267">
              <w:r>
                <w:rPr>
                  <w:rFonts w:ascii="Arial" w:cs="Arial" w:eastAsia="Arial" w:hAnsi="Arial"/>
                  <w:sz w:val="22"/>
                  <w:szCs w:val="22"/>
                  <w:color w:val="0000FF"/>
                  <w:w w:val="97"/>
                </w:rPr>
                <w:t>ARTICLE XII DISSOLUTION, LIQUIDATION AND TERMINATION</w:t>
              </w:r>
            </w:hyperlink>
            <w:r>
              <w:rPr>
                <w:rFonts w:ascii="Arial" w:cs="Arial" w:eastAsia="Arial" w:hAnsi="Arial"/>
                <w:sz w:val="22"/>
                <w:szCs w:val="22"/>
                <w:color w:val="000000"/>
                <w:w w:val="97"/>
              </w:rPr>
              <w:t>74</w:t>
            </w:r>
          </w:p>
        </w:tc>
      </w:tr>
      <w:tr>
        <w:trPr>
          <w:trHeight w:val="345"/>
        </w:trPr>
        <w:tc>
          <w:tcPr>
            <w:tcW w:w="340" w:type="dxa"/>
            <w:vAlign w:val="bottom"/>
            <w:tcBorders>
              <w:top w:val="single" w:sz="8" w:color="0000FF"/>
            </w:tcBorders>
          </w:tcPr>
          <w:p>
            <w:pPr>
              <w:spacing w:after="0"/>
              <w:rPr>
                <w:sz w:val="24"/>
                <w:szCs w:val="24"/>
                <w:color w:val="auto"/>
              </w:rPr>
            </w:pPr>
          </w:p>
        </w:tc>
        <w:tc>
          <w:tcPr>
            <w:tcW w:w="1060" w:type="dxa"/>
            <w:vAlign w:val="bottom"/>
            <w:tcBorders>
              <w:top w:val="single" w:sz="8" w:color="0000FF"/>
              <w:bottom w:val="single" w:sz="8" w:color="0000FF"/>
            </w:tcBorders>
          </w:tcPr>
          <w:p>
            <w:pPr>
              <w:spacing w:after="0"/>
              <w:rPr>
                <w:rFonts w:ascii="Arial" w:cs="Arial" w:eastAsia="Arial" w:hAnsi="Arial"/>
                <w:sz w:val="22"/>
                <w:szCs w:val="22"/>
                <w:color w:val="0000FF"/>
                <w:w w:val="83"/>
              </w:rPr>
            </w:pPr>
            <w:hyperlink w:anchor="page267">
              <w:r>
                <w:rPr>
                  <w:rFonts w:ascii="Arial" w:cs="Arial" w:eastAsia="Arial" w:hAnsi="Arial"/>
                  <w:sz w:val="22"/>
                  <w:szCs w:val="22"/>
                  <w:color w:val="0000FF"/>
                  <w:w w:val="83"/>
                </w:rPr>
                <w:t>Section 12.1</w:t>
              </w:r>
            </w:hyperlink>
          </w:p>
        </w:tc>
        <w:tc>
          <w:tcPr>
            <w:tcW w:w="140" w:type="dxa"/>
            <w:vAlign w:val="bottom"/>
            <w:tcBorders>
              <w:top w:val="single" w:sz="8" w:color="0000FF"/>
            </w:tcBorders>
          </w:tcPr>
          <w:p>
            <w:pPr>
              <w:spacing w:after="0"/>
              <w:rPr>
                <w:sz w:val="24"/>
                <w:szCs w:val="24"/>
                <w:color w:val="auto"/>
              </w:rPr>
            </w:pPr>
          </w:p>
        </w:tc>
        <w:tc>
          <w:tcPr>
            <w:tcW w:w="10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22"/>
                <w:szCs w:val="22"/>
                <w:color w:val="0000FF"/>
                <w:w w:val="91"/>
              </w:rPr>
              <w:t>Dissolution.</w:t>
            </w:r>
          </w:p>
        </w:tc>
        <w:tc>
          <w:tcPr>
            <w:tcW w:w="160" w:type="dxa"/>
            <w:vAlign w:val="bottom"/>
            <w:tcBorders>
              <w:top w:val="single" w:sz="8" w:color="0000FF"/>
            </w:tcBorders>
            <w:gridSpan w:val="3"/>
          </w:tcPr>
          <w:p>
            <w:pPr>
              <w:spacing w:after="0"/>
              <w:rPr>
                <w:sz w:val="24"/>
                <w:szCs w:val="24"/>
                <w:color w:val="auto"/>
              </w:rPr>
            </w:pPr>
          </w:p>
        </w:tc>
        <w:tc>
          <w:tcPr>
            <w:tcW w:w="380" w:type="dxa"/>
            <w:vAlign w:val="bottom"/>
            <w:tcBorders>
              <w:top w:val="single" w:sz="8" w:color="0000FF"/>
            </w:tcBorders>
          </w:tcPr>
          <w:p>
            <w:pPr>
              <w:jc w:val="right"/>
              <w:spacing w:after="0"/>
              <w:rPr>
                <w:sz w:val="20"/>
                <w:szCs w:val="20"/>
                <w:color w:val="auto"/>
              </w:rPr>
            </w:pPr>
            <w:r>
              <w:rPr>
                <w:rFonts w:ascii="Arial" w:cs="Arial" w:eastAsia="Arial" w:hAnsi="Arial"/>
                <w:sz w:val="22"/>
                <w:szCs w:val="22"/>
                <w:color w:val="auto"/>
              </w:rPr>
              <w:t>74</w:t>
            </w:r>
          </w:p>
        </w:tc>
        <w:tc>
          <w:tcPr>
            <w:tcW w:w="4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68">
              <w:r>
                <w:rPr>
                  <w:rFonts w:ascii="Arial" w:cs="Arial" w:eastAsia="Arial" w:hAnsi="Arial"/>
                  <w:sz w:val="22"/>
                  <w:szCs w:val="22"/>
                  <w:color w:val="0000FF"/>
                  <w:w w:val="83"/>
                </w:rPr>
                <w:t>Section 12.2</w:t>
              </w:r>
            </w:hyperlink>
          </w:p>
        </w:tc>
        <w:tc>
          <w:tcPr>
            <w:tcW w:w="140" w:type="dxa"/>
            <w:vAlign w:val="bottom"/>
          </w:tcPr>
          <w:p>
            <w:pPr>
              <w:spacing w:after="0"/>
              <w:rPr>
                <w:sz w:val="24"/>
                <w:szCs w:val="24"/>
                <w:color w:val="auto"/>
              </w:rPr>
            </w:pPr>
          </w:p>
        </w:tc>
        <w:tc>
          <w:tcPr>
            <w:tcW w:w="2700" w:type="dxa"/>
            <w:vAlign w:val="bottom"/>
            <w:gridSpan w:val="16"/>
          </w:tcPr>
          <w:p>
            <w:pPr>
              <w:spacing w:after="0"/>
              <w:rPr>
                <w:sz w:val="20"/>
                <w:szCs w:val="20"/>
                <w:color w:val="auto"/>
              </w:rPr>
            </w:pPr>
            <w:r>
              <w:rPr>
                <w:rFonts w:ascii="Arial" w:cs="Arial" w:eastAsia="Arial" w:hAnsi="Arial"/>
                <w:sz w:val="22"/>
                <w:szCs w:val="22"/>
                <w:color w:val="0000FF"/>
                <w:w w:val="96"/>
              </w:rPr>
              <w:t>Liquidation and Termination.</w:t>
            </w:r>
          </w:p>
        </w:tc>
        <w:tc>
          <w:tcPr>
            <w:tcW w:w="2060" w:type="dxa"/>
            <w:vAlign w:val="bottom"/>
            <w:gridSpan w:val="2"/>
          </w:tcPr>
          <w:p>
            <w:pPr>
              <w:jc w:val="right"/>
              <w:ind w:right="1780"/>
              <w:spacing w:after="0"/>
              <w:rPr>
                <w:sz w:val="20"/>
                <w:szCs w:val="20"/>
                <w:color w:val="auto"/>
              </w:rPr>
            </w:pPr>
            <w:r>
              <w:rPr>
                <w:rFonts w:ascii="Arial" w:cs="Arial" w:eastAsia="Arial" w:hAnsi="Arial"/>
                <w:sz w:val="22"/>
                <w:szCs w:val="22"/>
                <w:color w:val="auto"/>
              </w:rPr>
              <w:t>75</w:t>
            </w:r>
          </w:p>
        </w:tc>
        <w:tc>
          <w:tcPr>
            <w:tcW w:w="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69">
              <w:r>
                <w:rPr>
                  <w:rFonts w:ascii="Arial" w:cs="Arial" w:eastAsia="Arial" w:hAnsi="Arial"/>
                  <w:sz w:val="22"/>
                  <w:szCs w:val="22"/>
                  <w:color w:val="0000FF"/>
                  <w:w w:val="83"/>
                </w:rPr>
                <w:t>Section 12.3</w:t>
              </w:r>
            </w:hyperlink>
          </w:p>
        </w:tc>
        <w:tc>
          <w:tcPr>
            <w:tcW w:w="140" w:type="dxa"/>
            <w:vAlign w:val="bottom"/>
          </w:tcPr>
          <w:p>
            <w:pPr>
              <w:spacing w:after="0"/>
              <w:rPr>
                <w:sz w:val="24"/>
                <w:szCs w:val="24"/>
                <w:color w:val="auto"/>
              </w:rPr>
            </w:pPr>
          </w:p>
        </w:tc>
        <w:tc>
          <w:tcPr>
            <w:tcW w:w="2700" w:type="dxa"/>
            <w:vAlign w:val="bottom"/>
            <w:gridSpan w:val="16"/>
          </w:tcPr>
          <w:p>
            <w:pPr>
              <w:spacing w:after="0"/>
              <w:rPr>
                <w:sz w:val="20"/>
                <w:szCs w:val="20"/>
                <w:color w:val="auto"/>
              </w:rPr>
            </w:pPr>
            <w:r>
              <w:rPr>
                <w:rFonts w:ascii="Arial" w:cs="Arial" w:eastAsia="Arial" w:hAnsi="Arial"/>
                <w:sz w:val="22"/>
                <w:szCs w:val="22"/>
                <w:color w:val="0000FF"/>
                <w:w w:val="97"/>
              </w:rPr>
              <w:t xml:space="preserve">Deficit Capital Accounts.  </w:t>
            </w:r>
            <w:r>
              <w:rPr>
                <w:rFonts w:ascii="Arial" w:cs="Arial" w:eastAsia="Arial" w:hAnsi="Arial"/>
                <w:sz w:val="22"/>
                <w:szCs w:val="22"/>
                <w:color w:val="000000"/>
                <w:w w:val="97"/>
              </w:rPr>
              <w:t>76</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60" w:type="dxa"/>
            <w:vAlign w:val="bottom"/>
            <w:tcBorders>
              <w:top w:val="single" w:sz="8" w:color="0000FF"/>
              <w:bottom w:val="single" w:sz="8" w:color="0000FF"/>
            </w:tcBorders>
          </w:tcPr>
          <w:p>
            <w:pPr>
              <w:spacing w:after="0"/>
              <w:rPr>
                <w:rFonts w:ascii="Arial" w:cs="Arial" w:eastAsia="Arial" w:hAnsi="Arial"/>
                <w:sz w:val="22"/>
                <w:szCs w:val="22"/>
                <w:color w:val="0000FF"/>
                <w:w w:val="83"/>
              </w:rPr>
            </w:pPr>
            <w:hyperlink w:anchor="page269">
              <w:r>
                <w:rPr>
                  <w:rFonts w:ascii="Arial" w:cs="Arial" w:eastAsia="Arial" w:hAnsi="Arial"/>
                  <w:sz w:val="22"/>
                  <w:szCs w:val="22"/>
                  <w:color w:val="0000FF"/>
                  <w:w w:val="83"/>
                </w:rPr>
                <w:t>Section 12.4</w:t>
              </w:r>
            </w:hyperlink>
          </w:p>
        </w:tc>
        <w:tc>
          <w:tcPr>
            <w:tcW w:w="140" w:type="dxa"/>
            <w:vAlign w:val="bottom"/>
          </w:tcPr>
          <w:p>
            <w:pPr>
              <w:spacing w:after="0"/>
              <w:rPr>
                <w:sz w:val="24"/>
                <w:szCs w:val="24"/>
                <w:color w:val="auto"/>
              </w:rPr>
            </w:pPr>
          </w:p>
        </w:tc>
        <w:tc>
          <w:tcPr>
            <w:tcW w:w="11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22"/>
                <w:szCs w:val="22"/>
                <w:color w:val="0000FF"/>
                <w:w w:val="89"/>
              </w:rPr>
              <w:t>Termination.</w:t>
            </w:r>
          </w:p>
        </w:tc>
        <w:tc>
          <w:tcPr>
            <w:tcW w:w="100" w:type="dxa"/>
            <w:vAlign w:val="bottom"/>
            <w:tcBorders>
              <w:top w:val="single" w:sz="8" w:color="0000FF"/>
            </w:tcBorders>
            <w:gridSpan w:val="2"/>
          </w:tcPr>
          <w:p>
            <w:pPr>
              <w:spacing w:after="0"/>
              <w:rPr>
                <w:sz w:val="24"/>
                <w:szCs w:val="24"/>
                <w:color w:val="auto"/>
              </w:rPr>
            </w:pPr>
          </w:p>
        </w:tc>
        <w:tc>
          <w:tcPr>
            <w:tcW w:w="380" w:type="dxa"/>
            <w:vAlign w:val="bottom"/>
            <w:tcBorders>
              <w:top w:val="single" w:sz="8" w:color="0000FF"/>
            </w:tcBorders>
          </w:tcPr>
          <w:p>
            <w:pPr>
              <w:jc w:val="right"/>
              <w:spacing w:after="0"/>
              <w:rPr>
                <w:sz w:val="20"/>
                <w:szCs w:val="20"/>
                <w:color w:val="auto"/>
              </w:rPr>
            </w:pPr>
            <w:r>
              <w:rPr>
                <w:rFonts w:ascii="Arial" w:cs="Arial" w:eastAsia="Arial" w:hAnsi="Arial"/>
                <w:sz w:val="22"/>
                <w:szCs w:val="22"/>
                <w:color w:val="auto"/>
              </w:rPr>
              <w:t>76</w:t>
            </w:r>
          </w:p>
        </w:tc>
        <w:tc>
          <w:tcPr>
            <w:tcW w:w="4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4240" w:type="dxa"/>
            <w:vAlign w:val="bottom"/>
            <w:gridSpan w:val="19"/>
          </w:tcPr>
          <w:p>
            <w:pPr>
              <w:spacing w:after="0"/>
              <w:rPr>
                <w:rFonts w:ascii="Arial" w:cs="Arial" w:eastAsia="Arial" w:hAnsi="Arial"/>
                <w:sz w:val="22"/>
                <w:szCs w:val="22"/>
                <w:color w:val="0000FF"/>
              </w:rPr>
            </w:pPr>
            <w:hyperlink w:anchor="page269">
              <w:r>
                <w:rPr>
                  <w:rFonts w:ascii="Arial" w:cs="Arial" w:eastAsia="Arial" w:hAnsi="Arial"/>
                  <w:sz w:val="22"/>
                  <w:szCs w:val="22"/>
                  <w:color w:val="0000FF"/>
                </w:rPr>
                <w:t>ARTICLE XIII GENERAL PROVISIONS</w:t>
              </w:r>
            </w:hyperlink>
            <w:r>
              <w:rPr>
                <w:rFonts w:ascii="Arial" w:cs="Arial" w:eastAsia="Arial" w:hAnsi="Arial"/>
                <w:sz w:val="22"/>
                <w:szCs w:val="22"/>
                <w:color w:val="000000"/>
              </w:rPr>
              <w:t>77</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Borders>
              <w:top w:val="single" w:sz="8" w:color="0000FF"/>
            </w:tcBorders>
          </w:tcPr>
          <w:p>
            <w:pPr>
              <w:spacing w:after="0"/>
              <w:rPr>
                <w:sz w:val="24"/>
                <w:szCs w:val="24"/>
                <w:color w:val="auto"/>
              </w:rPr>
            </w:pPr>
          </w:p>
        </w:tc>
        <w:tc>
          <w:tcPr>
            <w:tcW w:w="1060" w:type="dxa"/>
            <w:vAlign w:val="bottom"/>
            <w:tcBorders>
              <w:top w:val="single" w:sz="8" w:color="0000FF"/>
              <w:bottom w:val="single" w:sz="8" w:color="0000FF"/>
            </w:tcBorders>
          </w:tcPr>
          <w:p>
            <w:pPr>
              <w:spacing w:after="0"/>
              <w:rPr>
                <w:rFonts w:ascii="Arial" w:cs="Arial" w:eastAsia="Arial" w:hAnsi="Arial"/>
                <w:sz w:val="22"/>
                <w:szCs w:val="22"/>
                <w:color w:val="0000FF"/>
                <w:w w:val="83"/>
              </w:rPr>
            </w:pPr>
            <w:hyperlink w:anchor="page269">
              <w:r>
                <w:rPr>
                  <w:rFonts w:ascii="Arial" w:cs="Arial" w:eastAsia="Arial" w:hAnsi="Arial"/>
                  <w:sz w:val="22"/>
                  <w:szCs w:val="22"/>
                  <w:color w:val="0000FF"/>
                  <w:w w:val="83"/>
                </w:rPr>
                <w:t>Section 13.1</w:t>
              </w:r>
            </w:hyperlink>
          </w:p>
        </w:tc>
        <w:tc>
          <w:tcPr>
            <w:tcW w:w="140" w:type="dxa"/>
            <w:vAlign w:val="bottom"/>
            <w:tcBorders>
              <w:top w:val="single" w:sz="8" w:color="0000FF"/>
            </w:tcBorders>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2"/>
                <w:szCs w:val="22"/>
                <w:color w:val="0000FF"/>
                <w:w w:val="89"/>
              </w:rPr>
              <w:t>Offset.</w:t>
            </w:r>
          </w:p>
        </w:tc>
        <w:tc>
          <w:tcPr>
            <w:tcW w:w="160" w:type="dxa"/>
            <w:vAlign w:val="bottom"/>
            <w:tcBorders>
              <w:top w:val="single" w:sz="8" w:color="0000FF"/>
            </w:tcBorders>
            <w:gridSpan w:val="2"/>
          </w:tcPr>
          <w:p>
            <w:pPr>
              <w:spacing w:after="0"/>
              <w:rPr>
                <w:sz w:val="24"/>
                <w:szCs w:val="24"/>
                <w:color w:val="auto"/>
              </w:rPr>
            </w:pPr>
          </w:p>
        </w:tc>
        <w:tc>
          <w:tcPr>
            <w:tcW w:w="280" w:type="dxa"/>
            <w:vAlign w:val="bottom"/>
            <w:tcBorders>
              <w:top w:val="single" w:sz="8" w:color="0000FF"/>
            </w:tcBorders>
          </w:tcPr>
          <w:p>
            <w:pPr>
              <w:jc w:val="right"/>
              <w:spacing w:after="0"/>
              <w:rPr>
                <w:sz w:val="20"/>
                <w:szCs w:val="20"/>
                <w:color w:val="auto"/>
              </w:rPr>
            </w:pPr>
            <w:r>
              <w:rPr>
                <w:rFonts w:ascii="Arial" w:cs="Arial" w:eastAsia="Arial" w:hAnsi="Arial"/>
                <w:sz w:val="22"/>
                <w:szCs w:val="22"/>
                <w:color w:val="auto"/>
                <w:w w:val="97"/>
              </w:rPr>
              <w:t>77</w:t>
            </w: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69">
              <w:r>
                <w:rPr>
                  <w:rFonts w:ascii="Arial" w:cs="Arial" w:eastAsia="Arial" w:hAnsi="Arial"/>
                  <w:sz w:val="22"/>
                  <w:szCs w:val="22"/>
                  <w:color w:val="0000FF"/>
                  <w:w w:val="83"/>
                </w:rPr>
                <w:t>Section 13.2</w:t>
              </w:r>
            </w:hyperlink>
          </w:p>
        </w:tc>
        <w:tc>
          <w:tcPr>
            <w:tcW w:w="1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22"/>
                <w:szCs w:val="22"/>
                <w:color w:val="0000FF"/>
                <w:w w:val="93"/>
              </w:rPr>
              <w:t>Notices.</w:t>
            </w:r>
          </w:p>
        </w:tc>
        <w:tc>
          <w:tcPr>
            <w:tcW w:w="420" w:type="dxa"/>
            <w:vAlign w:val="bottom"/>
            <w:gridSpan w:val="4"/>
          </w:tcPr>
          <w:p>
            <w:pPr>
              <w:jc w:val="right"/>
              <w:ind w:right="20"/>
              <w:spacing w:after="0"/>
              <w:rPr>
                <w:sz w:val="20"/>
                <w:szCs w:val="20"/>
                <w:color w:val="auto"/>
              </w:rPr>
            </w:pPr>
            <w:r>
              <w:rPr>
                <w:rFonts w:ascii="Arial" w:cs="Arial" w:eastAsia="Arial" w:hAnsi="Arial"/>
                <w:sz w:val="22"/>
                <w:szCs w:val="22"/>
                <w:color w:val="auto"/>
              </w:rPr>
              <w:t>77</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60" w:type="dxa"/>
            <w:vAlign w:val="bottom"/>
            <w:tcBorders>
              <w:bottom w:val="single" w:sz="8" w:color="0000FF"/>
            </w:tcBorders>
          </w:tcPr>
          <w:p>
            <w:pPr>
              <w:spacing w:after="0"/>
              <w:rPr>
                <w:rFonts w:ascii="Arial" w:cs="Arial" w:eastAsia="Arial" w:hAnsi="Arial"/>
                <w:sz w:val="22"/>
                <w:szCs w:val="22"/>
                <w:color w:val="0000FF"/>
                <w:w w:val="83"/>
              </w:rPr>
            </w:pPr>
            <w:hyperlink w:anchor="page269">
              <w:r>
                <w:rPr>
                  <w:rFonts w:ascii="Arial" w:cs="Arial" w:eastAsia="Arial" w:hAnsi="Arial"/>
                  <w:sz w:val="22"/>
                  <w:szCs w:val="22"/>
                  <w:color w:val="0000FF"/>
                  <w:w w:val="83"/>
                </w:rPr>
                <w:t>Section 13.3</w:t>
              </w:r>
            </w:hyperlink>
          </w:p>
        </w:tc>
        <w:tc>
          <w:tcPr>
            <w:tcW w:w="140" w:type="dxa"/>
            <w:vAlign w:val="bottom"/>
          </w:tcPr>
          <w:p>
            <w:pPr>
              <w:spacing w:after="0"/>
              <w:rPr>
                <w:sz w:val="24"/>
                <w:szCs w:val="24"/>
                <w:color w:val="auto"/>
              </w:rPr>
            </w:pPr>
          </w:p>
        </w:tc>
        <w:tc>
          <w:tcPr>
            <w:tcW w:w="1180" w:type="dxa"/>
            <w:vAlign w:val="bottom"/>
            <w:tcBorders>
              <w:bottom w:val="single" w:sz="8" w:color="0000FF"/>
            </w:tcBorders>
            <w:gridSpan w:val="7"/>
          </w:tcPr>
          <w:p>
            <w:pPr>
              <w:spacing w:after="0"/>
              <w:rPr>
                <w:sz w:val="20"/>
                <w:szCs w:val="20"/>
                <w:color w:val="auto"/>
              </w:rPr>
            </w:pPr>
            <w:r>
              <w:rPr>
                <w:rFonts w:ascii="Arial" w:cs="Arial" w:eastAsia="Arial" w:hAnsi="Arial"/>
                <w:sz w:val="22"/>
                <w:szCs w:val="22"/>
                <w:color w:val="0000FF"/>
                <w:w w:val="87"/>
              </w:rPr>
              <w:t>Counterparts.</w:t>
            </w:r>
          </w:p>
        </w:tc>
        <w:tc>
          <w:tcPr>
            <w:tcW w:w="4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22"/>
                <w:szCs w:val="22"/>
                <w:color w:val="auto"/>
              </w:rPr>
              <w:t>77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69">
              <w:r>
                <w:rPr>
                  <w:rFonts w:ascii="Arial" w:cs="Arial" w:eastAsia="Arial" w:hAnsi="Arial"/>
                  <w:sz w:val="22"/>
                  <w:szCs w:val="22"/>
                  <w:color w:val="0000FF"/>
                  <w:w w:val="83"/>
                </w:rPr>
                <w:t>Section 13.4</w:t>
              </w:r>
            </w:hyperlink>
          </w:p>
        </w:tc>
        <w:tc>
          <w:tcPr>
            <w:tcW w:w="140" w:type="dxa"/>
            <w:vAlign w:val="bottom"/>
          </w:tcPr>
          <w:p>
            <w:pPr>
              <w:spacing w:after="0"/>
              <w:rPr>
                <w:sz w:val="24"/>
                <w:szCs w:val="24"/>
                <w:color w:val="auto"/>
              </w:rPr>
            </w:pPr>
          </w:p>
        </w:tc>
        <w:tc>
          <w:tcPr>
            <w:tcW w:w="4980" w:type="dxa"/>
            <w:vAlign w:val="bottom"/>
            <w:gridSpan w:val="19"/>
          </w:tcPr>
          <w:p>
            <w:pPr>
              <w:spacing w:after="0"/>
              <w:rPr>
                <w:sz w:val="20"/>
                <w:szCs w:val="20"/>
                <w:color w:val="auto"/>
              </w:rPr>
            </w:pPr>
            <w:r>
              <w:rPr>
                <w:rFonts w:ascii="Arial" w:cs="Arial" w:eastAsia="Arial" w:hAnsi="Arial"/>
                <w:sz w:val="22"/>
                <w:szCs w:val="22"/>
                <w:color w:val="0000FF"/>
              </w:rPr>
              <w:t xml:space="preserve">Governing Law and Severability.  </w:t>
            </w:r>
            <w:r>
              <w:rPr>
                <w:rFonts w:ascii="Arial" w:cs="Arial" w:eastAsia="Arial" w:hAnsi="Arial"/>
                <w:sz w:val="22"/>
                <w:szCs w:val="22"/>
                <w:color w:val="000000"/>
              </w:rPr>
              <w:t>77</w:t>
            </w:r>
          </w:p>
        </w:tc>
      </w:tr>
      <w:tr>
        <w:trPr>
          <w:trHeight w:val="345"/>
        </w:trPr>
        <w:tc>
          <w:tcPr>
            <w:tcW w:w="340" w:type="dxa"/>
            <w:vAlign w:val="bottom"/>
          </w:tcPr>
          <w:p>
            <w:pPr>
              <w:spacing w:after="0"/>
              <w:rPr>
                <w:sz w:val="24"/>
                <w:szCs w:val="24"/>
                <w:color w:val="auto"/>
              </w:rPr>
            </w:pPr>
          </w:p>
        </w:tc>
        <w:tc>
          <w:tcPr>
            <w:tcW w:w="1060" w:type="dxa"/>
            <w:vAlign w:val="bottom"/>
            <w:tcBorders>
              <w:top w:val="single" w:sz="8" w:color="0000FF"/>
            </w:tcBorders>
          </w:tcPr>
          <w:p>
            <w:pPr>
              <w:spacing w:after="0"/>
              <w:rPr>
                <w:rFonts w:ascii="Arial" w:cs="Arial" w:eastAsia="Arial" w:hAnsi="Arial"/>
                <w:sz w:val="22"/>
                <w:szCs w:val="22"/>
                <w:color w:val="0000FF"/>
                <w:w w:val="83"/>
              </w:rPr>
            </w:pPr>
            <w:hyperlink w:anchor="page269">
              <w:r>
                <w:rPr>
                  <w:rFonts w:ascii="Arial" w:cs="Arial" w:eastAsia="Arial" w:hAnsi="Arial"/>
                  <w:sz w:val="22"/>
                  <w:szCs w:val="22"/>
                  <w:color w:val="0000FF"/>
                  <w:w w:val="83"/>
                </w:rPr>
                <w:t>Section 13.5</w:t>
              </w:r>
            </w:hyperlink>
          </w:p>
        </w:tc>
        <w:tc>
          <w:tcPr>
            <w:tcW w:w="140" w:type="dxa"/>
            <w:vAlign w:val="bottom"/>
          </w:tcPr>
          <w:p>
            <w:pPr>
              <w:spacing w:after="0"/>
              <w:rPr>
                <w:sz w:val="24"/>
                <w:szCs w:val="24"/>
                <w:color w:val="auto"/>
              </w:rPr>
            </w:pPr>
          </w:p>
        </w:tc>
        <w:tc>
          <w:tcPr>
            <w:tcW w:w="2700" w:type="dxa"/>
            <w:vAlign w:val="bottom"/>
            <w:tcBorders>
              <w:top w:val="single" w:sz="8" w:color="0000FF"/>
            </w:tcBorders>
            <w:gridSpan w:val="16"/>
          </w:tcPr>
          <w:p>
            <w:pPr>
              <w:spacing w:after="0"/>
              <w:rPr>
                <w:sz w:val="20"/>
                <w:szCs w:val="20"/>
                <w:color w:val="auto"/>
              </w:rPr>
            </w:pPr>
            <w:r>
              <w:rPr>
                <w:rFonts w:ascii="Arial" w:cs="Arial" w:eastAsia="Arial" w:hAnsi="Arial"/>
                <w:sz w:val="22"/>
                <w:szCs w:val="22"/>
                <w:color w:val="0000FF"/>
              </w:rPr>
              <w:t xml:space="preserve">Entire Agreement.  </w:t>
            </w:r>
            <w:r>
              <w:rPr>
                <w:rFonts w:ascii="Arial" w:cs="Arial" w:eastAsia="Arial" w:hAnsi="Arial"/>
                <w:sz w:val="22"/>
                <w:szCs w:val="22"/>
                <w:color w:val="000000"/>
              </w:rPr>
              <w:t>78</w:t>
            </w:r>
          </w:p>
        </w:tc>
        <w:tc>
          <w:tcPr>
            <w:tcW w:w="18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0" w:type="dxa"/>
            <w:vAlign w:val="bottom"/>
            <w:gridSpan w:val="9"/>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70">
              <w:r>
                <w:rPr>
                  <w:rFonts w:ascii="Arial" w:cs="Arial" w:eastAsia="Arial" w:hAnsi="Arial"/>
                  <w:sz w:val="22"/>
                  <w:szCs w:val="22"/>
                  <w:color w:val="0000FF"/>
                  <w:w w:val="83"/>
                </w:rPr>
                <w:t>Section 13.6</w:t>
              </w:r>
            </w:hyperlink>
          </w:p>
        </w:tc>
        <w:tc>
          <w:tcPr>
            <w:tcW w:w="140" w:type="dxa"/>
            <w:vAlign w:val="bottom"/>
          </w:tcPr>
          <w:p>
            <w:pPr>
              <w:spacing w:after="0"/>
              <w:rPr>
                <w:sz w:val="24"/>
                <w:szCs w:val="24"/>
                <w:color w:val="auto"/>
              </w:rPr>
            </w:pPr>
          </w:p>
        </w:tc>
        <w:tc>
          <w:tcPr>
            <w:tcW w:w="2700" w:type="dxa"/>
            <w:vAlign w:val="bottom"/>
            <w:gridSpan w:val="16"/>
          </w:tcPr>
          <w:p>
            <w:pPr>
              <w:spacing w:after="0"/>
              <w:rPr>
                <w:sz w:val="20"/>
                <w:szCs w:val="20"/>
                <w:color w:val="auto"/>
              </w:rPr>
            </w:pPr>
            <w:r>
              <w:rPr>
                <w:rFonts w:ascii="Arial" w:cs="Arial" w:eastAsia="Arial" w:hAnsi="Arial"/>
                <w:sz w:val="22"/>
                <w:szCs w:val="22"/>
                <w:color w:val="0000FF"/>
                <w:w w:val="97"/>
              </w:rPr>
              <w:t>Effect of Waiver or Consent.</w:t>
            </w:r>
          </w:p>
        </w:tc>
        <w:tc>
          <w:tcPr>
            <w:tcW w:w="2060" w:type="dxa"/>
            <w:vAlign w:val="bottom"/>
            <w:gridSpan w:val="2"/>
          </w:tcPr>
          <w:p>
            <w:pPr>
              <w:jc w:val="right"/>
              <w:ind w:right="1840"/>
              <w:spacing w:after="0"/>
              <w:rPr>
                <w:sz w:val="20"/>
                <w:szCs w:val="20"/>
                <w:color w:val="auto"/>
              </w:rPr>
            </w:pPr>
            <w:r>
              <w:rPr>
                <w:rFonts w:ascii="Arial" w:cs="Arial" w:eastAsia="Arial" w:hAnsi="Arial"/>
                <w:sz w:val="22"/>
                <w:szCs w:val="22"/>
                <w:color w:val="auto"/>
                <w:w w:val="81"/>
              </w:rPr>
              <w:t>78</w:t>
            </w:r>
          </w:p>
        </w:tc>
        <w:tc>
          <w:tcPr>
            <w:tcW w:w="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480" w:type="dxa"/>
            <w:vAlign w:val="bottom"/>
            <w:gridSpan w:val="1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70">
              <w:r>
                <w:rPr>
                  <w:rFonts w:ascii="Arial" w:cs="Arial" w:eastAsia="Arial" w:hAnsi="Arial"/>
                  <w:sz w:val="22"/>
                  <w:szCs w:val="22"/>
                  <w:color w:val="0000FF"/>
                  <w:w w:val="83"/>
                </w:rPr>
                <w:t>Section 13.7</w:t>
              </w:r>
            </w:hyperlink>
          </w:p>
        </w:tc>
        <w:tc>
          <w:tcPr>
            <w:tcW w:w="140" w:type="dxa"/>
            <w:vAlign w:val="bottom"/>
          </w:tcPr>
          <w:p>
            <w:pPr>
              <w:spacing w:after="0"/>
              <w:rPr>
                <w:sz w:val="24"/>
                <w:szCs w:val="24"/>
                <w:color w:val="auto"/>
              </w:rPr>
            </w:pPr>
          </w:p>
        </w:tc>
        <w:tc>
          <w:tcPr>
            <w:tcW w:w="2700" w:type="dxa"/>
            <w:vAlign w:val="bottom"/>
            <w:gridSpan w:val="16"/>
          </w:tcPr>
          <w:p>
            <w:pPr>
              <w:spacing w:after="0"/>
              <w:rPr>
                <w:sz w:val="20"/>
                <w:szCs w:val="20"/>
                <w:color w:val="auto"/>
              </w:rPr>
            </w:pPr>
            <w:r>
              <w:rPr>
                <w:rFonts w:ascii="Arial" w:cs="Arial" w:eastAsia="Arial" w:hAnsi="Arial"/>
                <w:sz w:val="22"/>
                <w:szCs w:val="22"/>
                <w:color w:val="0000FF"/>
                <w:w w:val="97"/>
              </w:rPr>
              <w:t>Amendment or Modification.</w:t>
            </w:r>
          </w:p>
        </w:tc>
        <w:tc>
          <w:tcPr>
            <w:tcW w:w="2060" w:type="dxa"/>
            <w:vAlign w:val="bottom"/>
            <w:gridSpan w:val="2"/>
          </w:tcPr>
          <w:p>
            <w:pPr>
              <w:jc w:val="right"/>
              <w:ind w:right="1780"/>
              <w:spacing w:after="0"/>
              <w:rPr>
                <w:sz w:val="20"/>
                <w:szCs w:val="20"/>
                <w:color w:val="auto"/>
              </w:rPr>
            </w:pPr>
            <w:r>
              <w:rPr>
                <w:rFonts w:ascii="Arial" w:cs="Arial" w:eastAsia="Arial" w:hAnsi="Arial"/>
                <w:sz w:val="22"/>
                <w:szCs w:val="22"/>
                <w:color w:val="auto"/>
              </w:rPr>
              <w:t>78</w:t>
            </w:r>
          </w:p>
        </w:tc>
        <w:tc>
          <w:tcPr>
            <w:tcW w:w="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4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219"/>
          </w:cols>
          <w:pgMar w:left="240" w:top="575" w:right="1440" w:bottom="1440" w:gutter="0" w:footer="0" w:header="0"/>
        </w:sectPr>
      </w:pPr>
    </w:p>
    <w:bookmarkStart w:id="212" w:name="page213"/>
    <w:bookmarkEnd w:id="212"/>
    <w:p>
      <w:pPr>
        <w:spacing w:after="0"/>
        <w:tabs>
          <w:tab w:leader="none" w:pos="2740" w:val="left"/>
        </w:tabs>
        <w:rPr>
          <w:rFonts w:ascii="Arial" w:cs="Arial" w:eastAsia="Arial" w:hAnsi="Arial"/>
          <w:sz w:val="22"/>
          <w:szCs w:val="22"/>
          <w:color w:val="0000FF"/>
        </w:rPr>
      </w:pPr>
      <w:hyperlink w:anchor="page270">
        <w:r>
          <w:rPr>
            <w:rFonts w:ascii="Arial" w:cs="Arial" w:eastAsia="Arial" w:hAnsi="Arial"/>
            <w:sz w:val="22"/>
            <w:szCs w:val="22"/>
            <w:u w:val="single" w:color="auto"/>
            <w:color w:val="0000FF"/>
          </w:rPr>
          <w:t xml:space="preserve">Section 13.8 </w:t>
        </w:r>
      </w:hyperlink>
      <w:r>
        <w:rPr>
          <w:rFonts w:ascii="Arial" w:cs="Arial" w:eastAsia="Arial" w:hAnsi="Arial"/>
          <w:sz w:val="22"/>
          <w:szCs w:val="22"/>
          <w:color w:val="0000FF"/>
        </w:rPr>
        <w:t xml:space="preserve">Binding </w:t>
      </w:r>
      <w:r>
        <w:rPr>
          <w:rFonts w:ascii="Arial" w:cs="Arial" w:eastAsia="Arial" w:hAnsi="Arial"/>
          <w:sz w:val="22"/>
          <w:szCs w:val="22"/>
          <w:u w:val="single" w:color="auto"/>
          <w:color w:val="0000FF"/>
        </w:rPr>
        <w:t>Effect.</w:t>
      </w:r>
      <w:r>
        <w:rPr>
          <w:rFonts w:ascii="Arial" w:cs="Arial" w:eastAsia="Arial" w:hAnsi="Arial"/>
          <w:sz w:val="22"/>
          <w:szCs w:val="22"/>
          <w:color w:val="0000FF"/>
        </w:rPr>
        <w:tab/>
      </w:r>
      <w:r>
        <w:rPr>
          <w:rFonts w:ascii="Arial" w:cs="Arial" w:eastAsia="Arial" w:hAnsi="Arial"/>
          <w:sz w:val="17"/>
          <w:szCs w:val="17"/>
          <w:color w:val="0000FF"/>
        </w:rPr>
        <w:t>78</w:t>
      </w:r>
    </w:p>
    <w:p>
      <w:pPr>
        <w:spacing w:after="0" w:line="112" w:lineRule="exact"/>
        <w:rPr>
          <w:sz w:val="20"/>
          <w:szCs w:val="20"/>
          <w:color w:val="auto"/>
        </w:rPr>
      </w:pPr>
    </w:p>
    <w:p>
      <w:pPr>
        <w:spacing w:after="0"/>
        <w:tabs>
          <w:tab w:leader="none" w:pos="3140" w:val="left"/>
        </w:tabs>
        <w:rPr>
          <w:rFonts w:ascii="Arial" w:cs="Arial" w:eastAsia="Arial" w:hAnsi="Arial"/>
          <w:sz w:val="22"/>
          <w:szCs w:val="22"/>
          <w:color w:val="0000FF"/>
        </w:rPr>
      </w:pPr>
      <w:hyperlink w:anchor="page270">
        <w:r>
          <w:rPr>
            <w:rFonts w:ascii="Arial" w:cs="Arial" w:eastAsia="Arial" w:hAnsi="Arial"/>
            <w:sz w:val="22"/>
            <w:szCs w:val="22"/>
            <w:u w:val="single" w:color="auto"/>
            <w:color w:val="0000FF"/>
          </w:rPr>
          <w:t xml:space="preserve">Section 13.9 </w:t>
        </w:r>
      </w:hyperlink>
      <w:r>
        <w:rPr>
          <w:rFonts w:ascii="Arial" w:cs="Arial" w:eastAsia="Arial" w:hAnsi="Arial"/>
          <w:sz w:val="22"/>
          <w:szCs w:val="22"/>
          <w:color w:val="0000FF"/>
        </w:rPr>
        <w:t xml:space="preserve">Further </w:t>
      </w:r>
      <w:r>
        <w:rPr>
          <w:rFonts w:ascii="Arial" w:cs="Arial" w:eastAsia="Arial" w:hAnsi="Arial"/>
          <w:sz w:val="22"/>
          <w:szCs w:val="22"/>
          <w:u w:val="single" w:color="auto"/>
          <w:color w:val="0000FF"/>
        </w:rPr>
        <w:t>Assurances.</w:t>
      </w:r>
      <w:r>
        <w:rPr>
          <w:rFonts w:ascii="Arial" w:cs="Arial" w:eastAsia="Arial" w:hAnsi="Arial"/>
          <w:sz w:val="22"/>
          <w:szCs w:val="22"/>
          <w:color w:val="0000FF"/>
        </w:rPr>
        <w:tab/>
      </w:r>
      <w:r>
        <w:rPr>
          <w:rFonts w:ascii="Arial" w:cs="Arial" w:eastAsia="Arial" w:hAnsi="Arial"/>
          <w:sz w:val="17"/>
          <w:szCs w:val="17"/>
          <w:color w:val="0000FF"/>
        </w:rPr>
        <w:t>78</w:t>
      </w:r>
    </w:p>
    <w:p>
      <w:pPr>
        <w:spacing w:after="0" w:line="112" w:lineRule="exact"/>
        <w:rPr>
          <w:sz w:val="20"/>
          <w:szCs w:val="20"/>
          <w:color w:val="auto"/>
        </w:rPr>
      </w:pPr>
    </w:p>
    <w:p>
      <w:pPr>
        <w:spacing w:after="0"/>
        <w:tabs>
          <w:tab w:leader="none" w:pos="2460" w:val="left"/>
        </w:tabs>
        <w:rPr>
          <w:rFonts w:ascii="Arial" w:cs="Arial" w:eastAsia="Arial" w:hAnsi="Arial"/>
          <w:sz w:val="22"/>
          <w:szCs w:val="22"/>
          <w:color w:val="0000FF"/>
        </w:rPr>
      </w:pPr>
      <w:hyperlink w:anchor="page270">
        <w:r>
          <w:rPr>
            <w:rFonts w:ascii="Arial" w:cs="Arial" w:eastAsia="Arial" w:hAnsi="Arial"/>
            <w:sz w:val="22"/>
            <w:szCs w:val="22"/>
            <w:u w:val="single" w:color="auto"/>
            <w:color w:val="0000FF"/>
          </w:rPr>
          <w:t xml:space="preserve">Section 13.10 </w:t>
        </w:r>
      </w:hyperlink>
      <w:r>
        <w:rPr>
          <w:rFonts w:ascii="Arial" w:cs="Arial" w:eastAsia="Arial" w:hAnsi="Arial"/>
          <w:sz w:val="22"/>
          <w:szCs w:val="22"/>
          <w:color w:val="0000FF"/>
        </w:rPr>
        <w:t>Jurisdiction.</w:t>
        <w:tab/>
      </w:r>
      <w:r>
        <w:rPr>
          <w:rFonts w:ascii="Arial" w:cs="Arial" w:eastAsia="Arial" w:hAnsi="Arial"/>
          <w:sz w:val="19"/>
          <w:szCs w:val="19"/>
          <w:color w:val="0000FF"/>
        </w:rPr>
        <w:t>79</w:t>
      </w:r>
    </w:p>
    <w:p>
      <w:pPr>
        <w:spacing w:after="0" w:line="112" w:lineRule="exact"/>
        <w:rPr>
          <w:sz w:val="20"/>
          <w:szCs w:val="20"/>
          <w:color w:val="auto"/>
        </w:rPr>
      </w:pPr>
    </w:p>
    <w:p>
      <w:pPr>
        <w:spacing w:after="0"/>
        <w:tabs>
          <w:tab w:leader="none" w:pos="3420" w:val="left"/>
        </w:tabs>
        <w:rPr>
          <w:rFonts w:ascii="Arial" w:cs="Arial" w:eastAsia="Arial" w:hAnsi="Arial"/>
          <w:sz w:val="22"/>
          <w:szCs w:val="22"/>
          <w:color w:val="0000FF"/>
        </w:rPr>
      </w:pPr>
      <w:hyperlink w:anchor="page270">
        <w:r>
          <w:rPr>
            <w:rFonts w:ascii="Arial" w:cs="Arial" w:eastAsia="Arial" w:hAnsi="Arial"/>
            <w:sz w:val="22"/>
            <w:szCs w:val="22"/>
            <w:u w:val="single" w:color="auto"/>
            <w:color w:val="0000FF"/>
          </w:rPr>
          <w:t xml:space="preserve">Section 13.11 </w:t>
        </w:r>
      </w:hyperlink>
      <w:r>
        <w:rPr>
          <w:rFonts w:ascii="Arial" w:cs="Arial" w:eastAsia="Arial" w:hAnsi="Arial"/>
          <w:sz w:val="22"/>
          <w:szCs w:val="22"/>
          <w:color w:val="0000FF"/>
        </w:rPr>
        <w:t xml:space="preserve">Limitation </w:t>
      </w:r>
      <w:r>
        <w:rPr>
          <w:rFonts w:ascii="Arial" w:cs="Arial" w:eastAsia="Arial" w:hAnsi="Arial"/>
          <w:sz w:val="22"/>
          <w:szCs w:val="22"/>
          <w:u w:val="single" w:color="auto"/>
          <w:color w:val="0000FF"/>
        </w:rPr>
        <w:t>on Liability.</w:t>
      </w:r>
      <w:r>
        <w:rPr>
          <w:rFonts w:ascii="Arial" w:cs="Arial" w:eastAsia="Arial" w:hAnsi="Arial"/>
          <w:sz w:val="22"/>
          <w:szCs w:val="22"/>
          <w:color w:val="0000FF"/>
        </w:rPr>
        <w:tab/>
      </w:r>
      <w:r>
        <w:rPr>
          <w:rFonts w:ascii="Arial" w:cs="Arial" w:eastAsia="Arial" w:hAnsi="Arial"/>
          <w:sz w:val="19"/>
          <w:szCs w:val="19"/>
          <w:color w:val="0000FF"/>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9879"/>
          </w:cols>
          <w:pgMar w:left="580" w:top="605" w:right="1440"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u w:val="single" w:color="auto"/>
          <w:color w:val="auto"/>
        </w:rPr>
        <w:t>ANNEXES, SCHEDULES AND EXHIBITS</w:t>
      </w:r>
      <w:r>
        <w:rPr>
          <w:rFonts w:ascii="Arial" w:cs="Arial" w:eastAsia="Arial" w:hAnsi="Arial"/>
          <w:sz w:val="22"/>
          <w:szCs w:val="22"/>
          <w:color w:val="auto"/>
        </w:rPr>
        <w:t>:</w:t>
      </w:r>
    </w:p>
    <w:p>
      <w:pPr>
        <w:spacing w:after="0" w:line="22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Annex I</w:t>
      </w:r>
      <w:r>
        <w:rPr>
          <w:sz w:val="20"/>
          <w:szCs w:val="20"/>
          <w:color w:val="auto"/>
        </w:rPr>
        <w:tab/>
      </w:r>
      <w:r>
        <w:rPr>
          <w:rFonts w:ascii="Arial" w:cs="Arial" w:eastAsia="Arial" w:hAnsi="Arial"/>
          <w:sz w:val="19"/>
          <w:szCs w:val="19"/>
          <w:color w:val="auto"/>
        </w:rPr>
        <w:t>Members</w:t>
      </w:r>
    </w:p>
    <w:p>
      <w:pPr>
        <w:spacing w:after="0" w:line="2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Annex II</w:t>
      </w:r>
      <w:r>
        <w:rPr>
          <w:sz w:val="20"/>
          <w:szCs w:val="20"/>
          <w:color w:val="auto"/>
        </w:rPr>
        <w:tab/>
      </w:r>
      <w:r>
        <w:rPr>
          <w:rFonts w:ascii="Arial" w:cs="Arial" w:eastAsia="Arial" w:hAnsi="Arial"/>
          <w:sz w:val="19"/>
          <w:szCs w:val="19"/>
          <w:color w:val="auto"/>
        </w:rPr>
        <w:t>Underwriting Assumptions</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Fund Addendum</w:t>
      </w:r>
    </w:p>
    <w:p>
      <w:pPr>
        <w:spacing w:after="0" w:line="22"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Membership Interest Certificate</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Assignment Agreement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Initial Operating Budget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Form of Cumulative Base Case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0219"/>
          </w:cols>
          <w:pgMar w:left="240" w:top="604" w:right="1440" w:bottom="1440" w:gutter="0" w:footer="0" w:header="0"/>
        </w:sectPr>
      </w:pPr>
    </w:p>
    <w:bookmarkStart w:id="214" w:name="page215"/>
    <w:bookmarkEnd w:id="214"/>
    <w:p>
      <w:pPr>
        <w:jc w:val="center"/>
        <w:spacing w:after="0"/>
        <w:rPr>
          <w:sz w:val="20"/>
          <w:szCs w:val="20"/>
          <w:color w:val="auto"/>
        </w:rPr>
      </w:pPr>
      <w:r>
        <w:rPr>
          <w:rFonts w:ascii="Arial" w:cs="Arial" w:eastAsia="Arial" w:hAnsi="Arial"/>
          <w:sz w:val="22"/>
          <w:szCs w:val="22"/>
          <w:b w:val="1"/>
          <w:bCs w:val="1"/>
          <w:color w:val="auto"/>
        </w:rPr>
        <w:t>NRG DGPV HOLDCO 3 LLC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LIMITED LIABILITY COMPANY AGREEMENT</w:t>
      </w:r>
    </w:p>
    <w:p>
      <w:pPr>
        <w:spacing w:after="0" w:line="220"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b w:val="1"/>
          <w:bCs w:val="1"/>
          <w:color w:val="auto"/>
        </w:rPr>
        <w:t>THIS AMENDED AND RESTATED LIMITED LIABILITY COMPANY AGREEMENT</w:t>
      </w:r>
      <w:r>
        <w:rPr>
          <w:rFonts w:ascii="Arial" w:cs="Arial" w:eastAsia="Arial" w:hAnsi="Arial"/>
          <w:sz w:val="21"/>
          <w:szCs w:val="21"/>
          <w:color w:val="auto"/>
        </w:rPr>
        <w:t>, dated as of</w:t>
      </w:r>
      <w:r>
        <w:rPr>
          <w:rFonts w:ascii="Arial" w:cs="Arial" w:eastAsia="Arial" w:hAnsi="Arial"/>
          <w:sz w:val="21"/>
          <w:szCs w:val="21"/>
          <w:b w:val="1"/>
          <w:bCs w:val="1"/>
          <w:color w:val="auto"/>
        </w:rPr>
        <w:t xml:space="preserve"> </w:t>
      </w:r>
      <w:r>
        <w:rPr>
          <w:rFonts w:ascii="Arial" w:cs="Arial" w:eastAsia="Arial" w:hAnsi="Arial"/>
          <w:sz w:val="21"/>
          <w:szCs w:val="21"/>
          <w:color w:val="auto"/>
        </w:rPr>
        <w:t>September 26</w:t>
      </w:r>
      <w:r>
        <w:rPr>
          <w:rFonts w:ascii="Arial" w:cs="Arial" w:eastAsia="Arial" w:hAnsi="Arial"/>
          <w:sz w:val="18"/>
          <w:szCs w:val="18"/>
          <w:color w:val="auto"/>
        </w:rPr>
        <w:t>, 2017</w:t>
      </w:r>
      <w:r>
        <w:rPr>
          <w:rFonts w:ascii="Arial" w:cs="Arial" w:eastAsia="Arial" w:hAnsi="Arial"/>
          <w:sz w:val="21"/>
          <w:szCs w:val="21"/>
          <w:color w:val="auto"/>
        </w:rPr>
        <w:t xml:space="preserve">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is made and entered into by and among </w:t>
      </w:r>
      <w:r>
        <w:rPr>
          <w:rFonts w:ascii="Arial" w:cs="Arial" w:eastAsia="Arial" w:hAnsi="Arial"/>
          <w:sz w:val="21"/>
          <w:szCs w:val="21"/>
          <w:b w:val="1"/>
          <w:bCs w:val="1"/>
          <w:color w:val="auto"/>
        </w:rPr>
        <w:t>NRG YIELD DGPV HOLDING LLC</w:t>
      </w:r>
      <w:r>
        <w:rPr>
          <w:rFonts w:ascii="Arial" w:cs="Arial" w:eastAsia="Arial" w:hAnsi="Arial"/>
          <w:sz w:val="21"/>
          <w:szCs w:val="21"/>
          <w:color w:val="auto"/>
        </w:rPr>
        <w:t>, a Delaware limited liability company (the “</w:t>
      </w:r>
      <w:r>
        <w:rPr>
          <w:rFonts w:ascii="Arial" w:cs="Arial" w:eastAsia="Arial" w:hAnsi="Arial"/>
          <w:sz w:val="21"/>
          <w:szCs w:val="21"/>
          <w:b w:val="1"/>
          <w:bCs w:val="1"/>
          <w:color w:val="auto"/>
        </w:rPr>
        <w:t>Initial Class A Member</w:t>
      </w:r>
      <w:r>
        <w:rPr>
          <w:rFonts w:ascii="Arial" w:cs="Arial" w:eastAsia="Arial" w:hAnsi="Arial"/>
          <w:sz w:val="21"/>
          <w:szCs w:val="21"/>
          <w:color w:val="auto"/>
        </w:rPr>
        <w:t xml:space="preserve">”), as a Class A Member, </w:t>
      </w:r>
      <w:r>
        <w:rPr>
          <w:rFonts w:ascii="Arial" w:cs="Arial" w:eastAsia="Arial" w:hAnsi="Arial"/>
          <w:sz w:val="21"/>
          <w:szCs w:val="21"/>
          <w:b w:val="1"/>
          <w:bCs w:val="1"/>
          <w:color w:val="auto"/>
        </w:rPr>
        <w:t>NRG RENEW DG HOLDINGS</w:t>
      </w:r>
      <w:r>
        <w:rPr>
          <w:rFonts w:ascii="Arial" w:cs="Arial" w:eastAsia="Arial" w:hAnsi="Arial"/>
          <w:sz w:val="21"/>
          <w:szCs w:val="21"/>
          <w:color w:val="auto"/>
        </w:rPr>
        <w:t xml:space="preserve"> </w:t>
      </w:r>
      <w:r>
        <w:rPr>
          <w:rFonts w:ascii="Arial" w:cs="Arial" w:eastAsia="Arial" w:hAnsi="Arial"/>
          <w:sz w:val="21"/>
          <w:szCs w:val="21"/>
          <w:b w:val="1"/>
          <w:bCs w:val="1"/>
          <w:color w:val="auto"/>
        </w:rPr>
        <w:t>LLC</w:t>
      </w:r>
      <w:r>
        <w:rPr>
          <w:rFonts w:ascii="Arial" w:cs="Arial" w:eastAsia="Arial" w:hAnsi="Arial"/>
          <w:sz w:val="21"/>
          <w:szCs w:val="21"/>
          <w:color w:val="auto"/>
        </w:rPr>
        <w:t>, a Delaware limited liability company (the “</w:t>
      </w:r>
      <w:r>
        <w:rPr>
          <w:rFonts w:ascii="Arial" w:cs="Arial" w:eastAsia="Arial" w:hAnsi="Arial"/>
          <w:sz w:val="21"/>
          <w:szCs w:val="21"/>
          <w:b w:val="1"/>
          <w:bCs w:val="1"/>
          <w:color w:val="auto"/>
        </w:rPr>
        <w:t>Initial Class B Member</w:t>
      </w:r>
      <w:r>
        <w:rPr>
          <w:rFonts w:ascii="Arial" w:cs="Arial" w:eastAsia="Arial" w:hAnsi="Arial"/>
          <w:sz w:val="21"/>
          <w:szCs w:val="21"/>
          <w:color w:val="auto"/>
        </w:rPr>
        <w:t>”), as a Class B Member, and NRG Renew LLC,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limited liability company (the “</w:t>
      </w:r>
      <w:r>
        <w:rPr>
          <w:rFonts w:ascii="Arial" w:cs="Arial" w:eastAsia="Arial" w:hAnsi="Arial"/>
          <w:sz w:val="21"/>
          <w:szCs w:val="21"/>
          <w:b w:val="1"/>
          <w:bCs w:val="1"/>
          <w:color w:val="auto"/>
        </w:rPr>
        <w:t>Sponsor</w:t>
      </w:r>
      <w:r>
        <w:rPr>
          <w:rFonts w:ascii="Arial" w:cs="Arial" w:eastAsia="Arial" w:hAnsi="Arial"/>
          <w:sz w:val="21"/>
          <w:szCs w:val="21"/>
          <w:color w:val="auto"/>
        </w:rPr>
        <w:t xml:space="preserve">”), solely for the purpose of acknowledging the indemnity obligations contained in </w:t>
      </w:r>
      <w:r>
        <w:rPr>
          <w:rFonts w:ascii="Arial" w:cs="Arial" w:eastAsia="Arial" w:hAnsi="Arial"/>
          <w:sz w:val="21"/>
          <w:szCs w:val="21"/>
          <w:u w:val="single" w:color="auto"/>
          <w:color w:val="auto"/>
        </w:rPr>
        <w:t>Article XI</w:t>
      </w:r>
      <w:r>
        <w:rPr>
          <w:rFonts w:ascii="Arial" w:cs="Arial" w:eastAsia="Arial" w:hAnsi="Arial"/>
          <w:sz w:val="21"/>
          <w:szCs w:val="21"/>
          <w:color w:val="auto"/>
        </w:rPr>
        <w:t>. This Agreement supersedes all prior and contemporaneous agreements, statements, understandings and representations regarding the terms and operations of the Company, including without limitation that certain Limited Liability Company Agreement of the Company dated April 26, 2017 (the “</w:t>
      </w:r>
      <w:r>
        <w:rPr>
          <w:rFonts w:ascii="Arial" w:cs="Arial" w:eastAsia="Arial" w:hAnsi="Arial"/>
          <w:sz w:val="21"/>
          <w:szCs w:val="21"/>
          <w:b w:val="1"/>
          <w:bCs w:val="1"/>
          <w:color w:val="auto"/>
        </w:rPr>
        <w:t>Original Agreement</w:t>
      </w:r>
      <w:r>
        <w:rPr>
          <w:rFonts w:ascii="Arial" w:cs="Arial" w:eastAsia="Arial" w:hAnsi="Arial"/>
          <w:sz w:val="21"/>
          <w:szCs w:val="21"/>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1305"/>
        <w:spacing w:after="0" w:line="249" w:lineRule="auto"/>
        <w:tabs>
          <w:tab w:leader="none" w:pos="1798" w:val="left"/>
        </w:tabs>
        <w:numPr>
          <w:ilvl w:val="0"/>
          <w:numId w:val="211"/>
        </w:numPr>
        <w:rPr>
          <w:rFonts w:ascii="Arial" w:cs="Arial" w:eastAsia="Arial" w:hAnsi="Arial"/>
          <w:sz w:val="22"/>
          <w:szCs w:val="22"/>
          <w:color w:val="auto"/>
        </w:rPr>
      </w:pPr>
      <w:r>
        <w:rPr>
          <w:rFonts w:ascii="Arial" w:cs="Arial" w:eastAsia="Arial" w:hAnsi="Arial"/>
          <w:sz w:val="22"/>
          <w:szCs w:val="22"/>
          <w:color w:val="auto"/>
        </w:rPr>
        <w:t>NRG DGPV HOLDCO 3 LLC, a Delaware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was formed by the Initial Class B Member pursuant to the Act on April 26, 2017, by virtue of its Certificate of Formation (the “</w:t>
      </w:r>
      <w:r>
        <w:rPr>
          <w:rFonts w:ascii="Arial" w:cs="Arial" w:eastAsia="Arial" w:hAnsi="Arial"/>
          <w:sz w:val="22"/>
          <w:szCs w:val="22"/>
          <w:b w:val="1"/>
          <w:bCs w:val="1"/>
          <w:color w:val="auto"/>
        </w:rPr>
        <w:t>Delaware</w:t>
      </w:r>
      <w:r>
        <w:rPr>
          <w:rFonts w:ascii="Arial" w:cs="Arial" w:eastAsia="Arial" w:hAnsi="Arial"/>
          <w:sz w:val="22"/>
          <w:szCs w:val="22"/>
          <w:color w:val="auto"/>
        </w:rPr>
        <w:t xml:space="preserve"> </w:t>
      </w:r>
      <w:r>
        <w:rPr>
          <w:rFonts w:ascii="Arial" w:cs="Arial" w:eastAsia="Arial" w:hAnsi="Arial"/>
          <w:sz w:val="22"/>
          <w:szCs w:val="22"/>
          <w:b w:val="1"/>
          <w:bCs w:val="1"/>
          <w:color w:val="auto"/>
        </w:rPr>
        <w:t>Certificate</w:t>
      </w:r>
      <w:r>
        <w:rPr>
          <w:rFonts w:ascii="Arial" w:cs="Arial" w:eastAsia="Arial" w:hAnsi="Arial"/>
          <w:sz w:val="22"/>
          <w:szCs w:val="22"/>
          <w:color w:val="auto"/>
        </w:rPr>
        <w:t>”) filed with the Secretary of State of the State of Delaware. Prior to the Execution Date, the Initial Class B Member</w:t>
      </w:r>
      <w:r>
        <w:rPr>
          <w:rFonts w:ascii="Arial" w:cs="Arial" w:eastAsia="Arial" w:hAnsi="Arial"/>
          <w:sz w:val="22"/>
          <w:szCs w:val="22"/>
          <w:b w:val="1"/>
          <w:bCs w:val="1"/>
          <w:color w:val="auto"/>
        </w:rPr>
        <w:t xml:space="preserve"> </w:t>
      </w:r>
      <w:r>
        <w:rPr>
          <w:rFonts w:ascii="Arial" w:cs="Arial" w:eastAsia="Arial" w:hAnsi="Arial"/>
          <w:sz w:val="22"/>
          <w:szCs w:val="22"/>
          <w:color w:val="auto"/>
        </w:rPr>
        <w:t>owned 100% of the membership interests in the Company. The Company now desires to admit the Initial Class A Member as a member of the Company.</w:t>
      </w:r>
    </w:p>
    <w:p>
      <w:pPr>
        <w:spacing w:after="0" w:line="186" w:lineRule="exact"/>
        <w:rPr>
          <w:rFonts w:ascii="Arial" w:cs="Arial" w:eastAsia="Arial" w:hAnsi="Arial"/>
          <w:sz w:val="22"/>
          <w:szCs w:val="22"/>
          <w:color w:val="auto"/>
        </w:rPr>
      </w:pPr>
    </w:p>
    <w:p>
      <w:pPr>
        <w:jc w:val="both"/>
        <w:ind w:firstLine="1305"/>
        <w:spacing w:after="0" w:line="256" w:lineRule="auto"/>
        <w:tabs>
          <w:tab w:leader="none" w:pos="1732"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Company intends to own interests in subsidiary companies (each a “</w:t>
      </w:r>
      <w:r>
        <w:rPr>
          <w:rFonts w:ascii="Arial" w:cs="Arial" w:eastAsia="Arial" w:hAnsi="Arial"/>
          <w:sz w:val="22"/>
          <w:szCs w:val="22"/>
          <w:b w:val="1"/>
          <w:bCs w:val="1"/>
          <w:color w:val="auto"/>
        </w:rPr>
        <w:t>Fund Company</w:t>
      </w:r>
      <w:r>
        <w:rPr>
          <w:rFonts w:ascii="Arial" w:cs="Arial" w:eastAsia="Arial" w:hAnsi="Arial"/>
          <w:sz w:val="22"/>
          <w:szCs w:val="22"/>
          <w:color w:val="auto"/>
        </w:rPr>
        <w:t>” and collectively the “</w:t>
      </w:r>
      <w:r>
        <w:rPr>
          <w:rFonts w:ascii="Arial" w:cs="Arial" w:eastAsia="Arial" w:hAnsi="Arial"/>
          <w:sz w:val="22"/>
          <w:szCs w:val="22"/>
          <w:b w:val="1"/>
          <w:bCs w:val="1"/>
          <w:color w:val="auto"/>
        </w:rPr>
        <w:t>Fund Companies</w:t>
      </w:r>
      <w:r>
        <w:rPr>
          <w:rFonts w:ascii="Arial" w:cs="Arial" w:eastAsia="Arial" w:hAnsi="Arial"/>
          <w:sz w:val="22"/>
          <w:szCs w:val="22"/>
          <w:color w:val="auto"/>
        </w:rPr>
        <w:t>”) that either own or will purchase solar power generation projects and other ancillary related assets (each a “</w:t>
      </w:r>
      <w:r>
        <w:rPr>
          <w:rFonts w:ascii="Arial" w:cs="Arial" w:eastAsia="Arial" w:hAnsi="Arial"/>
          <w:sz w:val="22"/>
          <w:szCs w:val="22"/>
          <w:b w:val="1"/>
          <w:bCs w:val="1"/>
          <w:color w:val="auto"/>
        </w:rPr>
        <w:t>Project</w:t>
      </w:r>
      <w:r>
        <w:rPr>
          <w:rFonts w:ascii="Arial" w:cs="Arial" w:eastAsia="Arial" w:hAnsi="Arial"/>
          <w:sz w:val="22"/>
          <w:szCs w:val="22"/>
          <w:color w:val="auto"/>
        </w:rPr>
        <w:t>” and collectively, the “</w:t>
      </w:r>
      <w:r>
        <w:rPr>
          <w:rFonts w:ascii="Arial" w:cs="Arial" w:eastAsia="Arial" w:hAnsi="Arial"/>
          <w:sz w:val="22"/>
          <w:szCs w:val="22"/>
          <w:b w:val="1"/>
          <w:bCs w:val="1"/>
          <w:color w:val="auto"/>
        </w:rPr>
        <w:t>Projects</w:t>
      </w:r>
      <w:r>
        <w:rPr>
          <w:rFonts w:ascii="Arial" w:cs="Arial" w:eastAsia="Arial" w:hAnsi="Arial"/>
          <w:sz w:val="22"/>
          <w:szCs w:val="22"/>
          <w:color w:val="auto"/>
        </w:rPr>
        <w:t>”);</w:t>
      </w:r>
    </w:p>
    <w:p>
      <w:pPr>
        <w:spacing w:after="0" w:line="182" w:lineRule="exact"/>
        <w:rPr>
          <w:rFonts w:ascii="Arial" w:cs="Arial" w:eastAsia="Arial" w:hAnsi="Arial"/>
          <w:sz w:val="22"/>
          <w:szCs w:val="22"/>
          <w:color w:val="auto"/>
        </w:rPr>
      </w:pPr>
    </w:p>
    <w:p>
      <w:pPr>
        <w:jc w:val="both"/>
        <w:ind w:firstLine="1305"/>
        <w:spacing w:after="0" w:line="302" w:lineRule="auto"/>
        <w:tabs>
          <w:tab w:leader="none" w:pos="1784"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Company will hold its interest in the Fund Companies through one or more intermediate wholly-owned companies (each an “</w:t>
      </w:r>
      <w:r>
        <w:rPr>
          <w:rFonts w:ascii="Arial" w:cs="Arial" w:eastAsia="Arial" w:hAnsi="Arial"/>
          <w:sz w:val="19"/>
          <w:szCs w:val="19"/>
          <w:b w:val="1"/>
          <w:bCs w:val="1"/>
          <w:color w:val="auto"/>
        </w:rPr>
        <w:t>Intermediate Company</w:t>
      </w:r>
      <w:r>
        <w:rPr>
          <w:rFonts w:ascii="Arial" w:cs="Arial" w:eastAsia="Arial" w:hAnsi="Arial"/>
          <w:sz w:val="19"/>
          <w:szCs w:val="19"/>
          <w:color w:val="auto"/>
        </w:rPr>
        <w:t>” and collectively the “</w:t>
      </w:r>
      <w:r>
        <w:rPr>
          <w:rFonts w:ascii="Arial" w:cs="Arial" w:eastAsia="Arial" w:hAnsi="Arial"/>
          <w:sz w:val="19"/>
          <w:szCs w:val="19"/>
          <w:b w:val="1"/>
          <w:bCs w:val="1"/>
          <w:color w:val="auto"/>
        </w:rPr>
        <w:t>Intermediate Companies</w:t>
      </w:r>
      <w:r>
        <w:rPr>
          <w:rFonts w:ascii="Arial" w:cs="Arial" w:eastAsia="Arial" w:hAnsi="Arial"/>
          <w:sz w:val="19"/>
          <w:szCs w:val="19"/>
          <w:color w:val="auto"/>
        </w:rPr>
        <w:t>”). An Intermediate Company may be the sole owner of a Fund Company or it may be the managing member of such Fund Company if such Fund Company is jointly owned with one or more investors (each, a “</w:t>
      </w:r>
      <w:r>
        <w:rPr>
          <w:rFonts w:ascii="Arial" w:cs="Arial" w:eastAsia="Arial" w:hAnsi="Arial"/>
          <w:sz w:val="19"/>
          <w:szCs w:val="19"/>
          <w:b w:val="1"/>
          <w:bCs w:val="1"/>
          <w:color w:val="auto"/>
        </w:rPr>
        <w:t>Fund Investor</w:t>
      </w:r>
      <w:r>
        <w:rPr>
          <w:rFonts w:ascii="Arial" w:cs="Arial" w:eastAsia="Arial" w:hAnsi="Arial"/>
          <w:sz w:val="19"/>
          <w:szCs w:val="19"/>
          <w:color w:val="auto"/>
        </w:rPr>
        <w:t>” and collectively, the “</w:t>
      </w:r>
      <w:r>
        <w:rPr>
          <w:rFonts w:ascii="Arial" w:cs="Arial" w:eastAsia="Arial" w:hAnsi="Arial"/>
          <w:sz w:val="19"/>
          <w:szCs w:val="19"/>
          <w:b w:val="1"/>
          <w:bCs w:val="1"/>
          <w:color w:val="auto"/>
        </w:rPr>
        <w:t>Fund Investors</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1305"/>
        <w:spacing w:after="0" w:line="250" w:lineRule="auto"/>
        <w:tabs>
          <w:tab w:leader="none" w:pos="1872" w:val="left"/>
        </w:tabs>
        <w:numPr>
          <w:ilvl w:val="0"/>
          <w:numId w:val="211"/>
        </w:numPr>
        <w:rPr>
          <w:rFonts w:ascii="Arial" w:cs="Arial" w:eastAsia="Arial" w:hAnsi="Arial"/>
          <w:sz w:val="22"/>
          <w:szCs w:val="22"/>
          <w:color w:val="auto"/>
        </w:rPr>
      </w:pPr>
      <w:r>
        <w:rPr>
          <w:rFonts w:ascii="Arial" w:cs="Arial" w:eastAsia="Arial" w:hAnsi="Arial"/>
          <w:sz w:val="22"/>
          <w:szCs w:val="22"/>
          <w:color w:val="auto"/>
        </w:rPr>
        <w:t>Upon the approval of the Members for acquisition by the Company of a Fund Company, the Members will each make capital contributions to the Company to fund the Company’s purchase of such Fund Company, if such Fund Company is a going concern, and to fund the ongoing obligations of each Intermediate Company with respect to its Fund Company subsidiaries in accordance with the Company’s Approved Budget.</w:t>
      </w:r>
    </w:p>
    <w:p>
      <w:pPr>
        <w:spacing w:after="0" w:line="188" w:lineRule="exact"/>
        <w:rPr>
          <w:rFonts w:ascii="Arial" w:cs="Arial" w:eastAsia="Arial" w:hAnsi="Arial"/>
          <w:sz w:val="22"/>
          <w:szCs w:val="22"/>
          <w:color w:val="auto"/>
        </w:rPr>
      </w:pPr>
    </w:p>
    <w:p>
      <w:pPr>
        <w:ind w:left="1800" w:hanging="495"/>
        <w:spacing w:after="0"/>
        <w:tabs>
          <w:tab w:leader="none" w:pos="180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Company adopted the Original Agreement on April 26, 2017 and now wishes to replace such Original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ectPr>
          <w:pgSz w:w="11900" w:h="16838" w:orient="portrait"/>
          <w:cols w:equalWidth="0" w:num="1">
            <w:col w:w="11420"/>
          </w:cols>
          <w:pgMar w:left="240" w:top="855" w:right="239" w:bottom="1440" w:gutter="0" w:footer="0" w:header="0"/>
        </w:sectPr>
      </w:pPr>
    </w:p>
    <w:bookmarkStart w:id="215" w:name="page216"/>
    <w:bookmarkEnd w:id="215"/>
    <w:p>
      <w:pPr>
        <w:ind w:left="1720" w:hanging="415"/>
        <w:spacing w:after="0"/>
        <w:tabs>
          <w:tab w:leader="none" w:pos="172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The Members desire to enter into this Agreement to describe their respective right and obligations as members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Company.</w:t>
      </w:r>
    </w:p>
    <w:p>
      <w:pPr>
        <w:spacing w:after="0" w:line="202"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NOW, THEREFORE, in consideration of the premises and the mutual undertakings contained herein, the parties hereto hereby agree, as follows: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04" w:right="239" w:bottom="1440" w:gutter="0" w:footer="0" w:header="0"/>
        </w:sectPr>
      </w:pPr>
    </w:p>
    <w:bookmarkStart w:id="216" w:name="page217"/>
    <w:bookmarkEnd w:id="216"/>
    <w:p>
      <w:pPr>
        <w:ind w:left="522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Certain Definitions.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following initially capitalized terms, as and when used in this Agreement, shall have meanings set forth below:</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“Accepted Acquisition”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6.3(b)</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“Act” </w:t>
      </w:r>
      <w:r>
        <w:rPr>
          <w:rFonts w:ascii="Arial" w:cs="Arial" w:eastAsia="Arial" w:hAnsi="Arial"/>
          <w:sz w:val="22"/>
          <w:szCs w:val="22"/>
          <w:color w:val="auto"/>
        </w:rPr>
        <w:t>means the Delaware Limited Liability Company Act, 6 Del. Code §§ 18-101</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and any successor to such statutes.</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“Additional Project Document” </w:t>
      </w:r>
      <w:r>
        <w:rPr>
          <w:rFonts w:ascii="Arial" w:cs="Arial" w:eastAsia="Arial" w:hAnsi="Arial"/>
          <w:sz w:val="22"/>
          <w:szCs w:val="22"/>
          <w:color w:val="auto"/>
        </w:rPr>
        <w:t>means, collectively, any Contract (or series of related Contracts) entered into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or any Subject Company subsequent to the Effective Date.</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“Adjusted Capital Account Deficit” </w:t>
      </w:r>
      <w:r>
        <w:rPr>
          <w:rFonts w:ascii="Arial" w:cs="Arial" w:eastAsia="Arial" w:hAnsi="Arial"/>
          <w:sz w:val="22"/>
          <w:szCs w:val="22"/>
          <w:color w:val="auto"/>
        </w:rPr>
        <w:t>means, with respect to any Member, the deficit balance, if any, in the Capital</w:t>
      </w:r>
      <w:r>
        <w:rPr>
          <w:rFonts w:ascii="Arial" w:cs="Arial" w:eastAsia="Arial" w:hAnsi="Arial"/>
          <w:sz w:val="22"/>
          <w:szCs w:val="22"/>
          <w:b w:val="1"/>
          <w:bCs w:val="1"/>
          <w:color w:val="auto"/>
        </w:rPr>
        <w:t xml:space="preserve"> </w:t>
      </w:r>
      <w:r>
        <w:rPr>
          <w:rFonts w:ascii="Arial" w:cs="Arial" w:eastAsia="Arial" w:hAnsi="Arial"/>
          <w:sz w:val="22"/>
          <w:szCs w:val="22"/>
          <w:color w:val="auto"/>
        </w:rPr>
        <w:t>Account established and maintained for such Member, as the same is specially computed as of the end of the Taxable Year after giving effect to the following adjustments:</w:t>
      </w:r>
    </w:p>
    <w:p>
      <w:pPr>
        <w:spacing w:after="0" w:line="182" w:lineRule="exact"/>
        <w:rPr>
          <w:sz w:val="20"/>
          <w:szCs w:val="20"/>
          <w:color w:val="auto"/>
        </w:rPr>
      </w:pPr>
    </w:p>
    <w:p>
      <w:pPr>
        <w:jc w:val="both"/>
        <w:ind w:left="660" w:firstLine="1293"/>
        <w:spacing w:after="0" w:line="261" w:lineRule="exact"/>
        <w:tabs>
          <w:tab w:leader="none" w:pos="2607" w:val="left"/>
        </w:tabs>
        <w:numPr>
          <w:ilvl w:val="0"/>
          <w:numId w:val="213"/>
        </w:numPr>
        <w:rPr>
          <w:rFonts w:ascii="Arial" w:cs="Arial" w:eastAsia="Arial" w:hAnsi="Arial"/>
          <w:sz w:val="21"/>
          <w:szCs w:val="21"/>
          <w:color w:val="auto"/>
        </w:rPr>
      </w:pPr>
      <w:r>
        <w:rPr>
          <w:rFonts w:ascii="Arial" w:cs="Arial" w:eastAsia="Arial" w:hAnsi="Arial"/>
          <w:sz w:val="21"/>
          <w:szCs w:val="21"/>
          <w:color w:val="auto"/>
        </w:rPr>
        <w:t xml:space="preserve">Credit to such Member’s Capital Account any amounts (including unpaid Capital Contributions expected to be paid by the end of the relevant tax year) which such Member is obligated to contribute to the Company or to restore pursuant to </w:t>
      </w:r>
      <w:r>
        <w:rPr>
          <w:rFonts w:ascii="Arial" w:cs="Arial" w:eastAsia="Arial" w:hAnsi="Arial"/>
          <w:sz w:val="21"/>
          <w:szCs w:val="21"/>
          <w:u w:val="single" w:color="auto"/>
          <w:color w:val="auto"/>
        </w:rPr>
        <w:t>Section 12.3</w:t>
      </w:r>
      <w:r>
        <w:rPr>
          <w:rFonts w:ascii="Arial" w:cs="Arial" w:eastAsia="Arial" w:hAnsi="Arial"/>
          <w:sz w:val="21"/>
          <w:szCs w:val="21"/>
          <w:color w:val="auto"/>
        </w:rPr>
        <w:t xml:space="preserve"> of this Agreement or is deemed obligated to restore pursuant to the penultimate sentences in Treasury Regulations Sections 1.704</w:t>
      </w:r>
      <w:r>
        <w:rPr>
          <w:rFonts w:ascii="MS PGothic" w:cs="MS PGothic" w:eastAsia="MS PGothic" w:hAnsi="MS PGothic"/>
          <w:sz w:val="21"/>
          <w:szCs w:val="21"/>
          <w:color w:val="auto"/>
        </w:rPr>
        <w:t>‑</w:t>
      </w:r>
      <w:r>
        <w:rPr>
          <w:rFonts w:ascii="Arial" w:cs="Arial" w:eastAsia="Arial" w:hAnsi="Arial"/>
          <w:sz w:val="21"/>
          <w:szCs w:val="21"/>
          <w:color w:val="auto"/>
        </w:rPr>
        <w:t>2(g)(1) and 1.704</w:t>
      </w:r>
      <w:r>
        <w:rPr>
          <w:rFonts w:ascii="MS PGothic" w:cs="MS PGothic" w:eastAsia="MS PGothic" w:hAnsi="MS PGothic"/>
          <w:sz w:val="21"/>
          <w:szCs w:val="21"/>
          <w:color w:val="auto"/>
        </w:rPr>
        <w:t>‑</w:t>
      </w:r>
      <w:r>
        <w:rPr>
          <w:rFonts w:ascii="Arial" w:cs="Arial" w:eastAsia="Arial" w:hAnsi="Arial"/>
          <w:sz w:val="21"/>
          <w:szCs w:val="21"/>
          <w:color w:val="auto"/>
        </w:rPr>
        <w:t>2(i)(5), and</w:t>
      </w:r>
    </w:p>
    <w:p>
      <w:pPr>
        <w:spacing w:after="0" w:line="200" w:lineRule="exact"/>
        <w:rPr>
          <w:rFonts w:ascii="Arial" w:cs="Arial" w:eastAsia="Arial" w:hAnsi="Arial"/>
          <w:sz w:val="21"/>
          <w:szCs w:val="21"/>
          <w:color w:val="auto"/>
        </w:rPr>
      </w:pPr>
    </w:p>
    <w:p>
      <w:pPr>
        <w:ind w:left="660" w:right="20" w:firstLine="1293"/>
        <w:spacing w:after="0" w:line="265" w:lineRule="exact"/>
        <w:tabs>
          <w:tab w:leader="none" w:pos="2835" w:val="left"/>
        </w:tabs>
        <w:numPr>
          <w:ilvl w:val="0"/>
          <w:numId w:val="213"/>
        </w:numPr>
        <w:rPr>
          <w:rFonts w:ascii="Arial" w:cs="Arial" w:eastAsia="Arial" w:hAnsi="Arial"/>
          <w:sz w:val="22"/>
          <w:szCs w:val="22"/>
          <w:color w:val="auto"/>
        </w:rPr>
      </w:pPr>
      <w:r>
        <w:rPr>
          <w:rFonts w:ascii="Arial" w:cs="Arial" w:eastAsia="Arial" w:hAnsi="Arial"/>
          <w:sz w:val="22"/>
          <w:szCs w:val="22"/>
          <w:color w:val="auto"/>
        </w:rPr>
        <w:t>Debit to such Member’s Capital Account any items described in Treasury Regulations Sections 1.704</w:t>
      </w:r>
      <w:r>
        <w:rPr>
          <w:rFonts w:ascii="MS PGothic" w:cs="MS PGothic" w:eastAsia="MS PGothic" w:hAnsi="MS PGothic"/>
          <w:sz w:val="22"/>
          <w:szCs w:val="22"/>
          <w:color w:val="auto"/>
        </w:rPr>
        <w:t>‑</w:t>
      </w:r>
      <w:r>
        <w:rPr>
          <w:rFonts w:ascii="Arial" w:cs="Arial" w:eastAsia="Arial" w:hAnsi="Arial"/>
          <w:sz w:val="22"/>
          <w:szCs w:val="22"/>
          <w:color w:val="auto"/>
        </w:rPr>
        <w:t>1(b)(2)(ii)(d)(4), (5) and (6).</w:t>
      </w:r>
    </w:p>
    <w:p>
      <w:pPr>
        <w:spacing w:after="0" w:line="200" w:lineRule="exact"/>
        <w:rPr>
          <w:sz w:val="20"/>
          <w:szCs w:val="20"/>
          <w:color w:val="auto"/>
        </w:rPr>
      </w:pPr>
    </w:p>
    <w:p>
      <w:pPr>
        <w:jc w:val="both"/>
        <w:ind w:right="20"/>
        <w:spacing w:after="0" w:line="265" w:lineRule="exact"/>
        <w:rPr>
          <w:sz w:val="20"/>
          <w:szCs w:val="20"/>
          <w:color w:val="auto"/>
        </w:rPr>
      </w:pPr>
      <w:r>
        <w:rPr>
          <w:rFonts w:ascii="Arial" w:cs="Arial" w:eastAsia="Arial" w:hAnsi="Arial"/>
          <w:sz w:val="22"/>
          <w:szCs w:val="22"/>
          <w:color w:val="auto"/>
        </w:rPr>
        <w:t>The foregoing definition of Adjusted Capital Account Deficit is intended to comply with the provisions of Treasury Regulations Section 1.704</w:t>
      </w:r>
      <w:r>
        <w:rPr>
          <w:rFonts w:ascii="MS PGothic" w:cs="MS PGothic" w:eastAsia="MS PGothic" w:hAnsi="MS PGothic"/>
          <w:sz w:val="22"/>
          <w:szCs w:val="22"/>
          <w:color w:val="auto"/>
        </w:rPr>
        <w:t>‑</w:t>
      </w:r>
      <w:r>
        <w:rPr>
          <w:rFonts w:ascii="Arial" w:cs="Arial" w:eastAsia="Arial" w:hAnsi="Arial"/>
          <w:sz w:val="22"/>
          <w:szCs w:val="22"/>
          <w:color w:val="auto"/>
        </w:rPr>
        <w:t>1(b)(2)(ii)(d) and shall be interpreted consistently with the Treasury Regulations.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“Adjusted Deficit Capital Account Balance” </w:t>
      </w:r>
      <w:r>
        <w:rPr>
          <w:rFonts w:ascii="Arial" w:cs="Arial" w:eastAsia="Arial" w:hAnsi="Arial"/>
          <w:sz w:val="22"/>
          <w:szCs w:val="22"/>
          <w:color w:val="auto"/>
        </w:rPr>
        <w:t>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12.3</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“Advisors”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7.7(a)</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with respect to any designated Person, any other Person that directly, or indirectly through one or</w:t>
      </w:r>
      <w:r>
        <w:rPr>
          <w:rFonts w:ascii="Arial" w:cs="Arial" w:eastAsia="Arial" w:hAnsi="Arial"/>
          <w:sz w:val="22"/>
          <w:szCs w:val="22"/>
          <w:b w:val="1"/>
          <w:bCs w:val="1"/>
          <w:color w:val="auto"/>
        </w:rPr>
        <w:t xml:space="preserve"> </w:t>
      </w:r>
      <w:r>
        <w:rPr>
          <w:rFonts w:ascii="Arial" w:cs="Arial" w:eastAsia="Arial" w:hAnsi="Arial"/>
          <w:sz w:val="22"/>
          <w:szCs w:val="22"/>
          <w:color w:val="auto"/>
        </w:rPr>
        <w:t>more intermediaries, Controls, or is Controlled by, or is under common Control with, such designated Person. Any Person shall be deemed to be an Affiliate of any specified Person if such Person owns more than fifty percent (50%) of the voting securities of the specified Person, if the specified Person owns more than fifty percent (50%) of the voting securities of such Person, or if more than fifty percent (50%) of the voting securities of the specified Person and such Person are under common Control. Notwithstanding anything to the contrary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8" w:right="239" w:bottom="1440" w:gutter="0" w:footer="0" w:header="0"/>
        </w:sectPr>
      </w:pPr>
    </w:p>
    <w:bookmarkStart w:id="217" w:name="page218"/>
    <w:bookmarkEnd w:id="217"/>
    <w:p>
      <w:pPr>
        <w:jc w:val="both"/>
        <w:spacing w:after="0" w:line="263" w:lineRule="auto"/>
        <w:rPr>
          <w:sz w:val="20"/>
          <w:szCs w:val="20"/>
          <w:color w:val="auto"/>
        </w:rPr>
      </w:pPr>
      <w:r>
        <w:rPr>
          <w:rFonts w:ascii="Arial" w:cs="Arial" w:eastAsia="Arial" w:hAnsi="Arial"/>
          <w:sz w:val="22"/>
          <w:szCs w:val="22"/>
          <w:color w:val="auto"/>
        </w:rPr>
        <w:t>herein, the Initial Class A Member and the Initial Class B Member shall not be considered Affiliates for purposes of this Agreement.</w:t>
      </w:r>
    </w:p>
    <w:p>
      <w:pPr>
        <w:spacing w:after="0" w:line="169" w:lineRule="exact"/>
        <w:rPr>
          <w:sz w:val="20"/>
          <w:szCs w:val="20"/>
          <w:color w:val="auto"/>
        </w:rPr>
      </w:pPr>
    </w:p>
    <w:p>
      <w:pPr>
        <w:jc w:val="both"/>
        <w:ind w:firstLine="1297"/>
        <w:spacing w:after="0" w:line="259" w:lineRule="exact"/>
        <w:rPr>
          <w:sz w:val="20"/>
          <w:szCs w:val="20"/>
          <w:color w:val="auto"/>
        </w:rPr>
      </w:pPr>
      <w:r>
        <w:rPr>
          <w:rFonts w:ascii="Arial" w:cs="Arial" w:eastAsia="Arial" w:hAnsi="Arial"/>
          <w:sz w:val="21"/>
          <w:szCs w:val="21"/>
          <w:b w:val="1"/>
          <w:bCs w:val="1"/>
          <w:color w:val="auto"/>
        </w:rPr>
        <w:t>“After</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 xml:space="preserve">Tax Basis” </w:t>
      </w:r>
      <w:r>
        <w:rPr>
          <w:rFonts w:ascii="Arial" w:cs="Arial" w:eastAsia="Arial" w:hAnsi="Arial"/>
          <w:sz w:val="21"/>
          <w:szCs w:val="21"/>
          <w:color w:val="auto"/>
        </w:rPr>
        <w:t>means, with respect to any payment to be actually or constructively received by any Person, the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of such payment (the “base payment”) supplemented by a further payment (the “additional payment”) to that Person so that the sum of the base payment plus the additional payment shall, after deduction of the amount of all federal income taxes required to be paid by such Person in respect of the receipt or accrual of the base payment and the additional payment, using an assumed rate equal to the Highest Marginal Rate (and ignoring state and local taxes), taking into account any federal income tax savings realized (or likely to be realized in the future as a result of such base payment) at a discount rate equal to the applicable Target IRR by the recipient as a result of the payment or the event giving rise to the payment, using an assumed rate equal to the Highest Marginal Rate, equals the amount required to be received.</w:t>
      </w:r>
    </w:p>
    <w:p>
      <w:pPr>
        <w:spacing w:after="0" w:line="200" w:lineRule="exact"/>
        <w:rPr>
          <w:sz w:val="20"/>
          <w:szCs w:val="20"/>
          <w:color w:val="auto"/>
        </w:rPr>
      </w:pPr>
    </w:p>
    <w:p>
      <w:pPr>
        <w:jc w:val="both"/>
        <w:ind w:firstLine="1297"/>
        <w:spacing w:after="0" w:line="260" w:lineRule="exact"/>
        <w:rPr>
          <w:sz w:val="20"/>
          <w:szCs w:val="20"/>
          <w:color w:val="auto"/>
        </w:rPr>
      </w:pPr>
      <w:r>
        <w:rPr>
          <w:rFonts w:ascii="Arial" w:cs="Arial" w:eastAsia="Arial" w:hAnsi="Arial"/>
          <w:sz w:val="21"/>
          <w:szCs w:val="21"/>
          <w:b w:val="1"/>
          <w:bCs w:val="1"/>
          <w:color w:val="auto"/>
        </w:rPr>
        <w:t>“After</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 xml:space="preserve">Tax IRR” </w:t>
      </w:r>
      <w:r>
        <w:rPr>
          <w:rFonts w:ascii="Arial" w:cs="Arial" w:eastAsia="Arial" w:hAnsi="Arial"/>
          <w:sz w:val="21"/>
          <w:szCs w:val="21"/>
          <w:color w:val="auto"/>
        </w:rPr>
        <w:t>means, with respect to the Holder of a Class A Unit and at the time of any determination, the</w:t>
      </w:r>
      <w:r>
        <w:rPr>
          <w:rFonts w:ascii="Arial" w:cs="Arial" w:eastAsia="Arial" w:hAnsi="Arial"/>
          <w:sz w:val="21"/>
          <w:szCs w:val="21"/>
          <w:b w:val="1"/>
          <w:bCs w:val="1"/>
          <w:color w:val="auto"/>
        </w:rPr>
        <w:t xml:space="preserve"> </w:t>
      </w:r>
      <w:r>
        <w:rPr>
          <w:rFonts w:ascii="Arial" w:cs="Arial" w:eastAsia="Arial" w:hAnsi="Arial"/>
          <w:sz w:val="21"/>
          <w:szCs w:val="21"/>
          <w:color w:val="auto"/>
        </w:rPr>
        <w:t>annual effective discount rate (calculated and compounded on a daily basis using the Microsoft Excel XIRR function on all after</w:t>
      </w:r>
      <w:r>
        <w:rPr>
          <w:rFonts w:ascii="MS PGothic" w:cs="MS PGothic" w:eastAsia="MS PGothic" w:hAnsi="MS PGothic"/>
          <w:sz w:val="21"/>
          <w:szCs w:val="21"/>
          <w:color w:val="auto"/>
        </w:rPr>
        <w:t>‑</w:t>
      </w:r>
      <w:r>
        <w:rPr>
          <w:rFonts w:ascii="Arial" w:cs="Arial" w:eastAsia="Arial" w:hAnsi="Arial"/>
          <w:sz w:val="21"/>
          <w:szCs w:val="21"/>
          <w:color w:val="auto"/>
        </w:rPr>
        <w:t xml:space="preserve">tax cash flows) which sets A equal to B, where A is the sum of (a) the present value of all Cash Distributions in respect of such Class A Unit, </w:t>
      </w:r>
      <w:r>
        <w:rPr>
          <w:rFonts w:ascii="Arial" w:cs="Arial" w:eastAsia="Arial" w:hAnsi="Arial"/>
          <w:sz w:val="21"/>
          <w:szCs w:val="21"/>
          <w:i w:val="1"/>
          <w:iCs w:val="1"/>
          <w:color w:val="auto"/>
        </w:rPr>
        <w:t>plus</w:t>
      </w:r>
      <w:r>
        <w:rPr>
          <w:rFonts w:ascii="Arial" w:cs="Arial" w:eastAsia="Arial" w:hAnsi="Arial"/>
          <w:sz w:val="21"/>
          <w:szCs w:val="21"/>
          <w:color w:val="auto"/>
        </w:rPr>
        <w:t xml:space="preserve"> (b) the present value of all Tax Benefits in respect of such Class A Unit, </w:t>
      </w:r>
      <w:r>
        <w:rPr>
          <w:rFonts w:ascii="Arial" w:cs="Arial" w:eastAsia="Arial" w:hAnsi="Arial"/>
          <w:sz w:val="21"/>
          <w:szCs w:val="21"/>
          <w:i w:val="1"/>
          <w:iCs w:val="1"/>
          <w:color w:val="auto"/>
        </w:rPr>
        <w:t>plus</w:t>
      </w:r>
      <w:r>
        <w:rPr>
          <w:rFonts w:ascii="Arial" w:cs="Arial" w:eastAsia="Arial" w:hAnsi="Arial"/>
          <w:sz w:val="21"/>
          <w:szCs w:val="21"/>
          <w:color w:val="auto"/>
        </w:rPr>
        <w:t xml:space="preserve"> (c) the present value of all indemnity payments (net of any tax gross-up payments) received in respect of such Class A Unit, that compensate for loss of any item listed in the foregoing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i w:val="1"/>
          <w:iCs w:val="1"/>
          <w:color w:val="auto"/>
        </w:rPr>
        <w:t>minus</w:t>
      </w:r>
      <w:r>
        <w:rPr>
          <w:rFonts w:ascii="Arial" w:cs="Arial" w:eastAsia="Arial" w:hAnsi="Arial"/>
          <w:sz w:val="21"/>
          <w:szCs w:val="21"/>
          <w:color w:val="auto"/>
        </w:rPr>
        <w:t xml:space="preserve"> (d) the present value of all Tax Costs in respect of such Class A Unit; and B is the present value of all Capital Contributions made in respect of Class A Units.</w:t>
      </w:r>
    </w:p>
    <w:p>
      <w:pPr>
        <w:spacing w:after="0" w:line="195"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“Aggregate Tracking Model” </w:t>
      </w:r>
      <w:r>
        <w:rPr>
          <w:rFonts w:ascii="Arial" w:cs="Arial" w:eastAsia="Arial" w:hAnsi="Arial"/>
          <w:sz w:val="22"/>
          <w:szCs w:val="22"/>
          <w:color w:val="auto"/>
        </w:rPr>
        <w:t>means the base case model for the Company, to be prepared and approved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the execution of the second Fund Addendum and updated (a) to reflect each Accepted Acquisition and Fund Addendum, (b) monthly during the Investment Period and (c) as otherwise required by this Agreement from time to time, in each case, to reflect actual results of the Company. The updated Aggregate Tracking Model shall be delivered by the Manager to the Members, each time it is updated as set forth above.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means this Amended and Restated Limited Liability Company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“Alternative Investment Grade 1” </w:t>
      </w:r>
      <w:r>
        <w:rPr>
          <w:rFonts w:ascii="Arial" w:cs="Arial" w:eastAsia="Arial" w:hAnsi="Arial"/>
          <w:sz w:val="21"/>
          <w:szCs w:val="21"/>
          <w:color w:val="auto"/>
        </w:rPr>
        <w:t>shall have the meaning given to it in each applicable Fund Credit Profile.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“Alternative Investment Grade 2” </w:t>
      </w:r>
      <w:r>
        <w:rPr>
          <w:rFonts w:ascii="Arial" w:cs="Arial" w:eastAsia="Arial" w:hAnsi="Arial"/>
          <w:sz w:val="21"/>
          <w:szCs w:val="21"/>
          <w:color w:val="auto"/>
        </w:rPr>
        <w:t>shall have the meaning given to it in each applicable Fund Credit Profile.</w:t>
      </w:r>
    </w:p>
    <w:p>
      <w:pPr>
        <w:spacing w:after="0" w:line="23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“AMA</w:t>
      </w:r>
      <w:r>
        <w:rPr>
          <w:rFonts w:ascii="Arial" w:cs="Arial" w:eastAsia="Arial" w:hAnsi="Arial"/>
          <w:sz w:val="22"/>
          <w:szCs w:val="22"/>
          <w:color w:val="auto"/>
        </w:rPr>
        <w:t>” means that certain Asset Management Agreement, dated July 31, 2017 between NRG Chestnut Fund, LLC</w:t>
      </w:r>
      <w:r>
        <w:rPr>
          <w:rFonts w:ascii="Arial" w:cs="Arial" w:eastAsia="Arial" w:hAnsi="Arial"/>
          <w:sz w:val="22"/>
          <w:szCs w:val="22"/>
          <w:b w:val="1"/>
          <w:bCs w:val="1"/>
          <w:color w:val="auto"/>
        </w:rPr>
        <w:t xml:space="preserve"> </w:t>
      </w:r>
      <w:r>
        <w:rPr>
          <w:rFonts w:ascii="Arial" w:cs="Arial" w:eastAsia="Arial" w:hAnsi="Arial"/>
          <w:sz w:val="22"/>
          <w:szCs w:val="22"/>
          <w:color w:val="auto"/>
        </w:rPr>
        <w:t>and NRG Solar Asset Management LLC as amended, modified, supplemented from time to time.</w:t>
      </w:r>
    </w:p>
    <w:p>
      <w:pPr>
        <w:spacing w:after="0" w:line="162" w:lineRule="exact"/>
        <w:rPr>
          <w:sz w:val="20"/>
          <w:szCs w:val="20"/>
          <w:color w:val="auto"/>
        </w:rPr>
      </w:pPr>
    </w:p>
    <w:p>
      <w:pPr>
        <w:jc w:val="both"/>
        <w:ind w:firstLine="1297"/>
        <w:spacing w:after="0" w:line="268" w:lineRule="exact"/>
        <w:rPr>
          <w:sz w:val="20"/>
          <w:szCs w:val="20"/>
          <w:color w:val="auto"/>
        </w:rPr>
      </w:pPr>
      <w:r>
        <w:rPr>
          <w:rFonts w:ascii="Arial" w:cs="Arial" w:eastAsia="Arial" w:hAnsi="Arial"/>
          <w:sz w:val="22"/>
          <w:szCs w:val="22"/>
          <w:b w:val="1"/>
          <w:bCs w:val="1"/>
          <w:color w:val="auto"/>
        </w:rPr>
        <w:t>“Anti</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Corruption Laws” </w:t>
      </w:r>
      <w:r>
        <w:rPr>
          <w:rFonts w:ascii="Arial" w:cs="Arial" w:eastAsia="Arial" w:hAnsi="Arial"/>
          <w:sz w:val="22"/>
          <w:szCs w:val="22"/>
          <w:color w:val="auto"/>
        </w:rPr>
        <w:t>means (a) anti-bribery or anti-corruption Laws, including the U.S. Foreign Corrupt</w:t>
      </w:r>
      <w:r>
        <w:rPr>
          <w:rFonts w:ascii="Arial" w:cs="Arial" w:eastAsia="Arial" w:hAnsi="Arial"/>
          <w:sz w:val="22"/>
          <w:szCs w:val="22"/>
          <w:b w:val="1"/>
          <w:bCs w:val="1"/>
          <w:color w:val="auto"/>
        </w:rPr>
        <w:t xml:space="preserve"> </w:t>
      </w:r>
      <w:r>
        <w:rPr>
          <w:rFonts w:ascii="Arial" w:cs="Arial" w:eastAsia="Arial" w:hAnsi="Arial"/>
          <w:sz w:val="22"/>
          <w:szCs w:val="22"/>
          <w:color w:val="auto"/>
        </w:rPr>
        <w:t>Practices Act of 1977, as amended, and the U.K. Bribery Act 2010, 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05" w:right="239" w:bottom="1440" w:gutter="0" w:footer="0" w:header="0"/>
        </w:sectPr>
      </w:pPr>
    </w:p>
    <w:bookmarkStart w:id="218" w:name="page219"/>
    <w:bookmarkEnd w:id="218"/>
    <w:p>
      <w:pPr>
        <w:ind w:firstLine="8"/>
        <w:spacing w:after="0" w:line="263" w:lineRule="auto"/>
        <w:tabs>
          <w:tab w:leader="none" w:pos="32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Laws relating to financial record keeping and reporting, currency transfer and money laundering, including, as applicable, the US PATRIOT Act of 2001 and all “know your customer” rules and other applicable regulations.</w:t>
      </w:r>
    </w:p>
    <w:p>
      <w:pPr>
        <w:spacing w:after="0" w:line="16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“Approved Budget” </w:t>
      </w:r>
      <w:r>
        <w:rPr>
          <w:rFonts w:ascii="Arial" w:cs="Arial" w:eastAsia="Arial" w:hAnsi="Arial"/>
          <w:sz w:val="22"/>
          <w:szCs w:val="22"/>
          <w:color w:val="auto"/>
        </w:rPr>
        <w:t>means the annual operating budget prepared and approved (or deemed approved)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Members in accordance with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and updated upon each Accepted Acquisition.</w:t>
      </w:r>
    </w:p>
    <w:p>
      <w:pPr>
        <w:spacing w:after="0" w:line="162"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“Assets” </w:t>
      </w:r>
      <w:r>
        <w:rPr>
          <w:rFonts w:ascii="Arial" w:cs="Arial" w:eastAsia="Arial" w:hAnsi="Arial"/>
          <w:sz w:val="22"/>
          <w:szCs w:val="22"/>
          <w:color w:val="auto"/>
        </w:rPr>
        <w:t>means all right, title and interest of a Person in land, properties, buildings, improvements, fixtures,</w:t>
      </w:r>
      <w:r>
        <w:rPr>
          <w:rFonts w:ascii="Arial" w:cs="Arial" w:eastAsia="Arial" w:hAnsi="Arial"/>
          <w:sz w:val="22"/>
          <w:szCs w:val="22"/>
          <w:b w:val="1"/>
          <w:bCs w:val="1"/>
          <w:color w:val="auto"/>
        </w:rPr>
        <w:t xml:space="preserve"> </w:t>
      </w:r>
      <w:r>
        <w:rPr>
          <w:rFonts w:ascii="Arial" w:cs="Arial" w:eastAsia="Arial" w:hAnsi="Arial"/>
          <w:sz w:val="22"/>
          <w:szCs w:val="22"/>
          <w:color w:val="auto"/>
        </w:rPr>
        <w:t>foundations, assets and rights of any kind, whether tangible or intangible, real, personal or mixed, including contracts, leases, easements, equipment, systems, books, data, reports, studies and records, proprietary rights, intellectual property, Licenses and Permits, rights under or pursuant to all warranties, representations and guarantees, cash, accounts receivable, deposits and prepaid expenses.</w:t>
      </w:r>
    </w:p>
    <w:p>
      <w:pPr>
        <w:spacing w:after="0" w:line="18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“Available Cash Flow” </w:t>
      </w:r>
      <w:r>
        <w:rPr>
          <w:rFonts w:ascii="Arial" w:cs="Arial" w:eastAsia="Arial" w:hAnsi="Arial"/>
          <w:sz w:val="22"/>
          <w:szCs w:val="22"/>
          <w:color w:val="auto"/>
        </w:rPr>
        <w:t>means, with respect to any Distribution Date, Company Revenues less the amount of</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Expenses for such period. For the avoidance of doubt, Available Cash Flow will not include the Capital Contributions by the Members, which shall be applied by the Manager to fund Company obligations and expenses in accordance with this Agreement.</w:t>
      </w:r>
    </w:p>
    <w:p>
      <w:pPr>
        <w:spacing w:after="0" w:line="180"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b w:val="1"/>
          <w:bCs w:val="1"/>
          <w:color w:val="auto"/>
        </w:rPr>
        <w:t>“Backleveraged Fund Company</w:t>
      </w:r>
      <w:r>
        <w:rPr>
          <w:rFonts w:ascii="Arial" w:cs="Arial" w:eastAsia="Arial" w:hAnsi="Arial"/>
          <w:sz w:val="21"/>
          <w:szCs w:val="21"/>
          <w:color w:val="auto"/>
        </w:rPr>
        <w:t>” means a Fund Company that has material Indebtedness, until such time as such</w:t>
      </w:r>
      <w:r>
        <w:rPr>
          <w:rFonts w:ascii="Arial" w:cs="Arial" w:eastAsia="Arial" w:hAnsi="Arial"/>
          <w:sz w:val="21"/>
          <w:szCs w:val="21"/>
          <w:b w:val="1"/>
          <w:bCs w:val="1"/>
          <w:color w:val="auto"/>
        </w:rPr>
        <w:t xml:space="preserve"> </w:t>
      </w:r>
      <w:r>
        <w:rPr>
          <w:rFonts w:ascii="Arial" w:cs="Arial" w:eastAsia="Arial" w:hAnsi="Arial"/>
          <w:sz w:val="21"/>
          <w:szCs w:val="21"/>
          <w:color w:val="auto"/>
        </w:rPr>
        <w:t>Indebtedness is paid off in full and such Fund Company shall thereafter be an “Unleveraged Fund Company”. The Fund Addendum shall indicate whether such Fund Company will initially be a Backleveraged Fund Company.</w:t>
      </w:r>
    </w:p>
    <w:p>
      <w:pPr>
        <w:spacing w:after="0" w:line="15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b w:val="1"/>
          <w:bCs w:val="1"/>
          <w:color w:val="auto"/>
        </w:rPr>
        <w:t xml:space="preserve">“Bankrupt” </w:t>
      </w:r>
      <w:r>
        <w:rPr>
          <w:rFonts w:ascii="Arial" w:cs="Arial" w:eastAsia="Arial" w:hAnsi="Arial"/>
          <w:sz w:val="19"/>
          <w:szCs w:val="19"/>
          <w:color w:val="auto"/>
        </w:rPr>
        <w:t>means, with respect to any Person: (a) that such Person (i) files in any court pursuant to any statute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United States or of any state a voluntary petition in bankruptcy or insolvency, (ii) files a petition or answer seeking for such Person a reorganization, arrangement, composition, readjustment, liquidation, dissolution or similar relief under any Law or the appointment of a receiver or a trustee of all or a material portion of such Person’s Assets, (iii) makes a general assignment for the benefit of creditors, (iv) becomes the subject of an order for relief or is declared insolvent in any federal or state bankruptcy or insolvency proceedings, (v) files an answer or other pleading admitting or failing to contest the material allegations of a petition filed against such Person in a proceeding of the type described in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(vi) admits in writing its inability to pay its debts as they fall due, or (vii) seeks, consents to or acquiesces in the appointment of a trustee, receiver or liquidator of any material portion of its Assets; or (b) a petition in bankruptcy or insolvency, or a proceeding seeking reorganization, arrangement, composition, readjustment, liquidation, dissolution, or similar relief under any Law has been commenced against such Person, and sixty (60) days have expired without dismissal thereof or with respect to which, without such Person’s consent or acquiescence, a trustee, receiver, or liquidator of such Person or of all or any substantial part of such Person’s properties has been appointed and sixty (60) days have expired without the appointment’s having been vacated or stayed, or sixty (60) days have expired after the date of expiration of a stay, if the appointment has not previously been vacated; or (c) if a Member, the whole or any material portion of such Person’s Membership Interest is levied or attached, and such levy or attachment is not released or discharged within sixty (60) days.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04" w:right="239" w:bottom="1440" w:gutter="0" w:footer="0" w:header="0"/>
        </w:sectPr>
      </w:pPr>
    </w:p>
    <w:bookmarkStart w:id="219" w:name="page220"/>
    <w:bookmarkEnd w:id="219"/>
    <w:p>
      <w:pPr>
        <w:ind w:left="1300"/>
        <w:spacing w:after="0"/>
        <w:rPr>
          <w:sz w:val="20"/>
          <w:szCs w:val="20"/>
          <w:color w:val="auto"/>
        </w:rPr>
      </w:pPr>
      <w:r>
        <w:rPr>
          <w:rFonts w:ascii="Arial" w:cs="Arial" w:eastAsia="Arial" w:hAnsi="Arial"/>
          <w:sz w:val="22"/>
          <w:szCs w:val="22"/>
          <w:b w:val="1"/>
          <w:bCs w:val="1"/>
          <w:color w:val="auto"/>
        </w:rPr>
        <w:t xml:space="preserve">“Budget Act” </w:t>
      </w:r>
      <w:r>
        <w:rPr>
          <w:rFonts w:ascii="Arial" w:cs="Arial" w:eastAsia="Arial" w:hAnsi="Arial"/>
          <w:sz w:val="22"/>
          <w:szCs w:val="22"/>
          <w:color w:val="auto"/>
        </w:rPr>
        <w:t>means the Bipartisan Budget Act of 2015, P.L. 114-74.</w:t>
      </w:r>
    </w:p>
    <w:p>
      <w:pPr>
        <w:spacing w:after="0" w:line="220"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b w:val="1"/>
          <w:bCs w:val="1"/>
          <w:color w:val="auto"/>
        </w:rPr>
        <w:t xml:space="preserve">“Business Day” </w:t>
      </w:r>
      <w:r>
        <w:rPr>
          <w:rFonts w:ascii="Arial" w:cs="Arial" w:eastAsia="Arial" w:hAnsi="Arial"/>
          <w:sz w:val="19"/>
          <w:szCs w:val="19"/>
          <w:color w:val="auto"/>
        </w:rPr>
        <w:t>means any day except Saturday, Sunday and any day that is a legal holiday in New York City or a</w:t>
      </w:r>
      <w:r>
        <w:rPr>
          <w:rFonts w:ascii="Arial" w:cs="Arial" w:eastAsia="Arial" w:hAnsi="Arial"/>
          <w:sz w:val="19"/>
          <w:szCs w:val="19"/>
          <w:b w:val="1"/>
          <w:bCs w:val="1"/>
          <w:color w:val="auto"/>
        </w:rPr>
        <w:t xml:space="preserve"> </w:t>
      </w:r>
      <w:r>
        <w:rPr>
          <w:rFonts w:ascii="Arial" w:cs="Arial" w:eastAsia="Arial" w:hAnsi="Arial"/>
          <w:sz w:val="19"/>
          <w:szCs w:val="19"/>
          <w:color w:val="auto"/>
        </w:rPr>
        <w:t>day on which banking institutions are authorized or required by Law or other government action to close in New York City.</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“CAFD Yield</w:t>
      </w:r>
      <w:r>
        <w:rPr>
          <w:rFonts w:ascii="Arial" w:cs="Arial" w:eastAsia="Arial" w:hAnsi="Arial"/>
          <w:sz w:val="22"/>
          <w:szCs w:val="22"/>
          <w:color w:val="auto"/>
        </w:rPr>
        <w:t>” 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“Capital Account” </w:t>
      </w:r>
      <w:r>
        <w:rPr>
          <w:rFonts w:ascii="Arial" w:cs="Arial" w:eastAsia="Arial" w:hAnsi="Arial"/>
          <w:sz w:val="19"/>
          <w:szCs w:val="19"/>
          <w:color w:val="auto"/>
        </w:rPr>
        <w:t>means the capital account established and maintained for a Member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4.1</w:t>
      </w:r>
      <w:r>
        <w:rPr>
          <w:rFonts w:ascii="Arial" w:cs="Arial" w:eastAsia="Arial" w:hAnsi="Arial"/>
          <w:sz w:val="19"/>
          <w:szCs w:val="19"/>
          <w:color w:val="auto"/>
        </w:rPr>
        <w:t>.</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“Capital Call Amount”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3.3(b)</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b w:val="1"/>
          <w:bCs w:val="1"/>
          <w:color w:val="auto"/>
        </w:rPr>
        <w:t xml:space="preserve">“Capital Contribution” </w:t>
      </w:r>
      <w:r>
        <w:rPr>
          <w:rFonts w:ascii="Arial" w:cs="Arial" w:eastAsia="Arial" w:hAnsi="Arial"/>
          <w:sz w:val="21"/>
          <w:szCs w:val="21"/>
          <w:color w:val="auto"/>
        </w:rPr>
        <w:t>means any cash or the initial Value of any other property (net of liabilities secured by such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property that the Company is considered to assume or take subject to under Code Section 752) that a Member directly or indirectly contributes to the Company with respect to the Units held or purchased by such Member, including any capital contributions made by such Member pursuant to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hereof, and any reference to the Capital Contributions of a Member shall include the Capital Contributions of any predecessor Holder of the Member’s Units.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“Capital Contribution Request”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3.3(b)</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“Cash Distribution” </w:t>
      </w:r>
      <w:r>
        <w:rPr>
          <w:rFonts w:ascii="Arial" w:cs="Arial" w:eastAsia="Arial" w:hAnsi="Arial"/>
          <w:sz w:val="22"/>
          <w:szCs w:val="22"/>
          <w:color w:val="auto"/>
        </w:rPr>
        <w:t>means cash distributions to Holders made on any Distribution Date or date of distribution of</w:t>
      </w:r>
      <w:r>
        <w:rPr>
          <w:rFonts w:ascii="Arial" w:cs="Arial" w:eastAsia="Arial" w:hAnsi="Arial"/>
          <w:sz w:val="22"/>
          <w:szCs w:val="22"/>
          <w:b w:val="1"/>
          <w:bCs w:val="1"/>
          <w:color w:val="auto"/>
        </w:rPr>
        <w:t xml:space="preserve"> </w:t>
      </w:r>
      <w:r>
        <w:rPr>
          <w:rFonts w:ascii="Arial" w:cs="Arial" w:eastAsia="Arial" w:hAnsi="Arial"/>
          <w:sz w:val="22"/>
          <w:szCs w:val="22"/>
          <w:color w:val="auto"/>
        </w:rPr>
        <w:t>liquidation proceeds.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means projected Revenue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minus</w:t>
      </w:r>
      <w:r>
        <w:rPr>
          <w:rFonts w:ascii="Arial" w:cs="Arial" w:eastAsia="Arial" w:hAnsi="Arial"/>
          <w:sz w:val="22"/>
          <w:szCs w:val="22"/>
          <w:b w:val="1"/>
          <w:bCs w:val="1"/>
          <w:color w:val="auto"/>
        </w:rPr>
        <w:t xml:space="preserve"> </w:t>
      </w:r>
      <w:r>
        <w:rPr>
          <w:rFonts w:ascii="Arial" w:cs="Arial" w:eastAsia="Arial" w:hAnsi="Arial"/>
          <w:sz w:val="22"/>
          <w:szCs w:val="22"/>
          <w:color w:val="auto"/>
        </w:rPr>
        <w:t>projected Expenses.</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“Certified Public Accountant” </w:t>
      </w:r>
      <w:r>
        <w:rPr>
          <w:rFonts w:ascii="Arial" w:cs="Arial" w:eastAsia="Arial" w:hAnsi="Arial"/>
          <w:sz w:val="22"/>
          <w:szCs w:val="22"/>
          <w:color w:val="auto"/>
        </w:rPr>
        <w:t>means a firm of independent public accountants (a) that is one of Ernst &amp; Young,</w:t>
      </w:r>
      <w:r>
        <w:rPr>
          <w:rFonts w:ascii="Arial" w:cs="Arial" w:eastAsia="Arial" w:hAnsi="Arial"/>
          <w:sz w:val="22"/>
          <w:szCs w:val="22"/>
          <w:b w:val="1"/>
          <w:bCs w:val="1"/>
          <w:color w:val="auto"/>
        </w:rPr>
        <w:t xml:space="preserve"> </w:t>
      </w:r>
      <w:r>
        <w:rPr>
          <w:rFonts w:ascii="Arial" w:cs="Arial" w:eastAsia="Arial" w:hAnsi="Arial"/>
          <w:sz w:val="22"/>
          <w:szCs w:val="22"/>
          <w:color w:val="auto"/>
        </w:rPr>
        <w:t>Deloitte &amp; Touche, PricewaterhouseCoopers or KPMG LLC, as selected from time to time by the Manager or (b) with respect to any other firm, as selected from time to time with the Consent of the Members.</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the occurrence, after the date of this Agreement, of any event or series of events that results in a change in the Person who ultimately Controls the Class B Member.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“Change in Control Notice”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A Claims”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A Capital Contribution Amount”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3.3(c)</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b w:val="1"/>
          <w:bCs w:val="1"/>
          <w:color w:val="auto"/>
        </w:rPr>
        <w:t xml:space="preserve">“Class A Interest” </w:t>
      </w:r>
      <w:r>
        <w:rPr>
          <w:rFonts w:ascii="Arial" w:cs="Arial" w:eastAsia="Arial" w:hAnsi="Arial"/>
          <w:sz w:val="19"/>
          <w:szCs w:val="19"/>
          <w:color w:val="auto"/>
        </w:rPr>
        <w:t>means, with respect to any Class A Member: (a) that Class A Member’s status as a Class A</w:t>
      </w:r>
      <w:r>
        <w:rPr>
          <w:rFonts w:ascii="Arial" w:cs="Arial" w:eastAsia="Arial" w:hAnsi="Arial"/>
          <w:sz w:val="19"/>
          <w:szCs w:val="19"/>
          <w:b w:val="1"/>
          <w:bCs w:val="1"/>
          <w:color w:val="auto"/>
        </w:rPr>
        <w:t xml:space="preserve"> </w:t>
      </w:r>
      <w:r>
        <w:rPr>
          <w:rFonts w:ascii="Arial" w:cs="Arial" w:eastAsia="Arial" w:hAnsi="Arial"/>
          <w:sz w:val="19"/>
          <w:szCs w:val="19"/>
          <w:color w:val="auto"/>
        </w:rPr>
        <w:t>Member; (b) that Class A Member’s share of Company Items and the right to receive distributions from the Company; (c) all other rights, benefits and privileges enjoyed by that Class A Member (under the Act, this Agreement, or otherwise) in its capacity as a Class A Member, including that Class A Member’s right to vote, consent and approve and otherwise to</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8" w:right="239" w:bottom="1440" w:gutter="0" w:footer="0" w:header="0"/>
        </w:sectPr>
      </w:pPr>
    </w:p>
    <w:bookmarkStart w:id="220" w:name="page221"/>
    <w:bookmarkEnd w:id="220"/>
    <w:p>
      <w:pPr>
        <w:jc w:val="both"/>
        <w:spacing w:after="0" w:line="253" w:lineRule="auto"/>
        <w:rPr>
          <w:sz w:val="20"/>
          <w:szCs w:val="20"/>
          <w:color w:val="auto"/>
        </w:rPr>
      </w:pPr>
      <w:r>
        <w:rPr>
          <w:rFonts w:ascii="Arial" w:cs="Arial" w:eastAsia="Arial" w:hAnsi="Arial"/>
          <w:sz w:val="22"/>
          <w:szCs w:val="22"/>
          <w:color w:val="auto"/>
        </w:rPr>
        <w:t>participate in the management of the Company, to the extent provided in this Agreement; and (d) all obligations, duties and liabilities imposed on that Class A Member (under the Act, this Agreement or otherwise) in its capacity as a Class A Member, including any obligations to make Capital Contributions.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A Member” </w:t>
      </w:r>
      <w:r>
        <w:rPr>
          <w:rFonts w:ascii="Arial" w:cs="Arial" w:eastAsia="Arial" w:hAnsi="Arial"/>
          <w:sz w:val="22"/>
          <w:szCs w:val="22"/>
          <w:color w:val="auto"/>
        </w:rPr>
        <w:t>means each Member holding a Class A Interest.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A Member Capital Contribution Commitment” </w:t>
      </w:r>
      <w:r>
        <w:rPr>
          <w:rFonts w:ascii="Arial" w:cs="Arial" w:eastAsia="Arial" w:hAnsi="Arial"/>
          <w:sz w:val="22"/>
          <w:szCs w:val="22"/>
          <w:color w:val="auto"/>
        </w:rPr>
        <w:t>means $50,000,000.</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b w:val="1"/>
          <w:bCs w:val="1"/>
          <w:color w:val="auto"/>
        </w:rPr>
        <w:t xml:space="preserve">“Class A Member Capital Contribution Commitment Accordion Amount” </w:t>
      </w:r>
      <w:r>
        <w:rPr>
          <w:rFonts w:ascii="Arial" w:cs="Arial" w:eastAsia="Arial" w:hAnsi="Arial"/>
          <w:sz w:val="22"/>
          <w:szCs w:val="22"/>
          <w:color w:val="auto"/>
        </w:rPr>
        <w:t>means an additional Class A</w:t>
      </w:r>
      <w:r>
        <w:rPr>
          <w:rFonts w:ascii="Arial" w:cs="Arial" w:eastAsia="Arial" w:hAnsi="Arial"/>
          <w:sz w:val="22"/>
          <w:szCs w:val="22"/>
          <w:b w:val="1"/>
          <w:bCs w:val="1"/>
          <w:color w:val="auto"/>
        </w:rPr>
        <w:t xml:space="preserve"> </w:t>
      </w:r>
      <w:r>
        <w:rPr>
          <w:rFonts w:ascii="Arial" w:cs="Arial" w:eastAsia="Arial" w:hAnsi="Arial"/>
          <w:sz w:val="22"/>
          <w:szCs w:val="22"/>
          <w:color w:val="auto"/>
        </w:rPr>
        <w:t>Member Capital Contribution commitment, in an amount up to $50,000,000, which the Class B Member may elect in its sole discretion, if the Class A Member has made aggregate Capital Contributions of at least $25,000,000 by March 31, 2018; provided, that the Class B Member’s election shall be made, by providing written notice thereof to the Class A Member, within thirty (30) days of the date on which the Class A Member has made aggregate Capital Contributions of at least $25,000,000 (but in no event later than April 30, 2018).</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A Parties”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“Class A Unit” </w:t>
      </w:r>
      <w:r>
        <w:rPr>
          <w:rFonts w:ascii="Arial" w:cs="Arial" w:eastAsia="Arial" w:hAnsi="Arial"/>
          <w:sz w:val="22"/>
          <w:szCs w:val="22"/>
          <w:color w:val="auto"/>
        </w:rPr>
        <w:t>means a unit representing a Class A Interest having the rights, preferences and designations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for such class in this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B Capital Contribution Amount”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3.3(d)</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B Claim”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11.1(b)</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b w:val="1"/>
          <w:bCs w:val="1"/>
          <w:color w:val="auto"/>
        </w:rPr>
        <w:t xml:space="preserve">“Class B Interest” </w:t>
      </w:r>
      <w:r>
        <w:rPr>
          <w:rFonts w:ascii="Arial" w:cs="Arial" w:eastAsia="Arial" w:hAnsi="Arial"/>
          <w:sz w:val="21"/>
          <w:szCs w:val="21"/>
          <w:color w:val="auto"/>
        </w:rPr>
        <w:t>means, with respect to any Class B Member: (a) that Class B Member’s status as a Class B</w:t>
      </w:r>
      <w:r>
        <w:rPr>
          <w:rFonts w:ascii="Arial" w:cs="Arial" w:eastAsia="Arial" w:hAnsi="Arial"/>
          <w:sz w:val="21"/>
          <w:szCs w:val="21"/>
          <w:b w:val="1"/>
          <w:bCs w:val="1"/>
          <w:color w:val="auto"/>
        </w:rPr>
        <w:t xml:space="preserve"> </w:t>
      </w:r>
      <w:r>
        <w:rPr>
          <w:rFonts w:ascii="Arial" w:cs="Arial" w:eastAsia="Arial" w:hAnsi="Arial"/>
          <w:sz w:val="21"/>
          <w:szCs w:val="21"/>
          <w:color w:val="auto"/>
        </w:rPr>
        <w:t>Member; (b) that Class B Member’s share of Company Items, and the right to receive distributions from the Company; (c) all other rights, benefits and privileges enjoyed by that Class B Member (under the Act, this Agreement, or otherwise) in its capacity as a Class B Member, including that Class B Member’s right to vote, consent and approve and otherwise to participate in the management of the Company to the extent provided in this Agreement; and (d) all obligations, duties and liabilities imposed on that Class B Member (under the Act, this Agreement or otherwise) in its capacity as a Class B Member, including any obligations to make Capital Contributions.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B Member” </w:t>
      </w:r>
      <w:r>
        <w:rPr>
          <w:rFonts w:ascii="Arial" w:cs="Arial" w:eastAsia="Arial" w:hAnsi="Arial"/>
          <w:sz w:val="22"/>
          <w:szCs w:val="22"/>
          <w:color w:val="auto"/>
        </w:rPr>
        <w:t>means each Member holding a Class B Interest.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B Parties”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11.1(b)</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“Class B Unit” </w:t>
      </w:r>
      <w:r>
        <w:rPr>
          <w:rFonts w:ascii="Arial" w:cs="Arial" w:eastAsia="Arial" w:hAnsi="Arial"/>
          <w:sz w:val="22"/>
          <w:szCs w:val="22"/>
          <w:color w:val="auto"/>
        </w:rPr>
        <w:t>means a unit representing a Class B Interest having the rights, preferences and designations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for such class in this Agreement.</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Internal Revenue Code of 1986, as amended from time to time, and any corresponding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of any successor tax statute.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04" w:right="239" w:bottom="1440" w:gutter="0" w:footer="0" w:header="0"/>
        </w:sectPr>
      </w:pPr>
    </w:p>
    <w:bookmarkStart w:id="221" w:name="page222"/>
    <w:bookmarkEnd w:id="221"/>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 Fee</w:t>
      </w:r>
      <w:r>
        <w:rPr>
          <w:rFonts w:ascii="Arial" w:cs="Arial" w:eastAsia="Arial" w:hAnsi="Arial"/>
          <w:sz w:val="22"/>
          <w:szCs w:val="22"/>
          <w:color w:val="auto"/>
        </w:rPr>
        <w:t>” means a fee, payable by the Class B Member to the Class A Member in an amount equal to nine and seventy-five hundredths percent (9.75%) multiplied by the unused amount of the Class A Member Capital Contribution Commitment and, if applicable, any Class A Member Capital Contribution Commitment Accordion Amount, as of the end of the Investment Period.</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is defined in the recitals to this Agreement.</w:t>
      </w:r>
    </w:p>
    <w:p>
      <w:pPr>
        <w:spacing w:after="0" w:line="22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“Company Expenses” </w:t>
      </w:r>
      <w:r>
        <w:rPr>
          <w:rFonts w:ascii="Arial" w:cs="Arial" w:eastAsia="Arial" w:hAnsi="Arial"/>
          <w:sz w:val="22"/>
          <w:szCs w:val="22"/>
          <w:color w:val="auto"/>
        </w:rPr>
        <w:t>means all expenses of the Company and of the Subject Companies, including,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 Company Reimbursable Expenses, any amounts required to service any Indebtedness of the Company or a Subject Company, and any amounts required to establish reserves (as determined in the reasonable judgment of the Manager in accordance with the Approved Budget).</w:t>
      </w:r>
    </w:p>
    <w:p>
      <w:pPr>
        <w:spacing w:after="0" w:line="180" w:lineRule="exact"/>
        <w:rPr>
          <w:sz w:val="20"/>
          <w:szCs w:val="20"/>
          <w:color w:val="auto"/>
        </w:rPr>
      </w:pPr>
    </w:p>
    <w:p>
      <w:pPr>
        <w:jc w:val="both"/>
        <w:ind w:firstLine="1297"/>
        <w:spacing w:after="0" w:line="265" w:lineRule="exact"/>
        <w:rPr>
          <w:sz w:val="20"/>
          <w:szCs w:val="20"/>
          <w:color w:val="auto"/>
        </w:rPr>
      </w:pPr>
      <w:r>
        <w:rPr>
          <w:rFonts w:ascii="Arial" w:cs="Arial" w:eastAsia="Arial" w:hAnsi="Arial"/>
          <w:sz w:val="22"/>
          <w:szCs w:val="22"/>
          <w:b w:val="1"/>
          <w:bCs w:val="1"/>
          <w:color w:val="auto"/>
        </w:rPr>
        <w:t xml:space="preserve">“Company Items” </w:t>
      </w:r>
      <w:r>
        <w:rPr>
          <w:rFonts w:ascii="Arial" w:cs="Arial" w:eastAsia="Arial" w:hAnsi="Arial"/>
          <w:sz w:val="22"/>
          <w:szCs w:val="22"/>
          <w:color w:val="auto"/>
        </w:rPr>
        <w:t>means the separate items of income, gain, loss, deduction and credit of the Company for</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of subchapter K of the Code, as determined for Capital Account maintenance purposes consistent with the principles of Treasury Regulations Section 1.704</w:t>
      </w:r>
      <w:r>
        <w:rPr>
          <w:rFonts w:ascii="MS PGothic" w:cs="MS PGothic" w:eastAsia="MS PGothic" w:hAnsi="MS PGothic"/>
          <w:sz w:val="22"/>
          <w:szCs w:val="22"/>
          <w:color w:val="auto"/>
        </w:rPr>
        <w:t>‑</w:t>
      </w:r>
      <w:r>
        <w:rPr>
          <w:rFonts w:ascii="Arial" w:cs="Arial" w:eastAsia="Arial" w:hAnsi="Arial"/>
          <w:sz w:val="22"/>
          <w:szCs w:val="22"/>
          <w:color w:val="auto"/>
        </w:rPr>
        <w:t>1(b)(2)(iv).</w:t>
      </w:r>
    </w:p>
    <w:p>
      <w:pPr>
        <w:spacing w:after="0" w:line="192" w:lineRule="exact"/>
        <w:rPr>
          <w:sz w:val="20"/>
          <w:szCs w:val="20"/>
          <w:color w:val="auto"/>
        </w:rPr>
      </w:pPr>
    </w:p>
    <w:p>
      <w:pPr>
        <w:jc w:val="both"/>
        <w:ind w:firstLine="1297"/>
        <w:spacing w:after="0" w:line="269" w:lineRule="exact"/>
        <w:rPr>
          <w:sz w:val="20"/>
          <w:szCs w:val="20"/>
          <w:color w:val="auto"/>
        </w:rPr>
      </w:pPr>
      <w:r>
        <w:rPr>
          <w:rFonts w:ascii="Arial" w:cs="Arial" w:eastAsia="Arial" w:hAnsi="Arial"/>
          <w:sz w:val="19"/>
          <w:szCs w:val="19"/>
          <w:b w:val="1"/>
          <w:bCs w:val="1"/>
          <w:color w:val="auto"/>
        </w:rPr>
        <w:t xml:space="preserve">“Company Minimum Gain” </w:t>
      </w:r>
      <w:r>
        <w:rPr>
          <w:rFonts w:ascii="Arial" w:cs="Arial" w:eastAsia="Arial" w:hAnsi="Arial"/>
          <w:sz w:val="19"/>
          <w:szCs w:val="19"/>
          <w:color w:val="auto"/>
        </w:rPr>
        <w:t>has the meaning given the term “partnership minimum gain” set forth in Treasury</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Section 1.704</w:t>
      </w:r>
      <w:r>
        <w:rPr>
          <w:rFonts w:ascii="MS PGothic" w:cs="MS PGothic" w:eastAsia="MS PGothic" w:hAnsi="MS PGothic"/>
          <w:sz w:val="19"/>
          <w:szCs w:val="19"/>
          <w:color w:val="auto"/>
        </w:rPr>
        <w:t>‑</w:t>
      </w:r>
      <w:r>
        <w:rPr>
          <w:rFonts w:ascii="Arial" w:cs="Arial" w:eastAsia="Arial" w:hAnsi="Arial"/>
          <w:sz w:val="19"/>
          <w:szCs w:val="19"/>
          <w:color w:val="auto"/>
        </w:rPr>
        <w:t>2(b)(2) and will be determined as provided in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2(d).</w:t>
      </w:r>
    </w:p>
    <w:p>
      <w:pPr>
        <w:spacing w:after="0" w:line="192"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b w:val="1"/>
          <w:bCs w:val="1"/>
          <w:color w:val="auto"/>
        </w:rPr>
        <w:t xml:space="preserve">“Company Reimbursable Expenses” </w:t>
      </w:r>
      <w:r>
        <w:rPr>
          <w:rFonts w:ascii="Arial" w:cs="Arial" w:eastAsia="Arial" w:hAnsi="Arial"/>
          <w:sz w:val="19"/>
          <w:szCs w:val="19"/>
          <w:color w:val="auto"/>
        </w:rPr>
        <w:t>means all reasonable and documented Third Party costs and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incurred in the ordinary course of business by the Manager on behalf of the Company in performing the duties hereunder or relating to the Company’s activities and business, including all reasonable and documented costs and expenses incurred for legal, accounting and auditing fees paid or payable to Third Parties in accordance with this Agreement and as provided for in the Approved Budget, but excluding such costs and expenses attributable to the gross negligence, willful misconduct or fraud of the Manager or a breach by the Manager (or a Member if such Member is, or is an Affiliate of, the Manager).</w:t>
      </w:r>
    </w:p>
    <w:p>
      <w:pPr>
        <w:spacing w:after="0" w:line="144"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b w:val="1"/>
          <w:bCs w:val="1"/>
          <w:color w:val="auto"/>
        </w:rPr>
        <w:t xml:space="preserve">“Company Revenue” </w:t>
      </w:r>
      <w:r>
        <w:rPr>
          <w:rFonts w:ascii="Arial" w:cs="Arial" w:eastAsia="Arial" w:hAnsi="Arial"/>
          <w:sz w:val="19"/>
          <w:szCs w:val="19"/>
          <w:color w:val="auto"/>
        </w:rPr>
        <w:t>means the gross cash receipts from Company operations (including sales and dispositions of</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Assets (including Contracted RECs), insurance payments, warranty payments, cash previously reserved).</w:t>
      </w:r>
    </w:p>
    <w:p>
      <w:pPr>
        <w:spacing w:after="0" w:line="9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b w:val="1"/>
          <w:bCs w:val="1"/>
          <w:color w:val="auto"/>
        </w:rPr>
        <w:t xml:space="preserve">“Competitor” </w:t>
      </w:r>
      <w:r>
        <w:rPr>
          <w:rFonts w:ascii="Arial" w:cs="Arial" w:eastAsia="Arial" w:hAnsi="Arial"/>
          <w:sz w:val="21"/>
          <w:szCs w:val="21"/>
          <w:color w:val="auto"/>
        </w:rPr>
        <w:t>means any Person directly or indirectly engaged in owning, managing, operating, maintaining or</w:t>
      </w:r>
      <w:r>
        <w:rPr>
          <w:rFonts w:ascii="Arial" w:cs="Arial" w:eastAsia="Arial" w:hAnsi="Arial"/>
          <w:sz w:val="21"/>
          <w:szCs w:val="21"/>
          <w:b w:val="1"/>
          <w:bCs w:val="1"/>
          <w:color w:val="auto"/>
        </w:rPr>
        <w:t xml:space="preserve"> </w:t>
      </w:r>
      <w:r>
        <w:rPr>
          <w:rFonts w:ascii="Arial" w:cs="Arial" w:eastAsia="Arial" w:hAnsi="Arial"/>
          <w:sz w:val="21"/>
          <w:szCs w:val="21"/>
          <w:color w:val="auto"/>
        </w:rPr>
        <w:t>developing facilities utilizing solar power for the production of electricity for sale to others; provided that a Person who is involved in owning, managing, developing, maintaining or operating such facilities solely as a result of such Person, directly or through an Affiliate, making passive investments in such facilities shall not be considered a “Competitor” hereunder so long as such Person certifies in a manner reasonably acceptable to the Class B Members that it has in place procedures to prevent any Affiliate of such Person that is not a passive owner, manager, operator, maintenance provider or developer from acquiring confidential information relating to its investment in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8" w:right="239" w:bottom="1440" w:gutter="0" w:footer="0" w:header="0"/>
        </w:sectPr>
      </w:pPr>
    </w:p>
    <w:bookmarkStart w:id="222" w:name="page223"/>
    <w:bookmarkEnd w:id="222"/>
    <w:p>
      <w:pPr>
        <w:ind w:left="1300"/>
        <w:spacing w:after="0"/>
        <w:rPr>
          <w:sz w:val="20"/>
          <w:szCs w:val="20"/>
          <w:color w:val="auto"/>
        </w:rPr>
      </w:pPr>
      <w:r>
        <w:rPr>
          <w:rFonts w:ascii="Arial" w:cs="Arial" w:eastAsia="Arial" w:hAnsi="Arial"/>
          <w:sz w:val="22"/>
          <w:szCs w:val="22"/>
          <w:b w:val="1"/>
          <w:bCs w:val="1"/>
          <w:color w:val="auto"/>
        </w:rPr>
        <w:t xml:space="preserve">“Confidential Information”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7.7(a)</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b w:val="1"/>
          <w:bCs w:val="1"/>
          <w:color w:val="auto"/>
        </w:rPr>
        <w:t xml:space="preserve">“Consent of the Class A Members” </w:t>
      </w:r>
      <w:r>
        <w:rPr>
          <w:rFonts w:ascii="Arial" w:cs="Arial" w:eastAsia="Arial" w:hAnsi="Arial"/>
          <w:sz w:val="19"/>
          <w:szCs w:val="19"/>
          <w:color w:val="auto"/>
        </w:rPr>
        <w:t>means the written consent or approval of the Class A Members who own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more than fifty percent (50%) of the Class A Units, which consent may be included as part of a Fund Addendum.</w:t>
      </w:r>
    </w:p>
    <w:p>
      <w:pPr>
        <w:spacing w:after="0" w:line="9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“Consent of the Class B Members” </w:t>
      </w:r>
      <w:r>
        <w:rPr>
          <w:rFonts w:ascii="Arial" w:cs="Arial" w:eastAsia="Arial" w:hAnsi="Arial"/>
          <w:sz w:val="22"/>
          <w:szCs w:val="22"/>
          <w:color w:val="auto"/>
        </w:rPr>
        <w:t>means the written consent or approval of the Class B Members who own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aggregate more than fifty percent (50%) of the Class B Units.</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“Consent of the Members” </w:t>
      </w:r>
      <w:r>
        <w:rPr>
          <w:rFonts w:ascii="Arial" w:cs="Arial" w:eastAsia="Arial" w:hAnsi="Arial"/>
          <w:sz w:val="22"/>
          <w:szCs w:val="22"/>
          <w:color w:val="auto"/>
        </w:rPr>
        <w:t>means both the Consent of the Class A Members and the Consent of the Class B</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which consent may be included as part of a Fund Addendum.</w:t>
      </w:r>
    </w:p>
    <w:p>
      <w:pPr>
        <w:spacing w:after="0" w:line="162"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1"/>
          <w:szCs w:val="21"/>
          <w:b w:val="1"/>
          <w:bCs w:val="1"/>
          <w:color w:val="auto"/>
        </w:rPr>
        <w:t xml:space="preserve">“Contracted RECs” </w:t>
      </w:r>
      <w:r>
        <w:rPr>
          <w:rFonts w:ascii="Arial" w:cs="Arial" w:eastAsia="Arial" w:hAnsi="Arial"/>
          <w:sz w:val="21"/>
          <w:szCs w:val="21"/>
          <w:color w:val="auto"/>
        </w:rPr>
        <w:t>means any REC projected to be generated by a Project in the future, that, as of the date on</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 Class A Member is making a Capital Contribution with respect to the associated Project, is subject to a contract with NRG Power Marketing LLC (with a guaranty from NRG Energy Inc.) or another third party to be agreed upon with the Consent of the Members, providing for such REC to be sold at a fixed or determinable price.</w:t>
      </w:r>
    </w:p>
    <w:p>
      <w:pPr>
        <w:spacing w:after="0" w:line="168"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Contracted Revenue</w:t>
      </w:r>
      <w:r>
        <w:rPr>
          <w:rFonts w:ascii="Arial" w:cs="Arial" w:eastAsia="Arial" w:hAnsi="Arial"/>
          <w:sz w:val="22"/>
          <w:szCs w:val="22"/>
          <w:color w:val="auto"/>
        </w:rPr>
        <w:t>” means a percentage of projected revenue designated as “Contracted Revenue” as more specifically described in the Fund Credit Profile attached to the relevant Fund Addendum.</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“Contracts” </w:t>
      </w:r>
      <w:r>
        <w:rPr>
          <w:rFonts w:ascii="Arial" w:cs="Arial" w:eastAsia="Arial" w:hAnsi="Arial"/>
          <w:sz w:val="22"/>
          <w:szCs w:val="22"/>
          <w:color w:val="auto"/>
        </w:rPr>
        <w:t>means contracts, agreements, leases, licenses, notes, indentures, obligations, reinsurance treaties,</w:t>
      </w:r>
      <w:r>
        <w:rPr>
          <w:rFonts w:ascii="Arial" w:cs="Arial" w:eastAsia="Arial" w:hAnsi="Arial"/>
          <w:sz w:val="22"/>
          <w:szCs w:val="22"/>
          <w:b w:val="1"/>
          <w:bCs w:val="1"/>
          <w:color w:val="auto"/>
        </w:rPr>
        <w:t xml:space="preserve"> </w:t>
      </w:r>
      <w:r>
        <w:rPr>
          <w:rFonts w:ascii="Arial" w:cs="Arial" w:eastAsia="Arial" w:hAnsi="Arial"/>
          <w:sz w:val="22"/>
          <w:szCs w:val="22"/>
          <w:color w:val="auto"/>
        </w:rPr>
        <w:t>bonds, mortgages, instruments, and other binding commitments, arrangements, undertakings and understandings (whether written or oral).</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“Contribution Event”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3.3(e)</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“Control” </w:t>
      </w:r>
      <w:r>
        <w:rPr>
          <w:rFonts w:ascii="Arial" w:cs="Arial" w:eastAsia="Arial" w:hAnsi="Arial"/>
          <w:sz w:val="22"/>
          <w:szCs w:val="22"/>
          <w:color w:val="auto"/>
        </w:rPr>
        <w:t>and the terms</w:t>
      </w:r>
      <w:r>
        <w:rPr>
          <w:rFonts w:ascii="Arial" w:cs="Arial" w:eastAsia="Arial" w:hAnsi="Arial"/>
          <w:sz w:val="22"/>
          <w:szCs w:val="22"/>
          <w:b w:val="1"/>
          <w:bCs w:val="1"/>
          <w:color w:val="auto"/>
        </w:rPr>
        <w:t xml:space="preserve"> “Controlled by” </w:t>
      </w:r>
      <w:r>
        <w:rPr>
          <w:rFonts w:ascii="Arial" w:cs="Arial" w:eastAsia="Arial" w:hAnsi="Arial"/>
          <w:sz w:val="22"/>
          <w:szCs w:val="22"/>
          <w:color w:val="auto"/>
        </w:rPr>
        <w:t>and</w:t>
      </w:r>
      <w:r>
        <w:rPr>
          <w:rFonts w:ascii="Arial" w:cs="Arial" w:eastAsia="Arial" w:hAnsi="Arial"/>
          <w:sz w:val="22"/>
          <w:szCs w:val="22"/>
          <w:b w:val="1"/>
          <w:bCs w:val="1"/>
          <w:color w:val="auto"/>
        </w:rPr>
        <w:t xml:space="preserve"> “under common Control” </w:t>
      </w:r>
      <w:r>
        <w:rPr>
          <w:rFonts w:ascii="Arial" w:cs="Arial" w:eastAsia="Arial" w:hAnsi="Arial"/>
          <w:sz w:val="22"/>
          <w:szCs w:val="22"/>
          <w:color w:val="auto"/>
        </w:rPr>
        <w:t>mean the possession, directly or</w:t>
      </w:r>
      <w:r>
        <w:rPr>
          <w:rFonts w:ascii="Arial" w:cs="Arial" w:eastAsia="Arial" w:hAnsi="Arial"/>
          <w:sz w:val="22"/>
          <w:szCs w:val="22"/>
          <w:b w:val="1"/>
          <w:bCs w:val="1"/>
          <w:color w:val="auto"/>
        </w:rPr>
        <w:t xml:space="preserve"> </w:t>
      </w:r>
      <w:r>
        <w:rPr>
          <w:rFonts w:ascii="Arial" w:cs="Arial" w:eastAsia="Arial" w:hAnsi="Arial"/>
          <w:sz w:val="22"/>
          <w:szCs w:val="22"/>
          <w:color w:val="auto"/>
        </w:rPr>
        <w:t>indirectly, of the power to direct or cause the direction of the management and policies of a Person, whether through ownership, by contract, or otherwise.</w:t>
      </w:r>
    </w:p>
    <w:p>
      <w:pPr>
        <w:spacing w:after="0" w:line="176"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b w:val="1"/>
          <w:bCs w:val="1"/>
          <w:color w:val="auto"/>
        </w:rPr>
        <w:t xml:space="preserve">“Cumulative Base Case Model” </w:t>
      </w:r>
      <w:r>
        <w:rPr>
          <w:rFonts w:ascii="Arial" w:cs="Arial" w:eastAsia="Arial" w:hAnsi="Arial"/>
          <w:sz w:val="19"/>
          <w:szCs w:val="19"/>
          <w:color w:val="auto"/>
        </w:rPr>
        <w:t>means the base case financial model, using the assumptions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Annex II</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in connection with each Equity Capital Contribution Date, which will be attached to the applicable Capital Contribution Request and shall specifically set forth the Capital Contributions required to be made by each Member to the Company in order to fund the Company’s capital contribution to the Fund Company or Intermediate Company, as applicable, relating to such Equity Capital Contribution Date. For clarity, (i) the Cumulative Base Case Model shall incorporate the Fund Base Case Model which relates to the relevant Equity Capital Contribution Date and all Fund Base Case Models relating to prior Equity Capital Contribution Dates (but shall not reflect the actual results of the Company or any Subject Company) (ii) the Cumulative Base Case Model will not be updated for actual historical performance and (iii) following the Investment Period, the Cumulative Base Case Model will not be used by the Members for purposes of this Agreement.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8" w:right="239" w:bottom="1440" w:gutter="0" w:footer="0" w:header="0"/>
        </w:sectPr>
      </w:pPr>
    </w:p>
    <w:bookmarkStart w:id="223" w:name="page224"/>
    <w:bookmarkEnd w:id="223"/>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Customer Contract</w:t>
      </w:r>
      <w:r>
        <w:rPr>
          <w:rFonts w:ascii="Arial" w:cs="Arial" w:eastAsia="Arial" w:hAnsi="Arial"/>
          <w:sz w:val="22"/>
          <w:szCs w:val="22"/>
          <w:color w:val="auto"/>
        </w:rPr>
        <w:t>” means a fixed price or indexed price power purchase agreement or lease with residential customers or corporate customers.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“Damages”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“Delaware Certificate” </w:t>
      </w:r>
      <w:r>
        <w:rPr>
          <w:rFonts w:ascii="Arial" w:cs="Arial" w:eastAsia="Arial" w:hAnsi="Arial"/>
          <w:sz w:val="22"/>
          <w:szCs w:val="22"/>
          <w:color w:val="auto"/>
        </w:rPr>
        <w:t>is defined in the recitals to this Agreement.</w:t>
      </w:r>
    </w:p>
    <w:p>
      <w:pPr>
        <w:spacing w:after="0" w:line="22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b w:val="1"/>
          <w:bCs w:val="1"/>
          <w:color w:val="auto"/>
        </w:rPr>
        <w:t xml:space="preserve">“Depreciation” </w:t>
      </w:r>
      <w:r>
        <w:rPr>
          <w:rFonts w:ascii="Arial" w:cs="Arial" w:eastAsia="Arial" w:hAnsi="Arial"/>
          <w:sz w:val="22"/>
          <w:szCs w:val="22"/>
          <w:color w:val="auto"/>
        </w:rPr>
        <w:t>means, for each Taxable Year, an amount equal to the depreciation, amortization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pursuant to Code Sections 197 and 709) or other cost recovery deduction allowable for federal income tax purposes with respect to an Asset for such period, except that if the Value of any Asset differs from its adjusted basis for federal income tax purposes at the beginning of such period, Depreciation shall be an amount which bears the same ratio to such beginning Value as the federal income tax depreciation, amortization or other cost recovery deduction allowable for such Taxable Year bears to such beginning adjusted tax basis;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such Asset has a zero beginning adjusted basis for such Taxable Year, Depreciation shall be determined with reference to such beginning Value using any method selected by the Manager with the Consent of the Members.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“Disqualified Entity” </w:t>
      </w:r>
      <w:r>
        <w:rPr>
          <w:rFonts w:ascii="Arial" w:cs="Arial" w:eastAsia="Arial" w:hAnsi="Arial"/>
          <w:sz w:val="19"/>
          <w:szCs w:val="19"/>
          <w:color w:val="auto"/>
        </w:rPr>
        <w:t>means at any time during the Recapture Period, an entity that is referred to in Section 50(b)</w:t>
      </w:r>
    </w:p>
    <w:p>
      <w:pPr>
        <w:spacing w:after="0" w:line="62" w:lineRule="exact"/>
        <w:rPr>
          <w:sz w:val="20"/>
          <w:szCs w:val="20"/>
          <w:color w:val="auto"/>
        </w:rPr>
      </w:pPr>
    </w:p>
    <w:p>
      <w:pPr>
        <w:jc w:val="both"/>
        <w:ind w:firstLine="8"/>
        <w:spacing w:after="0" w:line="245" w:lineRule="auto"/>
        <w:tabs>
          <w:tab w:leader="none" w:pos="335" w:val="left"/>
        </w:tabs>
        <w:numPr>
          <w:ilvl w:val="0"/>
          <w:numId w:val="215"/>
        </w:numPr>
        <w:rPr>
          <w:rFonts w:ascii="Arial" w:cs="Arial" w:eastAsia="Arial" w:hAnsi="Arial"/>
          <w:sz w:val="22"/>
          <w:szCs w:val="22"/>
          <w:color w:val="auto"/>
        </w:rPr>
      </w:pPr>
      <w:r>
        <w:rPr>
          <w:rFonts w:ascii="Arial" w:cs="Arial" w:eastAsia="Arial" w:hAnsi="Arial"/>
          <w:sz w:val="22"/>
          <w:szCs w:val="22"/>
          <w:color w:val="auto"/>
        </w:rPr>
        <w:t xml:space="preserve">or 50(b)(4) of the Code,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that</w:t>
      </w:r>
      <w:r>
        <w:rPr>
          <w:rFonts w:ascii="Arial" w:cs="Arial" w:eastAsia="Arial" w:hAnsi="Arial"/>
          <w:sz w:val="22"/>
          <w:szCs w:val="22"/>
          <w:color w:val="auto"/>
        </w:rPr>
        <w:t xml:space="preserve"> if any indirect owner owns its indirect interest through a taxable C corporation (as defined in the Code), but excluding any entity that is a “tax exempt controlled entity” defined in Section 168(h)(6)(F)(iii) of the Code, then such Person will not be deemed to be a Disqualified Entity.</w:t>
      </w:r>
    </w:p>
    <w:p>
      <w:pPr>
        <w:spacing w:after="0" w:line="18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b w:val="1"/>
          <w:bCs w:val="1"/>
          <w:color w:val="auto"/>
        </w:rPr>
        <w:t xml:space="preserve">“Disqualified Transferee” </w:t>
      </w:r>
      <w:r>
        <w:rPr>
          <w:rFonts w:ascii="Arial" w:cs="Arial" w:eastAsia="Arial" w:hAnsi="Arial"/>
          <w:sz w:val="19"/>
          <w:szCs w:val="19"/>
          <w:color w:val="auto"/>
        </w:rPr>
        <w:t>means (a) any Person that is, or whose Affiliate is, then a party adverse in any pending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threatened (in writing or other reasonably satisfactory evidence of such threat) action, suit or proceeding to the Company or any Member or an Affiliate thereof, if the Company (with the Consent of the Members) or such Member (in its sole and absolute discretion), as applicable, shall not have consented to the Transfer to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any foreclosure upon any Membership Interests pursuant to an Encumbrance permitted hereunder shall not be an action, suit or proceeding for the purposes of this </w:t>
      </w:r>
      <w:r>
        <w:rPr>
          <w:rFonts w:ascii="Arial" w:cs="Arial" w:eastAsia="Arial" w:hAnsi="Arial"/>
          <w:sz w:val="19"/>
          <w:szCs w:val="19"/>
          <w:u w:val="single" w:color="auto"/>
          <w:color w:val="auto"/>
        </w:rPr>
        <w:t>clause (a)</w:t>
      </w:r>
      <w:r>
        <w:rPr>
          <w:rFonts w:ascii="Arial" w:cs="Arial" w:eastAsia="Arial" w:hAnsi="Arial"/>
          <w:sz w:val="19"/>
          <w:szCs w:val="19"/>
          <w:color w:val="auto"/>
        </w:rPr>
        <w:t>, (b) with respect to any Transfer of a Class A Interest, a Person that is, or whose Affiliate is, a Competitor, (c) a Related Party or a Disqualified Entity, (d) a Person who is, or who is an Affiliate of any Person that is, then Bankrupt, or (e) a Person who, or is an Affiliate of any Person who, is a Sanctioned Person, in each case, other than an existing Member.</w:t>
      </w:r>
    </w:p>
    <w:p>
      <w:pPr>
        <w:spacing w:after="0" w:line="15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0"/>
          <w:szCs w:val="20"/>
          <w:b w:val="1"/>
          <w:bCs w:val="1"/>
          <w:color w:val="auto"/>
        </w:rPr>
        <w:t xml:space="preserve">“Distribution Date” </w:t>
      </w:r>
      <w:r>
        <w:rPr>
          <w:rFonts w:ascii="Arial" w:cs="Arial" w:eastAsia="Arial" w:hAnsi="Arial"/>
          <w:sz w:val="20"/>
          <w:szCs w:val="20"/>
          <w:color w:val="auto"/>
        </w:rPr>
        <w:t>means (i) each day that is five (5) Business Days following a distribution of cash from a Fund</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to the Intermediate Company or (ii)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Business Day in February, May, August, and November;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Members may mutually agree in writing to adjust the regular quarterly Distribution Dates for administrative ease.</w:t>
      </w:r>
    </w:p>
    <w:p>
      <w:pPr>
        <w:spacing w:after="0" w:line="17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“DRO Amount” </w:t>
      </w:r>
      <w:r>
        <w:rPr>
          <w:rFonts w:ascii="Arial" w:cs="Arial" w:eastAsia="Arial" w:hAnsi="Arial"/>
          <w:sz w:val="22"/>
          <w:szCs w:val="22"/>
          <w:color w:val="auto"/>
        </w:rPr>
        <w:t>means $0 on the Effective Date, and from and after the Effective Date means $0, unless such</w:t>
      </w:r>
      <w:r>
        <w:rPr>
          <w:rFonts w:ascii="Arial" w:cs="Arial" w:eastAsia="Arial" w:hAnsi="Arial"/>
          <w:sz w:val="22"/>
          <w:szCs w:val="22"/>
          <w:b w:val="1"/>
          <w:bCs w:val="1"/>
          <w:color w:val="auto"/>
        </w:rPr>
        <w:t xml:space="preserve"> </w:t>
      </w:r>
      <w:r>
        <w:rPr>
          <w:rFonts w:ascii="Arial" w:cs="Arial" w:eastAsia="Arial" w:hAnsi="Arial"/>
          <w:sz w:val="22"/>
          <w:szCs w:val="22"/>
          <w:color w:val="auto"/>
        </w:rPr>
        <w:t>amount is increased pursuant to a Fund Addendum.</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9" w:right="239" w:bottom="1440" w:gutter="0" w:footer="0" w:header="0"/>
        </w:sectPr>
      </w:pPr>
    </w:p>
    <w:bookmarkStart w:id="224" w:name="page225"/>
    <w:bookmarkEnd w:id="224"/>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ECCA</w:t>
      </w:r>
      <w:r>
        <w:rPr>
          <w:rFonts w:ascii="Arial" w:cs="Arial" w:eastAsia="Arial" w:hAnsi="Arial"/>
          <w:sz w:val="22"/>
          <w:szCs w:val="22"/>
          <w:color w:val="auto"/>
        </w:rPr>
        <w:t>” means that certain equity capital contribution agreement, dated July 31, 2017, by and among NRG Chestnut Class B LLC, Firstar Development, LLC, and NRG Chestnut Fund LLC.</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means the date of this Agreement.</w:t>
      </w:r>
    </w:p>
    <w:p>
      <w:pPr>
        <w:spacing w:after="0" w:line="22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b w:val="1"/>
          <w:bCs w:val="1"/>
          <w:color w:val="auto"/>
        </w:rPr>
        <w:t xml:space="preserve">“Encumbrances” </w:t>
      </w:r>
      <w:r>
        <w:rPr>
          <w:rFonts w:ascii="Arial" w:cs="Arial" w:eastAsia="Arial" w:hAnsi="Arial"/>
          <w:sz w:val="22"/>
          <w:szCs w:val="22"/>
          <w:color w:val="auto"/>
        </w:rPr>
        <w:t>means encumbrances, liens, pledges, charges, collateral assignments, options, mortgages,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warrants, deeds of trust, security interests, claims, restrictions (whether on voting, sale, transfer, disposition, or otherwise), assessments, easements, variances, purchase rights, rights of first refusal, reservations, encroachments, irregularities, deficiencies, defaults, defects, adverse claims, interests, and other matters of every type and description whatsoever, whether voluntary or involuntary, choate or inchoate or imposed by Law, agreement (including any agreement to give any of the foregoing or any conditional sale or other title retention agreement), understanding, or otherwise, and whether or not of record, impairing or affecting the title to real or personal property (including membership interests), and </w:t>
      </w:r>
      <w:r>
        <w:rPr>
          <w:rFonts w:ascii="Arial" w:cs="Arial" w:eastAsia="Arial" w:hAnsi="Arial"/>
          <w:sz w:val="22"/>
          <w:szCs w:val="22"/>
          <w:b w:val="1"/>
          <w:bCs w:val="1"/>
          <w:color w:val="auto"/>
        </w:rPr>
        <w:t>“Encumber”</w:t>
      </w:r>
      <w:r>
        <w:rPr>
          <w:rFonts w:ascii="Arial" w:cs="Arial" w:eastAsia="Arial" w:hAnsi="Arial"/>
          <w:sz w:val="22"/>
          <w:szCs w:val="22"/>
          <w:color w:val="auto"/>
        </w:rPr>
        <w:t xml:space="preserve"> means any action or inaction creating an Encumbrance.</w:t>
      </w:r>
    </w:p>
    <w:p>
      <w:pPr>
        <w:spacing w:after="0" w:line="18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“Energy Regulatory Approvals” </w:t>
      </w:r>
      <w:r>
        <w:rPr>
          <w:rFonts w:ascii="Arial" w:cs="Arial" w:eastAsia="Arial" w:hAnsi="Arial"/>
          <w:sz w:val="22"/>
          <w:szCs w:val="22"/>
          <w:color w:val="auto"/>
        </w:rPr>
        <w:t>means any License and Permit issued by or filed with an Energy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that is required to be maintained by any Project or any Subject Company.</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“Energy Regulatory Authority” </w:t>
      </w:r>
      <w:r>
        <w:rPr>
          <w:rFonts w:ascii="Arial" w:cs="Arial" w:eastAsia="Arial" w:hAnsi="Arial"/>
          <w:sz w:val="22"/>
          <w:szCs w:val="22"/>
          <w:color w:val="auto"/>
        </w:rPr>
        <w:t>a Governmental Authority with jurisdiction over public utilities, energy, natural</w:t>
      </w:r>
      <w:r>
        <w:rPr>
          <w:rFonts w:ascii="Arial" w:cs="Arial" w:eastAsia="Arial" w:hAnsi="Arial"/>
          <w:sz w:val="22"/>
          <w:szCs w:val="22"/>
          <w:b w:val="1"/>
          <w:bCs w:val="1"/>
          <w:color w:val="auto"/>
        </w:rPr>
        <w:t xml:space="preserve"> </w:t>
      </w:r>
      <w:r>
        <w:rPr>
          <w:rFonts w:ascii="Arial" w:cs="Arial" w:eastAsia="Arial" w:hAnsi="Arial"/>
          <w:sz w:val="22"/>
          <w:szCs w:val="22"/>
          <w:color w:val="auto"/>
        </w:rPr>
        <w:t>resources or any similar subject matter.</w:t>
      </w:r>
    </w:p>
    <w:p>
      <w:pPr>
        <w:spacing w:after="0" w:line="16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b w:val="1"/>
          <w:bCs w:val="1"/>
          <w:color w:val="auto"/>
        </w:rPr>
        <w:t xml:space="preserve">“Environmental Law” </w:t>
      </w:r>
      <w:r>
        <w:rPr>
          <w:rFonts w:ascii="Arial" w:cs="Arial" w:eastAsia="Arial" w:hAnsi="Arial"/>
          <w:sz w:val="19"/>
          <w:szCs w:val="19"/>
          <w:color w:val="auto"/>
        </w:rPr>
        <w:t>means any Law imposing liability, standards or obligations of conduct concerning pollution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protection of human health and safety (including the health and safety of workers under the U.S. Occupational Safety and Health Act of 1970 (29 U.S.C. §§ 651 </w:t>
      </w:r>
      <w:r>
        <w:rPr>
          <w:rFonts w:ascii="Arial" w:cs="Arial" w:eastAsia="Arial" w:hAnsi="Arial"/>
          <w:sz w:val="19"/>
          <w:szCs w:val="19"/>
          <w:i w:val="1"/>
          <w:iCs w:val="1"/>
          <w:color w:val="auto"/>
        </w:rPr>
        <w:t>et seq.</w:t>
      </w:r>
      <w:r>
        <w:rPr>
          <w:rFonts w:ascii="Arial" w:cs="Arial" w:eastAsia="Arial" w:hAnsi="Arial"/>
          <w:sz w:val="19"/>
          <w:szCs w:val="19"/>
          <w:color w:val="auto"/>
        </w:rPr>
        <w:t>)), flora and fauna, any Environmental Media, including (a) any Law relating to any actual or threatened emission, discharge, release, manufacture, processing, distribution, use, treatment, storage, disposal, transport, or handling of any hazardous waste (as defined by 42 U.S.C. § 6903(5)), hazardous substance (as defined by 42 U.S.C. § 9601(14)), hazardous material (as defined by 49 U.S.C. § 5102(2)), toxic pollutant (as listed pursuant to 33 U.S.C. § 1317), or pollutant or contaminant (as pollutant or contaminant is defined in 42 U.S.C. § 9601(33)), any oil (as defined by 33 U.S.C. § 2701(23)); and</w:t>
      </w:r>
    </w:p>
    <w:p>
      <w:pPr>
        <w:spacing w:after="0" w:line="4" w:lineRule="exact"/>
        <w:rPr>
          <w:sz w:val="20"/>
          <w:szCs w:val="20"/>
          <w:color w:val="auto"/>
        </w:rPr>
      </w:pPr>
    </w:p>
    <w:p>
      <w:pPr>
        <w:jc w:val="both"/>
        <w:ind w:firstLine="8"/>
        <w:spacing w:after="0" w:line="244" w:lineRule="auto"/>
        <w:tabs>
          <w:tab w:leader="none" w:pos="37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the Comprehensive Environmental Response, Compensation, and Liability Act of 1980 (42 U.S.C. §§ 9601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(“CERCLA”), the Federal Water Pollution Control Act (33 U.S.C. §§ 1251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and the Endangered Species Act of 1973 (16 U.S.C. 1531 </w:t>
      </w:r>
      <w:r>
        <w:rPr>
          <w:rFonts w:ascii="Arial" w:cs="Arial" w:eastAsia="Arial" w:hAnsi="Arial"/>
          <w:sz w:val="22"/>
          <w:szCs w:val="22"/>
          <w:i w:val="1"/>
          <w:iCs w:val="1"/>
          <w:color w:val="auto"/>
        </w:rPr>
        <w:t>et seq.</w:t>
      </w:r>
      <w:r>
        <w:rPr>
          <w:rFonts w:ascii="Arial" w:cs="Arial" w:eastAsia="Arial" w:hAnsi="Arial"/>
          <w:sz w:val="22"/>
          <w:szCs w:val="22"/>
          <w:color w:val="auto"/>
        </w:rPr>
        <w:t>) with any amendments or reauthorization thereto or thereof, and any and all regulations promulgated thereunder, and all analogous state and local counterparts or equivalents.</w:t>
      </w:r>
    </w:p>
    <w:p>
      <w:pPr>
        <w:spacing w:after="0" w:line="190"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b w:val="1"/>
          <w:bCs w:val="1"/>
          <w:color w:val="auto"/>
        </w:rPr>
        <w:t xml:space="preserve">“Equity Capital Contribution Date” </w:t>
      </w:r>
      <w:r>
        <w:rPr>
          <w:rFonts w:ascii="Arial" w:cs="Arial" w:eastAsia="Arial" w:hAnsi="Arial"/>
          <w:sz w:val="19"/>
          <w:szCs w:val="19"/>
          <w:color w:val="auto"/>
        </w:rPr>
        <w:t>means (a) each day that a capital contribution is required to be made to a</w:t>
      </w:r>
      <w:r>
        <w:rPr>
          <w:rFonts w:ascii="Arial" w:cs="Arial" w:eastAsia="Arial" w:hAnsi="Arial"/>
          <w:sz w:val="19"/>
          <w:szCs w:val="19"/>
          <w:b w:val="1"/>
          <w:bCs w:val="1"/>
          <w:color w:val="auto"/>
        </w:rPr>
        <w:t xml:space="preserve"> </w:t>
      </w:r>
      <w:r>
        <w:rPr>
          <w:rFonts w:ascii="Arial" w:cs="Arial" w:eastAsia="Arial" w:hAnsi="Arial"/>
          <w:sz w:val="19"/>
          <w:szCs w:val="19"/>
          <w:color w:val="auto"/>
        </w:rPr>
        <w:t>Fund Company by the Intermediate Company, or (b) as required to be made by the Members to fund the Company or the Intermediate Company, in each case, as set forth in a Capital Contribution Request delivered by the Manager to the Members.</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“ERISA”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8.10(h)</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98" w:right="239" w:bottom="1440" w:gutter="0" w:footer="0" w:header="0"/>
        </w:sectPr>
      </w:pPr>
    </w:p>
    <w:bookmarkStart w:id="225" w:name="page226"/>
    <w:bookmarkEnd w:id="225"/>
    <w:p>
      <w:pPr>
        <w:jc w:val="both"/>
        <w:ind w:firstLine="1297"/>
        <w:spacing w:after="0" w:line="248" w:lineRule="auto"/>
        <w:rPr>
          <w:sz w:val="20"/>
          <w:szCs w:val="20"/>
          <w:color w:val="auto"/>
        </w:rPr>
      </w:pPr>
      <w:r>
        <w:rPr>
          <w:rFonts w:ascii="Arial" w:cs="Arial" w:eastAsia="Arial" w:hAnsi="Arial"/>
          <w:sz w:val="21"/>
          <w:szCs w:val="21"/>
          <w:b w:val="1"/>
          <w:bCs w:val="1"/>
          <w:color w:val="auto"/>
        </w:rPr>
        <w:t xml:space="preserve">“Expenses” </w:t>
      </w:r>
      <w:r>
        <w:rPr>
          <w:rFonts w:ascii="Arial" w:cs="Arial" w:eastAsia="Arial" w:hAnsi="Arial"/>
          <w:sz w:val="21"/>
          <w:szCs w:val="21"/>
          <w:color w:val="auto"/>
        </w:rPr>
        <w:t>means, for the relevant period, the sum of (a) Company Expenses for that period, (b) distributions to 3</w:t>
      </w:r>
      <w:r>
        <w:rPr>
          <w:rFonts w:ascii="Arial" w:cs="Arial" w:eastAsia="Arial" w:hAnsi="Arial"/>
          <w:sz w:val="27"/>
          <w:szCs w:val="27"/>
          <w:color w:val="auto"/>
          <w:vertAlign w:val="superscript"/>
        </w:rPr>
        <w:t>rd</w:t>
      </w:r>
      <w:r>
        <w:rPr>
          <w:rFonts w:ascii="Arial" w:cs="Arial" w:eastAsia="Arial" w:hAnsi="Arial"/>
          <w:sz w:val="21"/>
          <w:szCs w:val="21"/>
          <w:b w:val="1"/>
          <w:bCs w:val="1"/>
          <w:color w:val="auto"/>
        </w:rPr>
        <w:t xml:space="preserve"> </w:t>
      </w:r>
      <w:r>
        <w:rPr>
          <w:rFonts w:ascii="Arial" w:cs="Arial" w:eastAsia="Arial" w:hAnsi="Arial"/>
          <w:sz w:val="21"/>
          <w:szCs w:val="21"/>
          <w:color w:val="auto"/>
        </w:rPr>
        <w:t>party investors in Subject Companies made during that period, and (c) distributions made under Section 5.1(b) during that period; provided, that, for purposes of sizing a Class A Capital Contribution Amount, projected Expenses will be allocated pro-rata between Contracted Revenue from an Unleveraged Fund Company, Contracted Revenue from a Backleveraged Fund Company, and Uncontracted Revenue from either an Unleveraged or Backleveraged Fund Company.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Extended Investment Period Date</w:t>
      </w:r>
      <w:r>
        <w:rPr>
          <w:rFonts w:ascii="Arial" w:cs="Arial" w:eastAsia="Arial" w:hAnsi="Arial"/>
          <w:sz w:val="22"/>
          <w:szCs w:val="22"/>
          <w:color w:val="auto"/>
        </w:rPr>
        <w:t>” means June 30, 2019.</w:t>
      </w:r>
    </w:p>
    <w:p>
      <w:pPr>
        <w:spacing w:after="0" w:line="220"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b w:val="1"/>
          <w:bCs w:val="1"/>
          <w:color w:val="auto"/>
        </w:rPr>
        <w:t xml:space="preserve">“Fair Market Value” </w:t>
      </w:r>
      <w:r>
        <w:rPr>
          <w:rFonts w:ascii="Arial" w:cs="Arial" w:eastAsia="Arial" w:hAnsi="Arial"/>
          <w:sz w:val="21"/>
          <w:szCs w:val="21"/>
          <w:color w:val="auto"/>
        </w:rPr>
        <w:t>means, with respect to any Asset, the price at which the Asset would change hands between a</w:t>
      </w:r>
      <w:r>
        <w:rPr>
          <w:rFonts w:ascii="Arial" w:cs="Arial" w:eastAsia="Arial" w:hAnsi="Arial"/>
          <w:sz w:val="21"/>
          <w:szCs w:val="21"/>
          <w:b w:val="1"/>
          <w:bCs w:val="1"/>
          <w:color w:val="auto"/>
        </w:rPr>
        <w:t xml:space="preserve"> </w:t>
      </w:r>
      <w:r>
        <w:rPr>
          <w:rFonts w:ascii="Arial" w:cs="Arial" w:eastAsia="Arial" w:hAnsi="Arial"/>
          <w:sz w:val="21"/>
          <w:szCs w:val="21"/>
          <w:color w:val="auto"/>
        </w:rPr>
        <w:t>willing buyer and a willing seller, neither being under any compulsion to buy or to sell, and both having reasonable knowledge of the relevant facts, and specifically with respect to any Project or any Membership Interest.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“FERC” </w:t>
      </w:r>
      <w:r>
        <w:rPr>
          <w:rFonts w:ascii="Arial" w:cs="Arial" w:eastAsia="Arial" w:hAnsi="Arial"/>
          <w:sz w:val="22"/>
          <w:szCs w:val="22"/>
          <w:color w:val="auto"/>
        </w:rPr>
        <w:t>means the Federal Energy Regulatory Commission and any successor agency.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“FICO® Score” </w:t>
      </w:r>
      <w:r>
        <w:rPr>
          <w:rFonts w:ascii="Arial" w:cs="Arial" w:eastAsia="Arial" w:hAnsi="Arial"/>
          <w:sz w:val="19"/>
          <w:szCs w:val="19"/>
          <w:color w:val="auto"/>
        </w:rPr>
        <w:t>means a score based on the credit risk rating system established and maintained by the Fair Isaac</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Corporation.</w:t>
      </w:r>
    </w:p>
    <w:p>
      <w:pPr>
        <w:spacing w:after="0" w:line="19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“Fiscal Quarter” </w:t>
      </w:r>
      <w:r>
        <w:rPr>
          <w:rFonts w:ascii="Arial" w:cs="Arial" w:eastAsia="Arial" w:hAnsi="Arial"/>
          <w:sz w:val="22"/>
          <w:szCs w:val="22"/>
          <w:color w:val="auto"/>
        </w:rPr>
        <w:t>means the calendar quarters each ended March 31st, June 30th, September 30th and December</w:t>
      </w:r>
      <w:r>
        <w:rPr>
          <w:rFonts w:ascii="Arial" w:cs="Arial" w:eastAsia="Arial" w:hAnsi="Arial"/>
          <w:sz w:val="22"/>
          <w:szCs w:val="22"/>
          <w:b w:val="1"/>
          <w:bCs w:val="1"/>
          <w:color w:val="auto"/>
        </w:rPr>
        <w:t xml:space="preserve"> </w:t>
      </w:r>
      <w:r>
        <w:rPr>
          <w:rFonts w:ascii="Arial" w:cs="Arial" w:eastAsia="Arial" w:hAnsi="Arial"/>
          <w:sz w:val="22"/>
          <w:szCs w:val="22"/>
          <w:color w:val="auto"/>
        </w:rPr>
        <w:t>31st during each Fiscal Year.</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“Fiscal Year” </w:t>
      </w:r>
      <w:r>
        <w:rPr>
          <w:rFonts w:ascii="Arial" w:cs="Arial" w:eastAsia="Arial" w:hAnsi="Arial"/>
          <w:sz w:val="22"/>
          <w:szCs w:val="22"/>
          <w:color w:val="auto"/>
        </w:rPr>
        <w:t>means (a) the period commencing on the Effective Date and ending on the immediately succeeding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December 31, (b) any subsequent calendar year, and (c) the final Fiscal Year of the Company shall end on the date on which the Company is terminated under </w:t>
      </w:r>
      <w:r>
        <w:rPr>
          <w:rFonts w:ascii="Arial" w:cs="Arial" w:eastAsia="Arial" w:hAnsi="Arial"/>
          <w:sz w:val="22"/>
          <w:szCs w:val="22"/>
          <w:u w:val="single" w:color="auto"/>
          <w:color w:val="auto"/>
        </w:rPr>
        <w:t>Article XII</w:t>
      </w:r>
      <w:r>
        <w:rPr>
          <w:rFonts w:ascii="Arial" w:cs="Arial" w:eastAsia="Arial" w:hAnsi="Arial"/>
          <w:sz w:val="22"/>
          <w:szCs w:val="22"/>
          <w:color w:val="auto"/>
        </w:rPr>
        <w:t xml:space="preserve"> hereof.</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“FPA” </w:t>
      </w:r>
      <w:r>
        <w:rPr>
          <w:rFonts w:ascii="Arial" w:cs="Arial" w:eastAsia="Arial" w:hAnsi="Arial"/>
          <w:sz w:val="22"/>
          <w:szCs w:val="22"/>
          <w:color w:val="auto"/>
        </w:rPr>
        <w:t>means the Federal Power Act, as amended, and the regulations of the FERC thereunder.</w:t>
      </w:r>
    </w:p>
    <w:p>
      <w:pPr>
        <w:spacing w:after="0" w:line="220"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b w:val="1"/>
          <w:bCs w:val="1"/>
          <w:color w:val="auto"/>
        </w:rPr>
        <w:t xml:space="preserve">“Fund Addendum” </w:t>
      </w:r>
      <w:r>
        <w:rPr>
          <w:rFonts w:ascii="Arial" w:cs="Arial" w:eastAsia="Arial" w:hAnsi="Arial"/>
          <w:sz w:val="21"/>
          <w:szCs w:val="21"/>
          <w:color w:val="auto"/>
        </w:rPr>
        <w:t>means an addendum in the form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A</w:t>
      </w:r>
      <w:r>
        <w:rPr>
          <w:rFonts w:ascii="Arial" w:cs="Arial" w:eastAsia="Arial" w:hAnsi="Arial"/>
          <w:sz w:val="21"/>
          <w:szCs w:val="21"/>
          <w:b w:val="1"/>
          <w:bCs w:val="1"/>
          <w:color w:val="auto"/>
        </w:rPr>
        <w:t xml:space="preserve"> </w:t>
      </w:r>
      <w:r>
        <w:rPr>
          <w:rFonts w:ascii="Arial" w:cs="Arial" w:eastAsia="Arial" w:hAnsi="Arial"/>
          <w:sz w:val="21"/>
          <w:szCs w:val="21"/>
          <w:color w:val="auto"/>
        </w:rPr>
        <w:t>that includes Fund Company specific agreements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Members that, upon execution, will be deemed to supplement this Agreement with respect to the Members’ and the Company’s investment in such Fund Company. Each executed Fund Addendum will include the agreed upon updated Approved Budget, the Fund Base Case Model, the Fund Credit Profile, the Tax Assumptions and the form of Officer’s Certificate applicable to the respective Fund Company, in each case reflecting the acquisition of the applicable Fund Company and the Capital Contributions made, or to be made, by the Members thereto.</w:t>
      </w:r>
    </w:p>
    <w:p>
      <w:pPr>
        <w:spacing w:after="0" w:line="174"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“Fund Base Case Model” </w:t>
      </w:r>
      <w:r>
        <w:rPr>
          <w:rFonts w:ascii="Arial" w:cs="Arial" w:eastAsia="Arial" w:hAnsi="Arial"/>
          <w:sz w:val="22"/>
          <w:szCs w:val="22"/>
          <w:color w:val="auto"/>
        </w:rPr>
        <w:t>means the base case financial model in connection with each Fund Company, which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attached to the applicable Fund Addendum, which shall specifically set forth the Capital Contributions required to be made by each Member to the Company in order to fund the Company’s capital contribution to such Fund Company or Intermediate Company, as applicable. For clarity, following the Investment Period, the Fund Base Case Model will not be used by the Members for purposes of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3" w:right="239" w:bottom="1440" w:gutter="0" w:footer="0" w:header="0"/>
        </w:sectPr>
      </w:pPr>
    </w:p>
    <w:bookmarkStart w:id="226" w:name="page227"/>
    <w:bookmarkEnd w:id="226"/>
    <w:p>
      <w:pPr>
        <w:ind w:left="1300"/>
        <w:spacing w:after="0"/>
        <w:rPr>
          <w:sz w:val="20"/>
          <w:szCs w:val="20"/>
          <w:color w:val="auto"/>
        </w:rPr>
      </w:pPr>
      <w:r>
        <w:rPr>
          <w:rFonts w:ascii="Arial" w:cs="Arial" w:eastAsia="Arial" w:hAnsi="Arial"/>
          <w:sz w:val="22"/>
          <w:szCs w:val="22"/>
          <w:b w:val="1"/>
          <w:bCs w:val="1"/>
          <w:color w:val="auto"/>
        </w:rPr>
        <w:t xml:space="preserve">“Fund Company” </w:t>
      </w:r>
      <w:r>
        <w:rPr>
          <w:rFonts w:ascii="Arial" w:cs="Arial" w:eastAsia="Arial" w:hAnsi="Arial"/>
          <w:sz w:val="22"/>
          <w:szCs w:val="22"/>
          <w:color w:val="auto"/>
        </w:rPr>
        <w:t>and</w:t>
      </w:r>
      <w:r>
        <w:rPr>
          <w:rFonts w:ascii="Arial" w:cs="Arial" w:eastAsia="Arial" w:hAnsi="Arial"/>
          <w:sz w:val="22"/>
          <w:szCs w:val="22"/>
          <w:b w:val="1"/>
          <w:bCs w:val="1"/>
          <w:color w:val="auto"/>
        </w:rPr>
        <w:t xml:space="preserve"> “Fund Companies” </w:t>
      </w:r>
      <w:r>
        <w:rPr>
          <w:rFonts w:ascii="Arial" w:cs="Arial" w:eastAsia="Arial" w:hAnsi="Arial"/>
          <w:sz w:val="22"/>
          <w:szCs w:val="22"/>
          <w:color w:val="auto"/>
        </w:rPr>
        <w:t>are defined in the recitals to this Agreement.</w:t>
      </w:r>
    </w:p>
    <w:p>
      <w:pPr>
        <w:spacing w:after="0" w:line="220" w:lineRule="exact"/>
        <w:rPr>
          <w:sz w:val="20"/>
          <w:szCs w:val="20"/>
          <w:color w:val="auto"/>
        </w:rPr>
      </w:pPr>
    </w:p>
    <w:p>
      <w:pPr>
        <w:jc w:val="both"/>
        <w:ind w:right="20" w:firstLine="1297"/>
        <w:spacing w:after="0" w:line="256" w:lineRule="auto"/>
        <w:rPr>
          <w:sz w:val="20"/>
          <w:szCs w:val="20"/>
          <w:color w:val="auto"/>
        </w:rPr>
      </w:pPr>
      <w:r>
        <w:rPr>
          <w:rFonts w:ascii="Arial" w:cs="Arial" w:eastAsia="Arial" w:hAnsi="Arial"/>
          <w:sz w:val="22"/>
          <w:szCs w:val="22"/>
          <w:b w:val="1"/>
          <w:bCs w:val="1"/>
          <w:color w:val="auto"/>
        </w:rPr>
        <w:t xml:space="preserve">“Fund Company Call Event” </w:t>
      </w:r>
      <w:r>
        <w:rPr>
          <w:rFonts w:ascii="Arial" w:cs="Arial" w:eastAsia="Arial" w:hAnsi="Arial"/>
          <w:sz w:val="22"/>
          <w:szCs w:val="22"/>
          <w:color w:val="auto"/>
        </w:rPr>
        <w:t>means an option to purchase a Fund Investor’s membership interest in a Fund</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is then available pursuant to the applicable Fund Documents in favor of an Intermediate Company (whether through a purchase option or buyout event or otherwise).</w:t>
      </w:r>
    </w:p>
    <w:p>
      <w:pPr>
        <w:spacing w:after="0" w:line="17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b w:val="1"/>
          <w:bCs w:val="1"/>
          <w:color w:val="auto"/>
        </w:rPr>
        <w:t xml:space="preserve">“Fund Company Presentation Package” </w:t>
      </w:r>
      <w:r>
        <w:rPr>
          <w:rFonts w:ascii="Arial" w:cs="Arial" w:eastAsia="Arial" w:hAnsi="Arial"/>
          <w:sz w:val="22"/>
          <w:szCs w:val="22"/>
          <w:color w:val="auto"/>
        </w:rPr>
        <w:t>means the following information and documentation regarding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proposed investment in a Fund Company: (a) a proposed Fund Addendum with the Fund Base Case Model and proposed amended Approved Budget attached as exhibits, (b) a summary of the proposed transaction and (c) all relevant Fund Documents;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not all Fund Documents are in final form, all current drafts thereof shall be provided with the initial Fund Company Presentation Package and final drafts shall be provided to the Members prior to the Intermediate Company’s execution of such documents.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“Fund Company Presentation Notice”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6.3(b)</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“Fund Company Put Event” </w:t>
      </w:r>
      <w:r>
        <w:rPr>
          <w:rFonts w:ascii="Arial" w:cs="Arial" w:eastAsia="Arial" w:hAnsi="Arial"/>
          <w:sz w:val="22"/>
          <w:szCs w:val="22"/>
          <w:color w:val="auto"/>
        </w:rPr>
        <w:t>means that an Intermediate Company is required to purchase a Fund Investor’s</w:t>
      </w:r>
      <w:r>
        <w:rPr>
          <w:rFonts w:ascii="Arial" w:cs="Arial" w:eastAsia="Arial" w:hAnsi="Arial"/>
          <w:sz w:val="22"/>
          <w:szCs w:val="22"/>
          <w:b w:val="1"/>
          <w:bCs w:val="1"/>
          <w:color w:val="auto"/>
        </w:rPr>
        <w:t xml:space="preserve"> </w:t>
      </w:r>
      <w:r>
        <w:rPr>
          <w:rFonts w:ascii="Arial" w:cs="Arial" w:eastAsia="Arial" w:hAnsi="Arial"/>
          <w:sz w:val="22"/>
          <w:szCs w:val="22"/>
          <w:color w:val="auto"/>
        </w:rPr>
        <w:t>membership interest in a Fund Company pursuant to the applicable Fund Documents.</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“Fund Credit Profile” </w:t>
      </w:r>
      <w:r>
        <w:rPr>
          <w:rFonts w:ascii="Arial" w:cs="Arial" w:eastAsia="Arial" w:hAnsi="Arial"/>
          <w:sz w:val="22"/>
          <w:szCs w:val="22"/>
          <w:color w:val="auto"/>
        </w:rPr>
        <w:t>means, with respect to each Fund Company, the Fund Credit Profile attached to the relevant</w:t>
      </w:r>
      <w:r>
        <w:rPr>
          <w:rFonts w:ascii="Arial" w:cs="Arial" w:eastAsia="Arial" w:hAnsi="Arial"/>
          <w:sz w:val="22"/>
          <w:szCs w:val="22"/>
          <w:b w:val="1"/>
          <w:bCs w:val="1"/>
          <w:color w:val="auto"/>
        </w:rPr>
        <w:t xml:space="preserve"> </w:t>
      </w:r>
      <w:r>
        <w:rPr>
          <w:rFonts w:ascii="Arial" w:cs="Arial" w:eastAsia="Arial" w:hAnsi="Arial"/>
          <w:sz w:val="22"/>
          <w:szCs w:val="22"/>
          <w:color w:val="auto"/>
        </w:rPr>
        <w:t>Fund Addendum.</w:t>
      </w:r>
    </w:p>
    <w:p>
      <w:pPr>
        <w:spacing w:after="0" w:line="162"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b w:val="1"/>
          <w:bCs w:val="1"/>
          <w:color w:val="auto"/>
        </w:rPr>
        <w:t xml:space="preserve">“Fund Documents” </w:t>
      </w:r>
      <w:r>
        <w:rPr>
          <w:rFonts w:ascii="Arial" w:cs="Arial" w:eastAsia="Arial" w:hAnsi="Arial"/>
          <w:sz w:val="19"/>
          <w:szCs w:val="19"/>
          <w:color w:val="auto"/>
        </w:rPr>
        <w:t>means, with respect to each Fund Company, the material documents in connection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ownership and operation of such Fund Company, including, if applicable, the purchase agreement whereby the applicable Intermediate Company acquired its interest in such Fund Company, the Fund Company’s operating agreement, the purchase and sale agreement or other similar document pursuant to which the Fund Company purchased or will purchase Projects, any operations and maintenance agreements, administrative service agreements or similar documents providing for the administration of such Fund Company and the operation and maintenance of the Projects, and any other material documents contemplated by any of the foregoing. For the avoidance of doubt, customer leases and offtake agreements are not Fund Documents.</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“Fund Investor” </w:t>
      </w:r>
      <w:r>
        <w:rPr>
          <w:rFonts w:ascii="Arial" w:cs="Arial" w:eastAsia="Arial" w:hAnsi="Arial"/>
          <w:sz w:val="22"/>
          <w:szCs w:val="22"/>
          <w:color w:val="auto"/>
        </w:rPr>
        <w:t>and</w:t>
      </w:r>
      <w:r>
        <w:rPr>
          <w:rFonts w:ascii="Arial" w:cs="Arial" w:eastAsia="Arial" w:hAnsi="Arial"/>
          <w:sz w:val="22"/>
          <w:szCs w:val="22"/>
          <w:b w:val="1"/>
          <w:bCs w:val="1"/>
          <w:color w:val="auto"/>
        </w:rPr>
        <w:t xml:space="preserve"> “Fund Investors” </w:t>
      </w:r>
      <w:r>
        <w:rPr>
          <w:rFonts w:ascii="Arial" w:cs="Arial" w:eastAsia="Arial" w:hAnsi="Arial"/>
          <w:sz w:val="22"/>
          <w:szCs w:val="22"/>
          <w:color w:val="auto"/>
        </w:rPr>
        <w:t>are defined in the recitals to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“Fund Investor Interests”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6.3(e)</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“Funding Notice”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“GAAP” </w:t>
      </w:r>
      <w:r>
        <w:rPr>
          <w:rFonts w:ascii="Arial" w:cs="Arial" w:eastAsia="Arial" w:hAnsi="Arial"/>
          <w:sz w:val="21"/>
          <w:szCs w:val="21"/>
          <w:color w:val="auto"/>
        </w:rPr>
        <w:t>means United States generally accepted accounting principles, as amended, consistently applied.</w:t>
      </w:r>
    </w:p>
    <w:p>
      <w:pPr>
        <w:spacing w:after="0" w:line="23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“Good Management Standard” </w:t>
      </w:r>
      <w:r>
        <w:rPr>
          <w:rFonts w:ascii="Arial" w:cs="Arial" w:eastAsia="Arial" w:hAnsi="Arial"/>
          <w:sz w:val="22"/>
          <w:szCs w:val="22"/>
          <w:color w:val="auto"/>
        </w:rPr>
        <w:t>means that a Person will perform its management functions in good faith and in a</w:t>
      </w:r>
      <w:r>
        <w:rPr>
          <w:rFonts w:ascii="Arial" w:cs="Arial" w:eastAsia="Arial" w:hAnsi="Arial"/>
          <w:sz w:val="22"/>
          <w:szCs w:val="22"/>
          <w:b w:val="1"/>
          <w:bCs w:val="1"/>
          <w:color w:val="auto"/>
        </w:rPr>
        <w:t xml:space="preserve"> </w:t>
      </w:r>
      <w:r>
        <w:rPr>
          <w:rFonts w:ascii="Arial" w:cs="Arial" w:eastAsia="Arial" w:hAnsi="Arial"/>
          <w:sz w:val="22"/>
          <w:szCs w:val="22"/>
          <w:color w:val="auto"/>
        </w:rPr>
        <w:t>manner it reasonably believes to be in the best interests of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98" w:right="23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Company. Good Management Standard is not intended to be limited to a single set of practices, methods and acts.</w:t>
      </w:r>
    </w:p>
    <w:p>
      <w:pPr>
        <w:spacing w:after="0" w:line="214"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b w:val="1"/>
          <w:bCs w:val="1"/>
          <w:color w:val="auto"/>
        </w:rPr>
        <w:t xml:space="preserve">“Governmental Authority” </w:t>
      </w:r>
      <w:r>
        <w:rPr>
          <w:rFonts w:ascii="Arial" w:cs="Arial" w:eastAsia="Arial" w:hAnsi="Arial"/>
          <w:sz w:val="19"/>
          <w:szCs w:val="19"/>
          <w:color w:val="auto"/>
        </w:rPr>
        <w:t>means any foreign, domestic, federal, territorial, state or local governmental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court, commission, board, bureau, agency or instrumentality, or any regulatory, administrative or other department, agency, or any political or other subdivision, department or branch of any of the foregoing, any Taxing Authority and any electric reliability organization, regional transmission organization or independent system operator or any successor thereto.</w:t>
      </w:r>
    </w:p>
    <w:p>
      <w:pPr>
        <w:spacing w:after="0" w:line="13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“Highest Marginal Rate” </w:t>
      </w:r>
      <w:r>
        <w:rPr>
          <w:rFonts w:ascii="Arial" w:cs="Arial" w:eastAsia="Arial" w:hAnsi="Arial"/>
          <w:sz w:val="22"/>
          <w:szCs w:val="22"/>
          <w:color w:val="auto"/>
        </w:rPr>
        <w:t>means, with respect to any Member, the then highest marginal federal income tax rate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to such Member. The Highest Marginal Rate applicable to the Class A Member shall be 37.6%, as such rate may be adjusted with respect to any Fund Company if specified otherwise in a Fund Addendum.</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“HoldCo 1”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3.3(h)</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“Holder” </w:t>
      </w:r>
      <w:r>
        <w:rPr>
          <w:rFonts w:ascii="Arial" w:cs="Arial" w:eastAsia="Arial" w:hAnsi="Arial"/>
          <w:sz w:val="22"/>
          <w:szCs w:val="22"/>
          <w:color w:val="auto"/>
        </w:rPr>
        <w:t>means, as to a Class A Unit, the Class A Member holding such Class A Unit, and, as to a Class B Unit, the</w:t>
      </w:r>
      <w:r>
        <w:rPr>
          <w:rFonts w:ascii="Arial" w:cs="Arial" w:eastAsia="Arial" w:hAnsi="Arial"/>
          <w:sz w:val="22"/>
          <w:szCs w:val="22"/>
          <w:b w:val="1"/>
          <w:bCs w:val="1"/>
          <w:color w:val="auto"/>
        </w:rPr>
        <w:t xml:space="preserve"> </w:t>
      </w:r>
      <w:r>
        <w:rPr>
          <w:rFonts w:ascii="Arial" w:cs="Arial" w:eastAsia="Arial" w:hAnsi="Arial"/>
          <w:sz w:val="22"/>
          <w:szCs w:val="22"/>
          <w:color w:val="auto"/>
        </w:rPr>
        <w:t>Class B Member holding such Class B Unit.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“HSR Act” </w:t>
      </w:r>
      <w:r>
        <w:rPr>
          <w:rFonts w:ascii="Arial" w:cs="Arial" w:eastAsia="Arial" w:hAnsi="Arial"/>
          <w:sz w:val="22"/>
          <w:szCs w:val="22"/>
          <w:color w:val="auto"/>
        </w:rPr>
        <w:t>means the Hart-Scott-Rodino Antitrust Improvements Act of 1976,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“IE Approval”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“IE Rejection”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9.6(a)</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“Indebtedness” </w:t>
      </w:r>
      <w:r>
        <w:rPr>
          <w:rFonts w:ascii="Arial" w:cs="Arial" w:eastAsia="Arial" w:hAnsi="Arial"/>
          <w:sz w:val="22"/>
          <w:szCs w:val="22"/>
          <w:color w:val="auto"/>
        </w:rPr>
        <w:t>means indebtedness for borrowed money and any lease of any property as lessee the obligations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are required to be classified or accounted for as a capital lease on the balance sheet of the applicable Person, off-balance sheet leases, but expressly does not include short-term (</w:t>
      </w:r>
      <w:r>
        <w:rPr>
          <w:rFonts w:ascii="Arial" w:cs="Arial" w:eastAsia="Arial" w:hAnsi="Arial"/>
          <w:sz w:val="22"/>
          <w:szCs w:val="22"/>
          <w:i w:val="1"/>
          <w:iCs w:val="1"/>
          <w:color w:val="auto"/>
        </w:rPr>
        <w:t>i.e</w:t>
      </w:r>
      <w:r>
        <w:rPr>
          <w:rFonts w:ascii="Arial" w:cs="Arial" w:eastAsia="Arial" w:hAnsi="Arial"/>
          <w:sz w:val="22"/>
          <w:szCs w:val="22"/>
          <w:color w:val="auto"/>
        </w:rPr>
        <w:t>., less than one (1) year in maturity) trade payables incurred in the ordinary course of business.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“Indemnified Party”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“Indemnifying Member”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11.3</w:t>
      </w:r>
      <w:r>
        <w:rPr>
          <w:rFonts w:ascii="Arial" w:cs="Arial" w:eastAsia="Arial" w:hAnsi="Arial"/>
          <w:sz w:val="22"/>
          <w:szCs w:val="22"/>
          <w:color w:val="auto"/>
        </w:rPr>
        <w:t>.</w:t>
      </w:r>
    </w:p>
    <w:p>
      <w:pPr>
        <w:spacing w:after="0" w:line="220" w:lineRule="exact"/>
        <w:rPr>
          <w:sz w:val="20"/>
          <w:szCs w:val="20"/>
          <w:color w:val="auto"/>
        </w:rPr>
      </w:pPr>
    </w:p>
    <w:p>
      <w:pPr>
        <w:ind w:right="20" w:firstLine="1297"/>
        <w:spacing w:after="0" w:line="269" w:lineRule="auto"/>
        <w:rPr>
          <w:sz w:val="20"/>
          <w:szCs w:val="20"/>
          <w:color w:val="auto"/>
        </w:rPr>
      </w:pPr>
      <w:r>
        <w:rPr>
          <w:rFonts w:ascii="Arial" w:cs="Arial" w:eastAsia="Arial" w:hAnsi="Arial"/>
          <w:sz w:val="22"/>
          <w:szCs w:val="22"/>
          <w:b w:val="1"/>
          <w:bCs w:val="1"/>
          <w:color w:val="auto"/>
        </w:rPr>
        <w:t xml:space="preserve">“Independent Engineer” </w:t>
      </w:r>
      <w:r>
        <w:rPr>
          <w:rFonts w:ascii="Arial" w:cs="Arial" w:eastAsia="Arial" w:hAnsi="Arial"/>
          <w:sz w:val="22"/>
          <w:szCs w:val="22"/>
          <w:color w:val="auto"/>
        </w:rPr>
        <w:t>means a nationally-recognized independent engineering consulting firm reasonably</w:t>
      </w:r>
      <w:r>
        <w:rPr>
          <w:rFonts w:ascii="Arial" w:cs="Arial" w:eastAsia="Arial" w:hAnsi="Arial"/>
          <w:sz w:val="22"/>
          <w:szCs w:val="22"/>
          <w:b w:val="1"/>
          <w:bCs w:val="1"/>
          <w:color w:val="auto"/>
        </w:rPr>
        <w:t xml:space="preserve"> </w:t>
      </w:r>
      <w:r>
        <w:rPr>
          <w:rFonts w:ascii="Arial" w:cs="Arial" w:eastAsia="Arial" w:hAnsi="Arial"/>
          <w:sz w:val="22"/>
          <w:szCs w:val="22"/>
          <w:color w:val="auto"/>
        </w:rPr>
        <w:t>acceptable to the Members.</w:t>
      </w:r>
    </w:p>
    <w:p>
      <w:pPr>
        <w:spacing w:after="0" w:line="162" w:lineRule="exact"/>
        <w:rPr>
          <w:sz w:val="20"/>
          <w:szCs w:val="20"/>
          <w:color w:val="auto"/>
        </w:rPr>
      </w:pPr>
    </w:p>
    <w:p>
      <w:pPr>
        <w:ind w:right="20" w:firstLine="1297"/>
        <w:spacing w:after="0" w:line="269" w:lineRule="auto"/>
        <w:rPr>
          <w:sz w:val="20"/>
          <w:szCs w:val="20"/>
          <w:color w:val="auto"/>
        </w:rPr>
      </w:pPr>
      <w:r>
        <w:rPr>
          <w:rFonts w:ascii="Arial" w:cs="Arial" w:eastAsia="Arial" w:hAnsi="Arial"/>
          <w:sz w:val="22"/>
          <w:szCs w:val="22"/>
          <w:b w:val="1"/>
          <w:bCs w:val="1"/>
          <w:color w:val="auto"/>
        </w:rPr>
        <w:t xml:space="preserve">“Initial Capital Contribution” </w:t>
      </w:r>
      <w:r>
        <w:rPr>
          <w:rFonts w:ascii="Arial" w:cs="Arial" w:eastAsia="Arial" w:hAnsi="Arial"/>
          <w:sz w:val="22"/>
          <w:szCs w:val="22"/>
          <w:color w:val="auto"/>
        </w:rPr>
        <w:t>means a Capital Contribution made directly or indirectly on behalf of such Member</w:t>
      </w:r>
      <w:r>
        <w:rPr>
          <w:rFonts w:ascii="Arial" w:cs="Arial" w:eastAsia="Arial" w:hAnsi="Arial"/>
          <w:sz w:val="22"/>
          <w:szCs w:val="22"/>
          <w:b w:val="1"/>
          <w:bCs w:val="1"/>
          <w:color w:val="auto"/>
        </w:rPr>
        <w:t xml:space="preserve"> </w:t>
      </w:r>
      <w:r>
        <w:rPr>
          <w:rFonts w:ascii="Arial" w:cs="Arial" w:eastAsia="Arial" w:hAnsi="Arial"/>
          <w:sz w:val="22"/>
          <w:szCs w:val="22"/>
          <w:color w:val="auto"/>
        </w:rPr>
        <w:t>on or prior to the Effective Date.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“Initial Class A Member” </w:t>
      </w:r>
      <w:r>
        <w:rPr>
          <w:rFonts w:ascii="Arial" w:cs="Arial" w:eastAsia="Arial" w:hAnsi="Arial"/>
          <w:sz w:val="22"/>
          <w:szCs w:val="22"/>
          <w:color w:val="auto"/>
        </w:rPr>
        <w:t>means NRG Yield DGPV Holding LLC, a Delaware limited liability company.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04" w:right="239" w:bottom="1440" w:gutter="0" w:footer="0" w:header="0"/>
        </w:sectPr>
      </w:pPr>
    </w:p>
    <w:bookmarkStart w:id="228" w:name="page229"/>
    <w:bookmarkEnd w:id="228"/>
    <w:p>
      <w:pPr>
        <w:ind w:left="1300"/>
        <w:spacing w:after="0"/>
        <w:rPr>
          <w:sz w:val="20"/>
          <w:szCs w:val="20"/>
          <w:color w:val="auto"/>
        </w:rPr>
      </w:pPr>
      <w:r>
        <w:rPr>
          <w:rFonts w:ascii="Arial" w:cs="Arial" w:eastAsia="Arial" w:hAnsi="Arial"/>
          <w:sz w:val="22"/>
          <w:szCs w:val="22"/>
          <w:b w:val="1"/>
          <w:bCs w:val="1"/>
          <w:color w:val="auto"/>
        </w:rPr>
        <w:t xml:space="preserve">“Initial Class B Member” </w:t>
      </w:r>
      <w:r>
        <w:rPr>
          <w:rFonts w:ascii="Arial" w:cs="Arial" w:eastAsia="Arial" w:hAnsi="Arial"/>
          <w:sz w:val="22"/>
          <w:szCs w:val="22"/>
          <w:color w:val="auto"/>
        </w:rPr>
        <w:t>means NRG Renew DG Holdings LLC, a Delaware limited liability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“Intermediate Company” </w:t>
      </w:r>
      <w:r>
        <w:rPr>
          <w:rFonts w:ascii="Arial" w:cs="Arial" w:eastAsia="Arial" w:hAnsi="Arial"/>
          <w:sz w:val="21"/>
          <w:szCs w:val="21"/>
          <w:color w:val="auto"/>
        </w:rPr>
        <w:t>and</w:t>
      </w:r>
      <w:r>
        <w:rPr>
          <w:rFonts w:ascii="Arial" w:cs="Arial" w:eastAsia="Arial" w:hAnsi="Arial"/>
          <w:sz w:val="21"/>
          <w:szCs w:val="21"/>
          <w:b w:val="1"/>
          <w:bCs w:val="1"/>
          <w:color w:val="auto"/>
        </w:rPr>
        <w:t xml:space="preserve"> “Intermediate Companies” </w:t>
      </w:r>
      <w:r>
        <w:rPr>
          <w:rFonts w:ascii="Arial" w:cs="Arial" w:eastAsia="Arial" w:hAnsi="Arial"/>
          <w:sz w:val="21"/>
          <w:szCs w:val="21"/>
          <w:color w:val="auto"/>
        </w:rPr>
        <w:t>are defined in the recitals to this Agreement.</w:t>
      </w:r>
    </w:p>
    <w:p>
      <w:pPr>
        <w:spacing w:after="0" w:line="231"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b w:val="1"/>
          <w:bCs w:val="1"/>
          <w:color w:val="auto"/>
        </w:rPr>
        <w:t xml:space="preserve">“Investment Costs” </w:t>
      </w:r>
      <w:r>
        <w:rPr>
          <w:rFonts w:ascii="Arial" w:cs="Arial" w:eastAsia="Arial" w:hAnsi="Arial"/>
          <w:sz w:val="22"/>
          <w:szCs w:val="22"/>
          <w:color w:val="auto"/>
        </w:rPr>
        <w:t>means, with respect to the O&amp;M Agreement or AMA, as applicable, the actual out-of-pocket</w:t>
      </w:r>
      <w:r>
        <w:rPr>
          <w:rFonts w:ascii="Arial" w:cs="Arial" w:eastAsia="Arial" w:hAnsi="Arial"/>
          <w:sz w:val="22"/>
          <w:szCs w:val="22"/>
          <w:b w:val="1"/>
          <w:bCs w:val="1"/>
          <w:color w:val="auto"/>
        </w:rPr>
        <w:t xml:space="preserve"> </w:t>
      </w:r>
      <w:r>
        <w:rPr>
          <w:rFonts w:ascii="Arial" w:cs="Arial" w:eastAsia="Arial" w:hAnsi="Arial"/>
          <w:sz w:val="22"/>
          <w:szCs w:val="22"/>
          <w:color w:val="auto"/>
        </w:rPr>
        <w:t>cost of (a) procurement of information technology systems for customer care service delivery (to the extent such systems are used with respect to the provision of services under the O&amp;M Agreement or AMA, as applicable); (b) equipment to self-perform operation and maintenance (to the extent such equipment is used with respect to the provision of services under the O&amp;M Agreement or AMA, as applicable) and that cannot reasonably be used elsewhere; and (c) project-specific customization and setup into existing systems.</w:t>
      </w:r>
    </w:p>
    <w:p>
      <w:pPr>
        <w:spacing w:after="0" w:line="18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“Investment Documents” </w:t>
      </w:r>
      <w:r>
        <w:rPr>
          <w:rFonts w:ascii="Arial" w:cs="Arial" w:eastAsia="Arial" w:hAnsi="Arial"/>
          <w:sz w:val="22"/>
          <w:szCs w:val="22"/>
          <w:color w:val="auto"/>
        </w:rPr>
        <w:t>means this Agreement and any other documents entered into by the Company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the Members acquiring and maintaining their Membership Interests in the Company.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“Investment Grade Customers” </w:t>
      </w:r>
      <w:r>
        <w:rPr>
          <w:rFonts w:ascii="Arial" w:cs="Arial" w:eastAsia="Arial" w:hAnsi="Arial"/>
          <w:sz w:val="21"/>
          <w:szCs w:val="21"/>
          <w:color w:val="auto"/>
        </w:rPr>
        <w:t>shall have the meaning given to it in each applicable Fund Credit Profile.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“Investment Response Notice”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6.3(b)</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b w:val="1"/>
          <w:bCs w:val="1"/>
          <w:color w:val="auto"/>
        </w:rPr>
        <w:t xml:space="preserve">“Investment Period” </w:t>
      </w:r>
      <w:r>
        <w:rPr>
          <w:rFonts w:ascii="Arial" w:cs="Arial" w:eastAsia="Arial" w:hAnsi="Arial"/>
          <w:sz w:val="19"/>
          <w:szCs w:val="19"/>
          <w:color w:val="auto"/>
        </w:rPr>
        <w:t>means the period from the Effective Date until December 31, 2018;</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w:t>
      </w:r>
      <w:r>
        <w:rPr>
          <w:rFonts w:ascii="Arial" w:cs="Arial" w:eastAsia="Arial" w:hAnsi="Arial"/>
          <w:sz w:val="19"/>
          <w:szCs w:val="19"/>
          <w:b w:val="1"/>
          <w:bCs w:val="1"/>
          <w:color w:val="auto"/>
        </w:rPr>
        <w:t xml:space="preserve"> </w:t>
      </w:r>
      <w:r>
        <w:rPr>
          <w:rFonts w:ascii="Arial" w:cs="Arial" w:eastAsia="Arial" w:hAnsi="Arial"/>
          <w:sz w:val="19"/>
          <w:szCs w:val="19"/>
          <w:color w:val="auto"/>
        </w:rPr>
        <w:t>the Class A Member has not invested the entire Class A Member Capital Contribution Commitment and, if applicable, any Class A Member Capital Contribution Commitment Accordion Amount, by the end of the Investment Period, then the Class B Member shall pay the Commitment Fee to the Class A Member within thirty (30) days after the end of the Investment Period and the Investment Period shall be deemed to have been extended until the Extended Investment Period Date. The Class A Member Capital Contribution Commitment and, if applicable, any Class A Member Capital Contribution Commitment Accordion Amount, will expire at the end of the Extended Investment Period Date unless extended by mutual agreement of the Parties.</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“IRS” </w:t>
      </w:r>
      <w:r>
        <w:rPr>
          <w:rFonts w:ascii="Arial" w:cs="Arial" w:eastAsia="Arial" w:hAnsi="Arial"/>
          <w:sz w:val="22"/>
          <w:szCs w:val="22"/>
          <w:color w:val="auto"/>
        </w:rPr>
        <w:t>means the Internal Revenue Service and any successor Governmental Authority.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“Issued Interest” </w:t>
      </w:r>
      <w:r>
        <w:rPr>
          <w:rFonts w:ascii="Arial" w:cs="Arial" w:eastAsia="Arial" w:hAnsi="Arial"/>
          <w:sz w:val="22"/>
          <w:szCs w:val="22"/>
          <w:color w:val="auto"/>
        </w:rPr>
        <w:t>is defined in the recitals to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“ITC” </w:t>
      </w:r>
      <w:r>
        <w:rPr>
          <w:rFonts w:ascii="Arial" w:cs="Arial" w:eastAsia="Arial" w:hAnsi="Arial"/>
          <w:sz w:val="22"/>
          <w:szCs w:val="22"/>
          <w:color w:val="auto"/>
        </w:rPr>
        <w:t>means the energy tax credit provided for under Section 48 of the Code.</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“Law” </w:t>
      </w:r>
      <w:r>
        <w:rPr>
          <w:rFonts w:ascii="Arial" w:cs="Arial" w:eastAsia="Arial" w:hAnsi="Arial"/>
          <w:sz w:val="22"/>
          <w:szCs w:val="22"/>
          <w:color w:val="auto"/>
        </w:rPr>
        <w:t>means any applicable constitution, statute, law, ordinance, regulation, rate, ruling, order, judgment, legally</w:t>
      </w:r>
      <w:r>
        <w:rPr>
          <w:rFonts w:ascii="Arial" w:cs="Arial" w:eastAsia="Arial" w:hAnsi="Arial"/>
          <w:sz w:val="22"/>
          <w:szCs w:val="22"/>
          <w:b w:val="1"/>
          <w:bCs w:val="1"/>
          <w:color w:val="auto"/>
        </w:rPr>
        <w:t xml:space="preserve"> </w:t>
      </w:r>
      <w:r>
        <w:rPr>
          <w:rFonts w:ascii="Arial" w:cs="Arial" w:eastAsia="Arial" w:hAnsi="Arial"/>
          <w:sz w:val="22"/>
          <w:szCs w:val="22"/>
          <w:color w:val="auto"/>
        </w:rPr>
        <w:t>binding guideline, restriction, requirement, writ, injunction or decree that has been enacted, issued or promulgated by any Governmental Authority.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99" w:right="239" w:bottom="1440" w:gutter="0" w:footer="0" w:header="0"/>
        </w:sectPr>
      </w:pPr>
    </w:p>
    <w:bookmarkStart w:id="229" w:name="page230"/>
    <w:bookmarkEnd w:id="229"/>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“Licenses and Permits” </w:t>
      </w:r>
      <w:r>
        <w:rPr>
          <w:rFonts w:ascii="Arial" w:cs="Arial" w:eastAsia="Arial" w:hAnsi="Arial"/>
          <w:sz w:val="22"/>
          <w:szCs w:val="22"/>
          <w:color w:val="auto"/>
        </w:rPr>
        <w:t>means filings and registrations with, and licenses, permits, notices, approvals, grants,</w:t>
      </w:r>
      <w:r>
        <w:rPr>
          <w:rFonts w:ascii="Arial" w:cs="Arial" w:eastAsia="Arial" w:hAnsi="Arial"/>
          <w:sz w:val="22"/>
          <w:szCs w:val="22"/>
          <w:b w:val="1"/>
          <w:bCs w:val="1"/>
          <w:color w:val="auto"/>
        </w:rPr>
        <w:t xml:space="preserve"> </w:t>
      </w:r>
      <w:r>
        <w:rPr>
          <w:rFonts w:ascii="Arial" w:cs="Arial" w:eastAsia="Arial" w:hAnsi="Arial"/>
          <w:sz w:val="22"/>
          <w:szCs w:val="22"/>
          <w:color w:val="auto"/>
        </w:rPr>
        <w:t>easements, exemptions, variances and authorizations from, any Governmental Authority.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“Liquidating Events”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12.1(a)</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b w:val="1"/>
          <w:bCs w:val="1"/>
          <w:color w:val="auto"/>
        </w:rPr>
        <w:t xml:space="preserve">“Manager” </w:t>
      </w:r>
      <w:r>
        <w:rPr>
          <w:rFonts w:ascii="Arial" w:cs="Arial" w:eastAsia="Arial" w:hAnsi="Arial"/>
          <w:sz w:val="19"/>
          <w:szCs w:val="19"/>
          <w:color w:val="auto"/>
        </w:rPr>
        <w:t>means the Person appointed by the Members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VI</w:t>
      </w:r>
      <w:r>
        <w:rPr>
          <w:rFonts w:ascii="Arial" w:cs="Arial" w:eastAsia="Arial" w:hAnsi="Arial"/>
          <w:sz w:val="19"/>
          <w:szCs w:val="19"/>
          <w:b w:val="1"/>
          <w:bCs w:val="1"/>
          <w:color w:val="auto"/>
        </w:rPr>
        <w:t xml:space="preserve"> </w:t>
      </w:r>
      <w:r>
        <w:rPr>
          <w:rFonts w:ascii="Arial" w:cs="Arial" w:eastAsia="Arial" w:hAnsi="Arial"/>
          <w:sz w:val="19"/>
          <w:szCs w:val="19"/>
          <w:color w:val="auto"/>
        </w:rPr>
        <w:t>to manage the affairs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and any other Person hereafter appointed as a successor Manager of the Company as provided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Pursuant to its appointment by the Members in </w:t>
      </w:r>
      <w:r>
        <w:rPr>
          <w:rFonts w:ascii="Arial" w:cs="Arial" w:eastAsia="Arial" w:hAnsi="Arial"/>
          <w:sz w:val="19"/>
          <w:szCs w:val="19"/>
          <w:u w:val="single" w:color="auto"/>
          <w:color w:val="auto"/>
        </w:rPr>
        <w:t>Section 6.1</w:t>
      </w:r>
      <w:r>
        <w:rPr>
          <w:rFonts w:ascii="Arial" w:cs="Arial" w:eastAsia="Arial" w:hAnsi="Arial"/>
          <w:sz w:val="19"/>
          <w:szCs w:val="19"/>
          <w:color w:val="auto"/>
        </w:rPr>
        <w:t>, the Initial Class B Member shall be the initial Manager of the Company.</w:t>
      </w:r>
    </w:p>
    <w:p>
      <w:pPr>
        <w:spacing w:after="0" w:line="12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“Master Services Provider” </w:t>
      </w:r>
      <w:r>
        <w:rPr>
          <w:rFonts w:ascii="Arial" w:cs="Arial" w:eastAsia="Arial" w:hAnsi="Arial"/>
          <w:sz w:val="22"/>
          <w:szCs w:val="22"/>
          <w:color w:val="auto"/>
        </w:rPr>
        <w:t>means NRG Solar Asset Management LLC, a Delaware limited liability company. For</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of this Agreement the Master Services Provider shall be considered an Affiliate of the Initial Class B Member but not an Affiliate of the Initial Class A Member.</w:t>
      </w:r>
    </w:p>
    <w:p>
      <w:pPr>
        <w:spacing w:after="0" w:line="17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“Member” </w:t>
      </w:r>
      <w:r>
        <w:rPr>
          <w:rFonts w:ascii="Arial" w:cs="Arial" w:eastAsia="Arial" w:hAnsi="Arial"/>
          <w:sz w:val="22"/>
          <w:szCs w:val="22"/>
          <w:color w:val="auto"/>
        </w:rPr>
        <w:t>means any Person who executes the signature page of this Agreement as of the Effective Date or</w:t>
      </w:r>
      <w:r>
        <w:rPr>
          <w:rFonts w:ascii="Arial" w:cs="Arial" w:eastAsia="Arial" w:hAnsi="Arial"/>
          <w:sz w:val="22"/>
          <w:szCs w:val="22"/>
          <w:b w:val="1"/>
          <w:bCs w:val="1"/>
          <w:color w:val="auto"/>
        </w:rPr>
        <w:t xml:space="preserve"> </w:t>
      </w:r>
      <w:r>
        <w:rPr>
          <w:rFonts w:ascii="Arial" w:cs="Arial" w:eastAsia="Arial" w:hAnsi="Arial"/>
          <w:sz w:val="22"/>
          <w:szCs w:val="22"/>
          <w:color w:val="auto"/>
        </w:rPr>
        <w:t>thereafter agrees to be bound hereby and is admitted to the Company as a Member pursuant to this Agreement, excluding any Person that has ceased to be a Member.</w:t>
      </w:r>
    </w:p>
    <w:p>
      <w:pPr>
        <w:spacing w:after="0" w:line="176"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b w:val="1"/>
          <w:bCs w:val="1"/>
          <w:color w:val="auto"/>
        </w:rPr>
        <w:t xml:space="preserve">“Member Contribution Event” </w:t>
      </w:r>
      <w:r>
        <w:rPr>
          <w:rFonts w:ascii="Arial" w:cs="Arial" w:eastAsia="Arial" w:hAnsi="Arial"/>
          <w:sz w:val="19"/>
          <w:szCs w:val="19"/>
          <w:color w:val="auto"/>
        </w:rPr>
        <w:t>means an event requiring a Member to make a Capital Contribution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in connection with a liability of a Subject Company under a Fund Document or otherwise that is the obligation of that Member (a) as a result of such Member’s indemnity obligations to the other Members under </w:t>
      </w:r>
      <w:r>
        <w:rPr>
          <w:rFonts w:ascii="Arial" w:cs="Arial" w:eastAsia="Arial" w:hAnsi="Arial"/>
          <w:sz w:val="19"/>
          <w:szCs w:val="19"/>
          <w:u w:val="single" w:color="auto"/>
          <w:color w:val="auto"/>
        </w:rPr>
        <w:t>Article XI</w:t>
      </w:r>
      <w:r>
        <w:rPr>
          <w:rFonts w:ascii="Arial" w:cs="Arial" w:eastAsia="Arial" w:hAnsi="Arial"/>
          <w:sz w:val="19"/>
          <w:szCs w:val="19"/>
          <w:color w:val="auto"/>
        </w:rPr>
        <w:t>, or (b) with respect to the Class B Member, non-utilization fees, non-deployment fees or commitment fees that are payable to a Fund Investor arising under the Fund Documents or any legal or other fees and costs in connection with the negotiation and entry by the Intermediate Company or any other Person into any Fund Documents, which obligation shall be borne solely by the Class B Member.</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“Member Loan”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268" w:lineRule="exact"/>
        <w:rPr>
          <w:sz w:val="20"/>
          <w:szCs w:val="20"/>
          <w:color w:val="auto"/>
        </w:rPr>
      </w:pPr>
      <w:r>
        <w:rPr>
          <w:rFonts w:ascii="Arial" w:cs="Arial" w:eastAsia="Arial" w:hAnsi="Arial"/>
          <w:sz w:val="22"/>
          <w:szCs w:val="22"/>
          <w:b w:val="1"/>
          <w:bCs w:val="1"/>
          <w:color w:val="auto"/>
        </w:rPr>
        <w:t xml:space="preserve">“Member Nonrecourse Debt” </w:t>
      </w:r>
      <w:r>
        <w:rPr>
          <w:rFonts w:ascii="Arial" w:cs="Arial" w:eastAsia="Arial" w:hAnsi="Arial"/>
          <w:sz w:val="22"/>
          <w:szCs w:val="22"/>
          <w:color w:val="auto"/>
        </w:rPr>
        <w:t>has the meaning given the term “partner nonrecourse debt” in Treasury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1.704</w:t>
      </w:r>
      <w:r>
        <w:rPr>
          <w:rFonts w:ascii="MS PGothic" w:cs="MS PGothic" w:eastAsia="MS PGothic" w:hAnsi="MS PGothic"/>
          <w:sz w:val="22"/>
          <w:szCs w:val="22"/>
          <w:color w:val="auto"/>
        </w:rPr>
        <w:t>‑</w:t>
      </w:r>
      <w:r>
        <w:rPr>
          <w:rFonts w:ascii="Arial" w:cs="Arial" w:eastAsia="Arial" w:hAnsi="Arial"/>
          <w:sz w:val="22"/>
          <w:szCs w:val="22"/>
          <w:color w:val="auto"/>
        </w:rPr>
        <w:t>2(b)(4).</w:t>
      </w:r>
    </w:p>
    <w:p>
      <w:pPr>
        <w:spacing w:after="0" w:line="194" w:lineRule="exact"/>
        <w:rPr>
          <w:sz w:val="20"/>
          <w:szCs w:val="20"/>
          <w:color w:val="auto"/>
        </w:rPr>
      </w:pPr>
    </w:p>
    <w:p>
      <w:pPr>
        <w:jc w:val="both"/>
        <w:ind w:firstLine="1297"/>
        <w:spacing w:after="0" w:line="265" w:lineRule="exact"/>
        <w:rPr>
          <w:sz w:val="20"/>
          <w:szCs w:val="20"/>
          <w:color w:val="auto"/>
        </w:rPr>
      </w:pPr>
      <w:r>
        <w:rPr>
          <w:rFonts w:ascii="Arial" w:cs="Arial" w:eastAsia="Arial" w:hAnsi="Arial"/>
          <w:sz w:val="22"/>
          <w:szCs w:val="22"/>
          <w:b w:val="1"/>
          <w:bCs w:val="1"/>
          <w:color w:val="auto"/>
        </w:rPr>
        <w:t xml:space="preserve">“Member Nonrecourse Debt Minimum Gain” </w:t>
      </w:r>
      <w:r>
        <w:rPr>
          <w:rFonts w:ascii="Arial" w:cs="Arial" w:eastAsia="Arial" w:hAnsi="Arial"/>
          <w:sz w:val="22"/>
          <w:szCs w:val="22"/>
          <w:color w:val="auto"/>
        </w:rPr>
        <w:t>has the meaning given the term “partner nonrecourse debt</w:t>
      </w:r>
      <w:r>
        <w:rPr>
          <w:rFonts w:ascii="Arial" w:cs="Arial" w:eastAsia="Arial" w:hAnsi="Arial"/>
          <w:sz w:val="22"/>
          <w:szCs w:val="22"/>
          <w:b w:val="1"/>
          <w:bCs w:val="1"/>
          <w:color w:val="auto"/>
        </w:rPr>
        <w:t xml:space="preserve"> </w:t>
      </w:r>
      <w:r>
        <w:rPr>
          <w:rFonts w:ascii="Arial" w:cs="Arial" w:eastAsia="Arial" w:hAnsi="Arial"/>
          <w:sz w:val="22"/>
          <w:szCs w:val="22"/>
          <w:color w:val="auto"/>
        </w:rPr>
        <w:t>minimum gain” set forth in Treasury Regulations Section 1.704</w:t>
      </w:r>
      <w:r>
        <w:rPr>
          <w:rFonts w:ascii="MS PGothic" w:cs="MS PGothic" w:eastAsia="MS PGothic" w:hAnsi="MS PGothic"/>
          <w:sz w:val="22"/>
          <w:szCs w:val="22"/>
          <w:color w:val="auto"/>
        </w:rPr>
        <w:t>‑</w:t>
      </w:r>
      <w:r>
        <w:rPr>
          <w:rFonts w:ascii="Arial" w:cs="Arial" w:eastAsia="Arial" w:hAnsi="Arial"/>
          <w:sz w:val="22"/>
          <w:szCs w:val="22"/>
          <w:color w:val="auto"/>
        </w:rPr>
        <w:t>2(i)(2), and will be computed as provided in Treasury Regulations Section 1.704</w:t>
      </w:r>
      <w:r>
        <w:rPr>
          <w:rFonts w:ascii="MS PGothic" w:cs="MS PGothic" w:eastAsia="MS PGothic" w:hAnsi="MS PGothic"/>
          <w:sz w:val="22"/>
          <w:szCs w:val="22"/>
          <w:color w:val="auto"/>
        </w:rPr>
        <w:t>‑</w:t>
      </w:r>
      <w:r>
        <w:rPr>
          <w:rFonts w:ascii="Arial" w:cs="Arial" w:eastAsia="Arial" w:hAnsi="Arial"/>
          <w:sz w:val="22"/>
          <w:szCs w:val="22"/>
          <w:color w:val="auto"/>
        </w:rPr>
        <w:t>2(i)(3).</w:t>
      </w:r>
    </w:p>
    <w:p>
      <w:pPr>
        <w:spacing w:after="0" w:line="192" w:lineRule="exact"/>
        <w:rPr>
          <w:sz w:val="20"/>
          <w:szCs w:val="20"/>
          <w:color w:val="auto"/>
        </w:rPr>
      </w:pPr>
    </w:p>
    <w:p>
      <w:pPr>
        <w:jc w:val="both"/>
        <w:ind w:firstLine="1297"/>
        <w:spacing w:after="0" w:line="268" w:lineRule="exact"/>
        <w:rPr>
          <w:sz w:val="20"/>
          <w:szCs w:val="20"/>
          <w:color w:val="auto"/>
        </w:rPr>
      </w:pPr>
      <w:r>
        <w:rPr>
          <w:rFonts w:ascii="Arial" w:cs="Arial" w:eastAsia="Arial" w:hAnsi="Arial"/>
          <w:sz w:val="22"/>
          <w:szCs w:val="22"/>
          <w:b w:val="1"/>
          <w:bCs w:val="1"/>
          <w:color w:val="auto"/>
        </w:rPr>
        <w:t xml:space="preserve">“Member Nonrecourse Deductions” </w:t>
      </w:r>
      <w:r>
        <w:rPr>
          <w:rFonts w:ascii="Arial" w:cs="Arial" w:eastAsia="Arial" w:hAnsi="Arial"/>
          <w:sz w:val="22"/>
          <w:szCs w:val="22"/>
          <w:color w:val="auto"/>
        </w:rPr>
        <w:t>has the same meaning as the term “partner nonrecourse deductions” in</w:t>
      </w:r>
      <w:r>
        <w:rPr>
          <w:rFonts w:ascii="Arial" w:cs="Arial" w:eastAsia="Arial" w:hAnsi="Arial"/>
          <w:sz w:val="22"/>
          <w:szCs w:val="22"/>
          <w:b w:val="1"/>
          <w:bCs w:val="1"/>
          <w:color w:val="auto"/>
        </w:rPr>
        <w:t xml:space="preserve"> </w:t>
      </w:r>
      <w:r>
        <w:rPr>
          <w:rFonts w:ascii="Arial" w:cs="Arial" w:eastAsia="Arial" w:hAnsi="Arial"/>
          <w:sz w:val="22"/>
          <w:szCs w:val="22"/>
          <w:color w:val="auto"/>
        </w:rPr>
        <w:t>Treasury Regulations Sections 1.704</w:t>
      </w:r>
      <w:r>
        <w:rPr>
          <w:rFonts w:ascii="MS PGothic" w:cs="MS PGothic" w:eastAsia="MS PGothic" w:hAnsi="MS PGothic"/>
          <w:sz w:val="22"/>
          <w:szCs w:val="22"/>
          <w:color w:val="auto"/>
        </w:rPr>
        <w:t>‑</w:t>
      </w:r>
      <w:r>
        <w:rPr>
          <w:rFonts w:ascii="Arial" w:cs="Arial" w:eastAsia="Arial" w:hAnsi="Arial"/>
          <w:sz w:val="22"/>
          <w:szCs w:val="22"/>
          <w:color w:val="auto"/>
        </w:rPr>
        <w:t>2(i)(1) and 1.704</w:t>
      </w:r>
      <w:r>
        <w:rPr>
          <w:rFonts w:ascii="MS PGothic" w:cs="MS PGothic" w:eastAsia="MS PGothic" w:hAnsi="MS PGothic"/>
          <w:sz w:val="22"/>
          <w:szCs w:val="22"/>
          <w:color w:val="auto"/>
        </w:rPr>
        <w:t>‑</w:t>
      </w:r>
      <w:r>
        <w:rPr>
          <w:rFonts w:ascii="Arial" w:cs="Arial" w:eastAsia="Arial" w:hAnsi="Arial"/>
          <w:sz w:val="22"/>
          <w:szCs w:val="22"/>
          <w:color w:val="auto"/>
        </w:rPr>
        <w:t>2(i)(2).</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“Membership Interest” </w:t>
      </w:r>
      <w:r>
        <w:rPr>
          <w:rFonts w:ascii="Arial" w:cs="Arial" w:eastAsia="Arial" w:hAnsi="Arial"/>
          <w:sz w:val="19"/>
          <w:szCs w:val="19"/>
          <w:color w:val="auto"/>
        </w:rPr>
        <w:t>means either the Class A Interest or the Class B Interest or both, as the context requires.</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“Moody’s” </w:t>
      </w:r>
      <w:r>
        <w:rPr>
          <w:rFonts w:ascii="Arial" w:cs="Arial" w:eastAsia="Arial" w:hAnsi="Arial"/>
          <w:sz w:val="22"/>
          <w:szCs w:val="22"/>
          <w:color w:val="auto"/>
        </w:rPr>
        <w:t>means Moody’s Investor Service, or any successor entity.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598" w:right="239" w:bottom="1440" w:gutter="0" w:footer="0" w:header="0"/>
        </w:sectPr>
      </w:pPr>
    </w:p>
    <w:bookmarkStart w:id="230" w:name="page231"/>
    <w:bookmarkEnd w:id="230"/>
    <w:p>
      <w:pPr>
        <w:ind w:left="1300"/>
        <w:spacing w:after="0"/>
        <w:rPr>
          <w:sz w:val="20"/>
          <w:szCs w:val="20"/>
          <w:color w:val="auto"/>
        </w:rPr>
      </w:pPr>
      <w:r>
        <w:rPr>
          <w:rFonts w:ascii="Arial" w:cs="Arial" w:eastAsia="Arial" w:hAnsi="Arial"/>
          <w:sz w:val="22"/>
          <w:szCs w:val="22"/>
          <w:b w:val="1"/>
          <w:bCs w:val="1"/>
          <w:color w:val="auto"/>
        </w:rPr>
        <w:t xml:space="preserve">“New Chapter 63” </w:t>
      </w:r>
      <w:r>
        <w:rPr>
          <w:rFonts w:ascii="Arial" w:cs="Arial" w:eastAsia="Arial" w:hAnsi="Arial"/>
          <w:sz w:val="22"/>
          <w:szCs w:val="22"/>
          <w:color w:val="auto"/>
        </w:rPr>
        <w:t>means Subtitle F, Chapter 63 of the Code, as amended by the Budget Act.</w:t>
      </w:r>
    </w:p>
    <w:p>
      <w:pPr>
        <w:spacing w:after="0" w:line="220" w:lineRule="exact"/>
        <w:rPr>
          <w:sz w:val="20"/>
          <w:szCs w:val="20"/>
          <w:color w:val="auto"/>
        </w:rPr>
      </w:pPr>
    </w:p>
    <w:p>
      <w:pPr>
        <w:ind w:left="1300"/>
        <w:spacing w:after="0" w:line="219" w:lineRule="exact"/>
        <w:rPr>
          <w:sz w:val="20"/>
          <w:szCs w:val="20"/>
          <w:color w:val="auto"/>
        </w:rPr>
      </w:pPr>
      <w:r>
        <w:rPr>
          <w:rFonts w:ascii="Arial" w:cs="Arial" w:eastAsia="Arial" w:hAnsi="Arial"/>
          <w:sz w:val="19"/>
          <w:szCs w:val="19"/>
          <w:b w:val="1"/>
          <w:bCs w:val="1"/>
          <w:color w:val="auto"/>
        </w:rPr>
        <w:t xml:space="preserve">“Nonrecourse Deductions” </w:t>
      </w:r>
      <w:r>
        <w:rPr>
          <w:rFonts w:ascii="Arial" w:cs="Arial" w:eastAsia="Arial" w:hAnsi="Arial"/>
          <w:sz w:val="19"/>
          <w:szCs w:val="19"/>
          <w:color w:val="auto"/>
        </w:rPr>
        <w:t>has the meaning given to such term in Treasury Regulations Sections 1.704</w:t>
      </w:r>
      <w:r>
        <w:rPr>
          <w:rFonts w:ascii="MS PGothic" w:cs="MS PGothic" w:eastAsia="MS PGothic" w:hAnsi="MS PGothic"/>
          <w:sz w:val="19"/>
          <w:szCs w:val="19"/>
          <w:color w:val="auto"/>
        </w:rPr>
        <w:t>‑</w:t>
      </w:r>
      <w:r>
        <w:rPr>
          <w:rFonts w:ascii="Arial" w:cs="Arial" w:eastAsia="Arial" w:hAnsi="Arial"/>
          <w:sz w:val="19"/>
          <w:szCs w:val="19"/>
          <w:color w:val="auto"/>
        </w:rPr>
        <w:t>2(b)(1) and</w:t>
      </w:r>
    </w:p>
    <w:p>
      <w:pPr>
        <w:spacing w:after="0" w:line="62"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1.704</w:t>
      </w:r>
      <w:r>
        <w:rPr>
          <w:rFonts w:ascii="MS PGothic" w:cs="MS PGothic" w:eastAsia="MS PGothic" w:hAnsi="MS PGothic"/>
          <w:sz w:val="22"/>
          <w:szCs w:val="22"/>
          <w:color w:val="auto"/>
        </w:rPr>
        <w:t>‑</w:t>
      </w:r>
      <w:r>
        <w:rPr>
          <w:rFonts w:ascii="Arial" w:cs="Arial" w:eastAsia="Arial" w:hAnsi="Arial"/>
          <w:sz w:val="22"/>
          <w:szCs w:val="22"/>
          <w:color w:val="auto"/>
        </w:rPr>
        <w:t>2(c).</w:t>
      </w:r>
    </w:p>
    <w:p>
      <w:pPr>
        <w:spacing w:after="0" w:line="196" w:lineRule="exact"/>
        <w:rPr>
          <w:sz w:val="20"/>
          <w:szCs w:val="20"/>
          <w:color w:val="auto"/>
        </w:rPr>
      </w:pPr>
    </w:p>
    <w:p>
      <w:pPr>
        <w:ind w:left="1300"/>
        <w:spacing w:after="0" w:line="242" w:lineRule="exact"/>
        <w:rPr>
          <w:sz w:val="20"/>
          <w:szCs w:val="20"/>
          <w:color w:val="auto"/>
        </w:rPr>
      </w:pPr>
      <w:r>
        <w:rPr>
          <w:rFonts w:ascii="Arial" w:cs="Arial" w:eastAsia="Arial" w:hAnsi="Arial"/>
          <w:sz w:val="21"/>
          <w:szCs w:val="21"/>
          <w:b w:val="1"/>
          <w:bCs w:val="1"/>
          <w:color w:val="auto"/>
        </w:rPr>
        <w:t xml:space="preserve">“Nonrecourse Liability” </w:t>
      </w:r>
      <w:r>
        <w:rPr>
          <w:rFonts w:ascii="Arial" w:cs="Arial" w:eastAsia="Arial" w:hAnsi="Arial"/>
          <w:sz w:val="21"/>
          <w:szCs w:val="21"/>
          <w:color w:val="auto"/>
        </w:rPr>
        <w:t>has the meaning given such term in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2(b)(3).</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“Officers”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350" w:lineRule="auto"/>
        <w:rPr>
          <w:sz w:val="20"/>
          <w:szCs w:val="20"/>
          <w:color w:val="auto"/>
        </w:rPr>
      </w:pPr>
      <w:r>
        <w:rPr>
          <w:rFonts w:ascii="Arial" w:cs="Arial" w:eastAsia="Arial" w:hAnsi="Arial"/>
          <w:sz w:val="19"/>
          <w:szCs w:val="19"/>
          <w:b w:val="1"/>
          <w:bCs w:val="1"/>
          <w:color w:val="auto"/>
        </w:rPr>
        <w:t>“O&amp;M Agreement</w:t>
      </w:r>
      <w:r>
        <w:rPr>
          <w:rFonts w:ascii="Arial" w:cs="Arial" w:eastAsia="Arial" w:hAnsi="Arial"/>
          <w:sz w:val="19"/>
          <w:szCs w:val="19"/>
          <w:color w:val="auto"/>
        </w:rPr>
        <w:t>” means that certain O&amp;M Management Services Agreement, dated July 31, 2017 between NRG</w:t>
      </w:r>
      <w:r>
        <w:rPr>
          <w:rFonts w:ascii="Arial" w:cs="Arial" w:eastAsia="Arial" w:hAnsi="Arial"/>
          <w:sz w:val="19"/>
          <w:szCs w:val="19"/>
          <w:b w:val="1"/>
          <w:bCs w:val="1"/>
          <w:color w:val="auto"/>
        </w:rPr>
        <w:t xml:space="preserve"> </w:t>
      </w:r>
      <w:r>
        <w:rPr>
          <w:rFonts w:ascii="Arial" w:cs="Arial" w:eastAsia="Arial" w:hAnsi="Arial"/>
          <w:sz w:val="19"/>
          <w:szCs w:val="19"/>
          <w:color w:val="auto"/>
        </w:rPr>
        <w:t>Chestnut Fund, LLC, and NRG Renew Operation &amp; Maintenance LLC as amended, modified, supplemented from time to time.</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“Original Agreement” </w:t>
      </w:r>
      <w:r>
        <w:rPr>
          <w:rFonts w:ascii="Arial" w:cs="Arial" w:eastAsia="Arial" w:hAnsi="Arial"/>
          <w:sz w:val="22"/>
          <w:szCs w:val="22"/>
          <w:color w:val="auto"/>
        </w:rPr>
        <w:t>has the meaning given that term in the introductory paragraph.</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“Party” </w:t>
      </w:r>
      <w:r>
        <w:rPr>
          <w:rFonts w:ascii="Arial" w:cs="Arial" w:eastAsia="Arial" w:hAnsi="Arial"/>
          <w:sz w:val="22"/>
          <w:szCs w:val="22"/>
          <w:color w:val="auto"/>
        </w:rPr>
        <w:t>means the Class B Member, the Company or the Class A Member, as the context requires.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“Permitted Investments”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8.5</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“Person” </w:t>
      </w:r>
      <w:r>
        <w:rPr>
          <w:rFonts w:ascii="Arial" w:cs="Arial" w:eastAsia="Arial" w:hAnsi="Arial"/>
          <w:sz w:val="22"/>
          <w:szCs w:val="22"/>
          <w:color w:val="auto"/>
        </w:rPr>
        <w:t>means an individual, a corporation, a limited liability company, a partnership, an association, joint</w:t>
      </w:r>
      <w:r>
        <w:rPr>
          <w:rFonts w:ascii="Arial" w:cs="Arial" w:eastAsia="Arial" w:hAnsi="Arial"/>
          <w:sz w:val="22"/>
          <w:szCs w:val="22"/>
          <w:b w:val="1"/>
          <w:bCs w:val="1"/>
          <w:color w:val="auto"/>
        </w:rPr>
        <w:t xml:space="preserve"> </w:t>
      </w:r>
      <w:r>
        <w:rPr>
          <w:rFonts w:ascii="Arial" w:cs="Arial" w:eastAsia="Arial" w:hAnsi="Arial"/>
          <w:sz w:val="22"/>
          <w:szCs w:val="22"/>
          <w:color w:val="auto"/>
        </w:rPr>
        <w:t>venture, a labor union, a trust or any other entity or organization, including a Governmental Authority.</w:t>
      </w:r>
    </w:p>
    <w:p>
      <w:pPr>
        <w:spacing w:after="0" w:line="162" w:lineRule="exact"/>
        <w:rPr>
          <w:sz w:val="20"/>
          <w:szCs w:val="20"/>
          <w:color w:val="auto"/>
        </w:rPr>
      </w:pPr>
    </w:p>
    <w:p>
      <w:pPr>
        <w:jc w:val="both"/>
        <w:ind w:firstLine="1297"/>
        <w:spacing w:after="0" w:line="260" w:lineRule="exact"/>
        <w:rPr>
          <w:sz w:val="20"/>
          <w:szCs w:val="20"/>
          <w:color w:val="auto"/>
        </w:rPr>
      </w:pPr>
      <w:r>
        <w:rPr>
          <w:rFonts w:ascii="Arial" w:cs="Arial" w:eastAsia="Arial" w:hAnsi="Arial"/>
          <w:sz w:val="21"/>
          <w:szCs w:val="21"/>
          <w:b w:val="1"/>
          <w:bCs w:val="1"/>
          <w:color w:val="auto"/>
        </w:rPr>
        <w:t>“Placed</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in</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 xml:space="preserve">Service” </w:t>
      </w:r>
      <w:r>
        <w:rPr>
          <w:rFonts w:ascii="Arial" w:cs="Arial" w:eastAsia="Arial" w:hAnsi="Arial"/>
          <w:sz w:val="21"/>
          <w:szCs w:val="21"/>
          <w:color w:val="auto"/>
        </w:rPr>
        <w:t>means, with respect to any Project that is owned by a Fund Company, the applicable definition</w:t>
      </w:r>
      <w:r>
        <w:rPr>
          <w:rFonts w:ascii="Arial" w:cs="Arial" w:eastAsia="Arial" w:hAnsi="Arial"/>
          <w:sz w:val="21"/>
          <w:szCs w:val="21"/>
          <w:b w:val="1"/>
          <w:bCs w:val="1"/>
          <w:color w:val="auto"/>
        </w:rPr>
        <w:t xml:space="preserve"> </w:t>
      </w:r>
      <w:r>
        <w:rPr>
          <w:rFonts w:ascii="Arial" w:cs="Arial" w:eastAsia="Arial" w:hAnsi="Arial"/>
          <w:sz w:val="21"/>
          <w:szCs w:val="21"/>
          <w:color w:val="auto"/>
        </w:rPr>
        <w:t>of “placed in service” provided in such Fund Documents, and, for any other Project, that (a) all necessary permits and licenses for operating such Project (including, for the avoidance of doubt, the permission to operate letter) have been obtained , (b) all critical commissioning and testing activities necessary for proper operation of such Fund Company have been performed, (c) legal title and control to such Project has been transferred to the Company, (d) initial synchronization of such Project to the grid has occurred and (e) daily operation of such Project has begun.</w:t>
      </w:r>
    </w:p>
    <w:p>
      <w:pPr>
        <w:spacing w:after="0" w:line="198" w:lineRule="exact"/>
        <w:rPr>
          <w:sz w:val="20"/>
          <w:szCs w:val="20"/>
          <w:color w:val="auto"/>
        </w:rPr>
      </w:pPr>
    </w:p>
    <w:p>
      <w:pPr>
        <w:ind w:left="1300"/>
        <w:spacing w:after="0" w:line="253" w:lineRule="exact"/>
        <w:rPr>
          <w:sz w:val="20"/>
          <w:szCs w:val="20"/>
          <w:color w:val="auto"/>
        </w:rPr>
      </w:pPr>
      <w:r>
        <w:rPr>
          <w:rFonts w:ascii="Arial" w:cs="Arial" w:eastAsia="Arial" w:hAnsi="Arial"/>
          <w:sz w:val="22"/>
          <w:szCs w:val="22"/>
          <w:b w:val="1"/>
          <w:bCs w:val="1"/>
          <w:color w:val="auto"/>
        </w:rPr>
        <w:t>“Placed</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in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Service Date” </w:t>
      </w:r>
      <w:r>
        <w:rPr>
          <w:rFonts w:ascii="Arial" w:cs="Arial" w:eastAsia="Arial" w:hAnsi="Arial"/>
          <w:sz w:val="22"/>
          <w:szCs w:val="22"/>
          <w:color w:val="auto"/>
        </w:rPr>
        <w:t>in respect of a Project means the date such Project is Placed in Service.</w:t>
      </w:r>
    </w:p>
    <w:p>
      <w:pPr>
        <w:spacing w:after="0" w:line="220"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b w:val="1"/>
          <w:bCs w:val="1"/>
          <w:color w:val="auto"/>
        </w:rPr>
        <w:t xml:space="preserve">“Portfolio Material Adverse Effect” </w:t>
      </w:r>
      <w:r>
        <w:rPr>
          <w:rFonts w:ascii="Arial" w:cs="Arial" w:eastAsia="Arial" w:hAnsi="Arial"/>
          <w:sz w:val="19"/>
          <w:szCs w:val="19"/>
          <w:color w:val="auto"/>
        </w:rPr>
        <w:t>means any act, event, condition or circumstance that, individually or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has, or could reasonably be expected to have, a material adverse effect on (a) the Projects, taken as a whole, (b) the business, earnings, Assets, liabilities (contingent or otherwise), results of operations, prospects, condition (financial or otherwise) or properties of the Projects, taken as a whole, or any of the following Persons: the Company, the Subject Companies (taken as a whole) or, to the extent expressly specified, any Member, or on the ability of any such Person to timely perform any of its respective obligations under any Investment Document, (c) the rights and remedies of any Class A Member under any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598" w:right="2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Investment Document or (d) the legality, validity, binding effect or enforceability of any Investment Document.</w:t>
      </w:r>
    </w:p>
    <w:p>
      <w:pPr>
        <w:spacing w:after="0" w:line="21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“Post Investment Period Contribution Percentage” </w:t>
      </w:r>
      <w:r>
        <w:rPr>
          <w:rFonts w:ascii="Arial" w:cs="Arial" w:eastAsia="Arial" w:hAnsi="Arial"/>
          <w:sz w:val="22"/>
          <w:szCs w:val="22"/>
          <w:color w:val="auto"/>
        </w:rPr>
        <w:t>means, the percentage for each Member equal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percentage of distributable cash for such Member pursuant to </w:t>
      </w:r>
      <w:r>
        <w:rPr>
          <w:rFonts w:ascii="Arial" w:cs="Arial" w:eastAsia="Arial" w:hAnsi="Arial"/>
          <w:sz w:val="22"/>
          <w:szCs w:val="22"/>
          <w:u w:val="single" w:color="auto"/>
          <w:color w:val="auto"/>
        </w:rPr>
        <w:t>Section 5.1(a)</w:t>
      </w:r>
      <w:r>
        <w:rPr>
          <w:rFonts w:ascii="Arial" w:cs="Arial" w:eastAsia="Arial" w:hAnsi="Arial"/>
          <w:sz w:val="22"/>
          <w:szCs w:val="22"/>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“Project” </w:t>
      </w:r>
      <w:r>
        <w:rPr>
          <w:rFonts w:ascii="Arial" w:cs="Arial" w:eastAsia="Arial" w:hAnsi="Arial"/>
          <w:sz w:val="22"/>
          <w:szCs w:val="22"/>
          <w:color w:val="auto"/>
        </w:rPr>
        <w:t>is defined in the recitals to this Agreement.</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“Project Documents” </w:t>
      </w:r>
      <w:r>
        <w:rPr>
          <w:rFonts w:ascii="Arial" w:cs="Arial" w:eastAsia="Arial" w:hAnsi="Arial"/>
          <w:sz w:val="22"/>
          <w:szCs w:val="22"/>
          <w:color w:val="auto"/>
        </w:rPr>
        <w:t>means collectively, with respect to each Fund Company, all Fund Documents and all other</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Contracts with respect to such Fund Company to which the Company or any Subject Company is a party or by which it or its Assets are bound.</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“PUHCA” </w:t>
      </w:r>
      <w:r>
        <w:rPr>
          <w:rFonts w:ascii="Arial" w:cs="Arial" w:eastAsia="Arial" w:hAnsi="Arial"/>
          <w:sz w:val="22"/>
          <w:szCs w:val="22"/>
          <w:color w:val="auto"/>
        </w:rPr>
        <w:t>means the Public Utility Holding Company Act of 2005, 42 U.S.C. §§ 16451</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et seq.</w:t>
      </w:r>
      <w:r>
        <w:rPr>
          <w:rFonts w:ascii="Arial" w:cs="Arial" w:eastAsia="Arial" w:hAnsi="Arial"/>
          <w:sz w:val="22"/>
          <w:szCs w:val="22"/>
          <w:b w:val="1"/>
          <w:bCs w:val="1"/>
          <w:color w:val="auto"/>
        </w:rPr>
        <w:t xml:space="preserve"> </w:t>
      </w:r>
      <w:r>
        <w:rPr>
          <w:rFonts w:ascii="Arial" w:cs="Arial" w:eastAsia="Arial" w:hAnsi="Arial"/>
          <w:sz w:val="22"/>
          <w:szCs w:val="22"/>
          <w:color w:val="auto"/>
        </w:rPr>
        <w:t>(2013)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regulations of the FERC thereunder at 18 C.F.R. §§ 366.1,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(2013).</w:t>
      </w:r>
    </w:p>
    <w:p>
      <w:pPr>
        <w:spacing w:after="0" w:line="16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b w:val="1"/>
          <w:bCs w:val="1"/>
          <w:color w:val="auto"/>
        </w:rPr>
        <w:t xml:space="preserve">“Qualified Transferee” </w:t>
      </w:r>
      <w:r>
        <w:rPr>
          <w:rFonts w:ascii="Arial" w:cs="Arial" w:eastAsia="Arial" w:hAnsi="Arial"/>
          <w:sz w:val="19"/>
          <w:szCs w:val="19"/>
          <w:color w:val="auto"/>
        </w:rPr>
        <w:t>means a nationally recognized Person (or a direct or indirect subsidiary of a Person): (a)</w:t>
      </w:r>
      <w:r>
        <w:rPr>
          <w:rFonts w:ascii="Arial" w:cs="Arial" w:eastAsia="Arial" w:hAnsi="Arial"/>
          <w:sz w:val="19"/>
          <w:szCs w:val="19"/>
          <w:b w:val="1"/>
          <w:bCs w:val="1"/>
          <w:color w:val="auto"/>
        </w:rPr>
        <w:t xml:space="preserve"> </w:t>
      </w:r>
      <w:r>
        <w:rPr>
          <w:rFonts w:ascii="Arial" w:cs="Arial" w:eastAsia="Arial" w:hAnsi="Arial"/>
          <w:sz w:val="19"/>
          <w:szCs w:val="19"/>
          <w:color w:val="auto"/>
        </w:rPr>
        <w:t>that, with respect to an Encumbrance on a Class B Unit, (i) owns and manages or operates (before giving effect to any Transfer hereunder) not less than 100 MWs of solar projects in the United States, and such Person (or such Person’s direct or indirect Parent) must have done so for a period of at least three (3) years prior to the Transfer or (ii) engages a Person (at its own cost and expense) meeting the qualifications of clause (i) above to act as a non-member manager hereunder, and (b) that (i) has a credit rating of “BBB” or higher by S&amp;P and “Baa2” or higher by Moody’s, or (ii) has a direct or indirect parent with a credit rating of “BBB” or higher by S&amp;P and “Baa2” or higher by Moody’s, and such parent provides a guaranty in favor of the Members not party to such Encumbrance, in form and substance reasonably acceptable to such Members.</w:t>
      </w:r>
    </w:p>
    <w:p>
      <w:pPr>
        <w:spacing w:after="0" w:line="15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“Qualifying Facility” </w:t>
      </w:r>
      <w:r>
        <w:rPr>
          <w:rFonts w:ascii="Arial" w:cs="Arial" w:eastAsia="Arial" w:hAnsi="Arial"/>
          <w:sz w:val="22"/>
          <w:szCs w:val="22"/>
          <w:color w:val="auto"/>
        </w:rPr>
        <w:t>means a “qualifying small power production facility” as defined in PURPA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implementing regulations of the FERC thereunder.</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“Recapture Event” </w:t>
      </w:r>
      <w:r>
        <w:rPr>
          <w:rFonts w:ascii="Arial" w:cs="Arial" w:eastAsia="Arial" w:hAnsi="Arial"/>
          <w:sz w:val="22"/>
          <w:szCs w:val="22"/>
          <w:color w:val="auto"/>
        </w:rPr>
        <w:t>means an event within the meaning of Section 50 of the Code and the Treasury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thereunder that results in a reduction, denial or recapture of the ITC, or a portion thereof, by any Governmental Authority, at either the Company level or from any individual Member.</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“Recapture Period” </w:t>
      </w:r>
      <w:r>
        <w:rPr>
          <w:rFonts w:ascii="Arial" w:cs="Arial" w:eastAsia="Arial" w:hAnsi="Arial"/>
          <w:sz w:val="22"/>
          <w:szCs w:val="22"/>
          <w:color w:val="auto"/>
        </w:rPr>
        <w:t>means the period from the date that the first Project is Placed in Service until the date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five (5) years from the date that the last Project is Placed in Service.</w:t>
      </w:r>
    </w:p>
    <w:p>
      <w:pPr>
        <w:spacing w:after="0" w:line="162"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b w:val="1"/>
          <w:bCs w:val="1"/>
          <w:color w:val="auto"/>
        </w:rPr>
        <w:t xml:space="preserve">“RECs” </w:t>
      </w:r>
      <w:r>
        <w:rPr>
          <w:rFonts w:ascii="Arial" w:cs="Arial" w:eastAsia="Arial" w:hAnsi="Arial"/>
          <w:sz w:val="19"/>
          <w:szCs w:val="19"/>
          <w:color w:val="auto"/>
        </w:rPr>
        <w:t>means any credits, credit certificates, green tags or similar environmental or green energy attributes (such</w:t>
      </w:r>
      <w:r>
        <w:rPr>
          <w:rFonts w:ascii="Arial" w:cs="Arial" w:eastAsia="Arial" w:hAnsi="Arial"/>
          <w:sz w:val="19"/>
          <w:szCs w:val="19"/>
          <w:b w:val="1"/>
          <w:bCs w:val="1"/>
          <w:color w:val="auto"/>
        </w:rPr>
        <w:t xml:space="preserve"> </w:t>
      </w:r>
      <w:r>
        <w:rPr>
          <w:rFonts w:ascii="Arial" w:cs="Arial" w:eastAsia="Arial" w:hAnsi="Arial"/>
          <w:sz w:val="19"/>
          <w:szCs w:val="19"/>
          <w:color w:val="auto"/>
        </w:rPr>
        <w:t>as those for greenhouse reduction or the generation of green power or renewable energy) created by a Governmental Authority or independent certification board or group generally recognized in the electric power generation industry, and generated by or associated with a Project or electricity produced therefrom, but excluding ITCs or any other tax benefits.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04" w:right="239" w:bottom="1440" w:gutter="0" w:footer="0" w:header="0"/>
        </w:sectPr>
      </w:pPr>
    </w:p>
    <w:bookmarkStart w:id="232" w:name="page233"/>
    <w:bookmarkEnd w:id="232"/>
    <w:p>
      <w:pPr>
        <w:jc w:val="both"/>
        <w:ind w:right="20" w:firstLine="1297"/>
        <w:spacing w:after="0" w:line="350" w:lineRule="auto"/>
        <w:rPr>
          <w:sz w:val="20"/>
          <w:szCs w:val="20"/>
          <w:color w:val="auto"/>
        </w:rPr>
      </w:pPr>
      <w:r>
        <w:rPr>
          <w:rFonts w:ascii="Arial" w:cs="Arial" w:eastAsia="Arial" w:hAnsi="Arial"/>
          <w:sz w:val="19"/>
          <w:szCs w:val="19"/>
          <w:b w:val="1"/>
          <w:bCs w:val="1"/>
          <w:color w:val="auto"/>
        </w:rPr>
        <w:t xml:space="preserve">“Reference Rate” </w:t>
      </w:r>
      <w:r>
        <w:rPr>
          <w:rFonts w:ascii="Arial" w:cs="Arial" w:eastAsia="Arial" w:hAnsi="Arial"/>
          <w:sz w:val="19"/>
          <w:szCs w:val="19"/>
          <w:color w:val="auto"/>
        </w:rPr>
        <w:t>means the rate of interest published in The Wall Street Journal as the prime lending rate or</w:t>
      </w:r>
      <w:r>
        <w:rPr>
          <w:rFonts w:ascii="Arial" w:cs="Arial" w:eastAsia="Arial" w:hAnsi="Arial"/>
          <w:sz w:val="19"/>
          <w:szCs w:val="19"/>
          <w:b w:val="1"/>
          <w:bCs w:val="1"/>
          <w:color w:val="auto"/>
        </w:rPr>
        <w:t xml:space="preserve"> </w:t>
      </w:r>
      <w:r>
        <w:rPr>
          <w:rFonts w:ascii="Arial" w:cs="Arial" w:eastAsia="Arial" w:hAnsi="Arial"/>
          <w:sz w:val="19"/>
          <w:szCs w:val="19"/>
          <w:color w:val="auto"/>
        </w:rPr>
        <w:t>“prime rate”, with adjustments in that varying rate to be made on the same date as any change in that rate is so published.</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“Register”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2.8</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“Regulatory Allocations”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4.3(i)</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“Rejected Acquisition”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6.3(b)</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b w:val="1"/>
          <w:bCs w:val="1"/>
          <w:color w:val="auto"/>
        </w:rPr>
        <w:t xml:space="preserve">“Related Party(ies)” </w:t>
      </w:r>
      <w:r>
        <w:rPr>
          <w:rFonts w:ascii="Arial" w:cs="Arial" w:eastAsia="Arial" w:hAnsi="Arial"/>
          <w:sz w:val="22"/>
          <w:szCs w:val="22"/>
          <w:color w:val="auto"/>
        </w:rPr>
        <w:t>means at any time during the Recapture Period, any Person who is considered for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income tax purposes to be purchasing electricity generated by the applicable Project and who is related to the Company or the applicable Fund Company within the meaning of Section 267(b) or Section 707(b) of the Code or any successor provision, but excluding any Person that so purchases electricity generated by such Project to the extent such Person resells the electricity to another Person who is not related to the Company or the applicable Fund Company within the meaning of Section 267(b) or Section 707(b) of the Code or any successor provision.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“Replacement Service Contract”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“Replacement Service Provider”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“Representatives”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7.7(a)</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means Company Revenue, as more fully described and projected in the Fund Credit Profile for each</w:t>
      </w:r>
      <w:r>
        <w:rPr>
          <w:rFonts w:ascii="Arial" w:cs="Arial" w:eastAsia="Arial" w:hAnsi="Arial"/>
          <w:sz w:val="22"/>
          <w:szCs w:val="22"/>
          <w:b w:val="1"/>
          <w:bCs w:val="1"/>
          <w:color w:val="auto"/>
        </w:rPr>
        <w:t xml:space="preserve"> </w:t>
      </w:r>
      <w:r>
        <w:rPr>
          <w:rFonts w:ascii="Arial" w:cs="Arial" w:eastAsia="Arial" w:hAnsi="Arial"/>
          <w:sz w:val="22"/>
          <w:szCs w:val="22"/>
          <w:color w:val="auto"/>
        </w:rPr>
        <w:t>Fund Company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“Review Period”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“S&amp;P” </w:t>
      </w:r>
      <w:r>
        <w:rPr>
          <w:rFonts w:ascii="Arial" w:cs="Arial" w:eastAsia="Arial" w:hAnsi="Arial"/>
          <w:sz w:val="21"/>
          <w:szCs w:val="21"/>
          <w:color w:val="auto"/>
        </w:rPr>
        <w:t>means Standard &amp; Poor’s Ratings Group, a division of McGraw Hill, Inc., or any successor entity.</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“Sanctioned Country” </w:t>
      </w:r>
      <w:r>
        <w:rPr>
          <w:rFonts w:ascii="Arial" w:cs="Arial" w:eastAsia="Arial" w:hAnsi="Arial"/>
          <w:sz w:val="21"/>
          <w:szCs w:val="21"/>
          <w:color w:val="auto"/>
        </w:rPr>
        <w:t>means, at any time, a country or territory which is itself the subject or target of any</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Sanctions.</w:t>
      </w:r>
    </w:p>
    <w:p>
      <w:pPr>
        <w:spacing w:after="0" w:line="196" w:lineRule="exact"/>
        <w:rPr>
          <w:sz w:val="20"/>
          <w:szCs w:val="20"/>
          <w:color w:val="auto"/>
        </w:rPr>
      </w:pPr>
    </w:p>
    <w:p>
      <w:pPr>
        <w:jc w:val="both"/>
        <w:ind w:firstLine="1297"/>
        <w:spacing w:after="0" w:line="263" w:lineRule="exact"/>
        <w:rPr>
          <w:sz w:val="20"/>
          <w:szCs w:val="20"/>
          <w:color w:val="auto"/>
        </w:rPr>
      </w:pPr>
      <w:r>
        <w:rPr>
          <w:rFonts w:ascii="Arial" w:cs="Arial" w:eastAsia="Arial" w:hAnsi="Arial"/>
          <w:sz w:val="19"/>
          <w:szCs w:val="19"/>
          <w:b w:val="1"/>
          <w:bCs w:val="1"/>
          <w:color w:val="auto"/>
        </w:rPr>
        <w:t xml:space="preserve">“Sanctioned Person” </w:t>
      </w:r>
      <w:r>
        <w:rPr>
          <w:rFonts w:ascii="Arial" w:cs="Arial" w:eastAsia="Arial" w:hAnsi="Arial"/>
          <w:sz w:val="19"/>
          <w:szCs w:val="19"/>
          <w:color w:val="auto"/>
        </w:rPr>
        <w:t>means, at any time, (a) any Person listed in any Sanctions</w:t>
      </w:r>
      <w:r>
        <w:rPr>
          <w:rFonts w:ascii="MS PGothic" w:cs="MS PGothic" w:eastAsia="MS PGothic" w:hAnsi="MS PGothic"/>
          <w:sz w:val="19"/>
          <w:szCs w:val="19"/>
          <w:color w:val="auto"/>
        </w:rPr>
        <w:t>‑</w:t>
      </w:r>
      <w:r>
        <w:rPr>
          <w:rFonts w:ascii="Arial" w:cs="Arial" w:eastAsia="Arial" w:hAnsi="Arial"/>
          <w:sz w:val="19"/>
          <w:szCs w:val="19"/>
          <w:color w:val="auto"/>
        </w:rPr>
        <w:t>related list of designated Persons</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maintained by the Office of Foreign Assets Control of the U.S. Department of the Treasury, the U.S. Department of State, the United Nations Security Council, the European Union or any European Union member state, (b) any Person operating, organized or resident in a Sanctioned Country or (c) any Person owned or controlled by any such Person or Persons.</w:t>
      </w:r>
    </w:p>
    <w:p>
      <w:pPr>
        <w:spacing w:after="0" w:line="194"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b w:val="1"/>
          <w:bCs w:val="1"/>
          <w:color w:val="auto"/>
        </w:rPr>
        <w:t xml:space="preserve">“Sanctions” </w:t>
      </w:r>
      <w:r>
        <w:rPr>
          <w:rFonts w:ascii="Arial" w:cs="Arial" w:eastAsia="Arial" w:hAnsi="Arial"/>
          <w:sz w:val="19"/>
          <w:szCs w:val="19"/>
          <w:color w:val="auto"/>
        </w:rPr>
        <w:t>mean (a) all U.S. and applicable international economic and trade sanctions and embargoes,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any sanctions or regulations administered and enforced by the U.S. Department of State, the U.S. Department of the Treasury (including the Office of Foreign Assets Control) and any executive orders, rules and regulations relating thereto, (b) all applicable Laws concerning exportation, including rules and regulations administered by the U.S. Department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98" w:right="239" w:bottom="1440" w:gutter="0" w:footer="0" w:header="0"/>
        </w:sectPr>
      </w:pPr>
    </w:p>
    <w:bookmarkStart w:id="233" w:name="page234"/>
    <w:bookmarkEnd w:id="233"/>
    <w:p>
      <w:pPr>
        <w:jc w:val="both"/>
        <w:spacing w:after="0" w:line="263" w:lineRule="auto"/>
        <w:rPr>
          <w:sz w:val="20"/>
          <w:szCs w:val="20"/>
          <w:color w:val="auto"/>
        </w:rPr>
      </w:pPr>
      <w:r>
        <w:rPr>
          <w:rFonts w:ascii="Arial" w:cs="Arial" w:eastAsia="Arial" w:hAnsi="Arial"/>
          <w:sz w:val="22"/>
          <w:szCs w:val="22"/>
          <w:color w:val="auto"/>
        </w:rPr>
        <w:t>of Commerce, the U.S. Department of State or the Bureau of Customs and Border Protection of the U.S. Department of Homeland Security, and (c) any anti-boycott Laws, including any executive orders, rules and regulations.</w:t>
      </w:r>
    </w:p>
    <w:p>
      <w:pPr>
        <w:spacing w:after="0" w:line="169"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9"/>
          <w:szCs w:val="19"/>
          <w:b w:val="1"/>
          <w:bCs w:val="1"/>
          <w:color w:val="auto"/>
        </w:rPr>
        <w:t xml:space="preserve">“Securities” </w:t>
      </w:r>
      <w:r>
        <w:rPr>
          <w:rFonts w:ascii="Arial" w:cs="Arial" w:eastAsia="Arial" w:hAnsi="Arial"/>
          <w:sz w:val="19"/>
          <w:szCs w:val="19"/>
          <w:color w:val="auto"/>
        </w:rPr>
        <w:t>means, with respect to any Person, such Person’s capital stock or limited liability company interests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options, warrants or other securities which are directly or indirectly convertible into, or exercisable or exchangeable for, such Person’s capital stock or limited liability company interests, whether or not such derivative securities are issued by such Person, and any reference herein to </w:t>
      </w:r>
      <w:r>
        <w:rPr>
          <w:rFonts w:ascii="Arial" w:cs="Arial" w:eastAsia="Arial" w:hAnsi="Arial"/>
          <w:sz w:val="19"/>
          <w:szCs w:val="19"/>
          <w:b w:val="1"/>
          <w:bCs w:val="1"/>
          <w:color w:val="auto"/>
        </w:rPr>
        <w:t>“Securities”</w:t>
      </w:r>
      <w:r>
        <w:rPr>
          <w:rFonts w:ascii="Arial" w:cs="Arial" w:eastAsia="Arial" w:hAnsi="Arial"/>
          <w:sz w:val="19"/>
          <w:szCs w:val="19"/>
          <w:color w:val="auto"/>
        </w:rPr>
        <w:t xml:space="preserve"> refers also to any such derivative securities and all underlying securities directly or indirectly issuable upon conversion, exchange or exercise of such derivative securities.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Securities Act of 1933 or any successor statute, as amended from time to time.</w:t>
      </w:r>
    </w:p>
    <w:p>
      <w:pPr>
        <w:spacing w:after="0" w:line="23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“Sub-Investment Grade” </w:t>
      </w:r>
      <w:r>
        <w:rPr>
          <w:rFonts w:ascii="Arial" w:cs="Arial" w:eastAsia="Arial" w:hAnsi="Arial"/>
          <w:sz w:val="22"/>
          <w:szCs w:val="22"/>
          <w:color w:val="auto"/>
        </w:rPr>
        <w:t>means a credit rating that is not Investment Grade, Alternative Investment Grade 1 or</w:t>
      </w:r>
      <w:r>
        <w:rPr>
          <w:rFonts w:ascii="Arial" w:cs="Arial" w:eastAsia="Arial" w:hAnsi="Arial"/>
          <w:sz w:val="22"/>
          <w:szCs w:val="22"/>
          <w:b w:val="1"/>
          <w:bCs w:val="1"/>
          <w:color w:val="auto"/>
        </w:rPr>
        <w:t xml:space="preserve"> </w:t>
      </w:r>
      <w:r>
        <w:rPr>
          <w:rFonts w:ascii="Arial" w:cs="Arial" w:eastAsia="Arial" w:hAnsi="Arial"/>
          <w:sz w:val="22"/>
          <w:szCs w:val="22"/>
          <w:color w:val="auto"/>
        </w:rPr>
        <w:t>Alternative Investment Grade 2.</w:t>
      </w:r>
    </w:p>
    <w:p>
      <w:pPr>
        <w:spacing w:after="0" w:line="162"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“Subject Companies” </w:t>
      </w:r>
      <w:r>
        <w:rPr>
          <w:rFonts w:ascii="Arial" w:cs="Arial" w:eastAsia="Arial" w:hAnsi="Arial"/>
          <w:sz w:val="22"/>
          <w:szCs w:val="22"/>
          <w:color w:val="auto"/>
        </w:rPr>
        <w:t>means, collectively, the Fund Companies and the Intermediate Companies (and each Fund</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each Intermediate Company individually, a “</w:t>
      </w:r>
      <w:r>
        <w:rPr>
          <w:rFonts w:ascii="Arial" w:cs="Arial" w:eastAsia="Arial" w:hAnsi="Arial"/>
          <w:sz w:val="22"/>
          <w:szCs w:val="22"/>
          <w:b w:val="1"/>
          <w:bCs w:val="1"/>
          <w:color w:val="auto"/>
        </w:rPr>
        <w:t>Subject Company</w:t>
      </w:r>
      <w:r>
        <w:rPr>
          <w:rFonts w:ascii="Arial" w:cs="Arial" w:eastAsia="Arial" w:hAnsi="Arial"/>
          <w:sz w:val="22"/>
          <w:szCs w:val="22"/>
          <w:color w:val="auto"/>
        </w:rPr>
        <w:t>”).</w:t>
      </w:r>
    </w:p>
    <w:p>
      <w:pPr>
        <w:spacing w:after="0" w:line="162"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9"/>
          <w:szCs w:val="19"/>
          <w:b w:val="1"/>
          <w:bCs w:val="1"/>
          <w:color w:val="auto"/>
        </w:rPr>
        <w:t xml:space="preserve">“Subject Company Material Adverse Effect” </w:t>
      </w:r>
      <w:r>
        <w:rPr>
          <w:rFonts w:ascii="Arial" w:cs="Arial" w:eastAsia="Arial" w:hAnsi="Arial"/>
          <w:sz w:val="19"/>
          <w:szCs w:val="19"/>
          <w:color w:val="auto"/>
        </w:rPr>
        <w:t>means any act, event, condition or circumstance that, individually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aggregate, is, or could reasonably be expected to be, materially adverse to the business, earnings, Assets, liabilities (contingent or otherwise), results of operations, prospects, condition (financial or otherwise) or properties of any Subject Company, or on the ability of any such Subject Company to timely perform any of its respective obligations under any Fund Document to which it is a party or the legality, validity, binding effect or enforceability of any such Fund Document.</w:t>
      </w:r>
    </w:p>
    <w:p>
      <w:pPr>
        <w:spacing w:after="0" w:line="143"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“Target IRR” </w:t>
      </w:r>
      <w:r>
        <w:rPr>
          <w:rFonts w:ascii="Arial" w:cs="Arial" w:eastAsia="Arial" w:hAnsi="Arial"/>
          <w:sz w:val="22"/>
          <w:szCs w:val="22"/>
          <w:color w:val="auto"/>
        </w:rPr>
        <w:t>means (a) with respect to Contracted Revenue and an Unleveraged Fund Company an After-Tax IRR</w:t>
      </w:r>
      <w:r>
        <w:rPr>
          <w:rFonts w:ascii="Arial" w:cs="Arial" w:eastAsia="Arial" w:hAnsi="Arial"/>
          <w:sz w:val="22"/>
          <w:szCs w:val="22"/>
          <w:b w:val="1"/>
          <w:bCs w:val="1"/>
          <w:color w:val="auto"/>
        </w:rPr>
        <w:t xml:space="preserve"> </w:t>
      </w:r>
      <w:r>
        <w:rPr>
          <w:rFonts w:ascii="Arial" w:cs="Arial" w:eastAsia="Arial" w:hAnsi="Arial"/>
          <w:sz w:val="22"/>
          <w:szCs w:val="22"/>
          <w:color w:val="auto"/>
        </w:rPr>
        <w:t>of [***]; (b) with respect to Contracted Revenue and a Backleveraged Fund Company an After-Tax IRR of [***]; (c) with respect to Uncontracted Revenue and an Unleveraged Fund Company an After-Tax IRR of [***] and (d) with respect to Uncontracted Revenue and a Backleveraged Fund Company an After-Tax IRR of [***].</w:t>
      </w:r>
    </w:p>
    <w:p>
      <w:pPr>
        <w:spacing w:after="0" w:line="18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“Tax” </w:t>
      </w:r>
      <w:r>
        <w:rPr>
          <w:rFonts w:ascii="Arial" w:cs="Arial" w:eastAsia="Arial" w:hAnsi="Arial"/>
          <w:sz w:val="22"/>
          <w:szCs w:val="22"/>
          <w:color w:val="auto"/>
        </w:rPr>
        <w:t>or</w:t>
      </w:r>
      <w:r>
        <w:rPr>
          <w:rFonts w:ascii="Arial" w:cs="Arial" w:eastAsia="Arial" w:hAnsi="Arial"/>
          <w:sz w:val="22"/>
          <w:szCs w:val="22"/>
          <w:b w:val="1"/>
          <w:bCs w:val="1"/>
          <w:color w:val="auto"/>
        </w:rPr>
        <w:t xml:space="preserve"> “Taxes” </w:t>
      </w:r>
      <w:r>
        <w:rPr>
          <w:rFonts w:ascii="Arial" w:cs="Arial" w:eastAsia="Arial" w:hAnsi="Arial"/>
          <w:sz w:val="22"/>
          <w:szCs w:val="22"/>
          <w:color w:val="auto"/>
        </w:rPr>
        <w:t>means all taxes, charges, fees, levies, penalties or other assessments imposed by any federal, state</w:t>
      </w:r>
      <w:r>
        <w:rPr>
          <w:rFonts w:ascii="Arial" w:cs="Arial" w:eastAsia="Arial" w:hAnsi="Arial"/>
          <w:sz w:val="22"/>
          <w:szCs w:val="22"/>
          <w:b w:val="1"/>
          <w:bCs w:val="1"/>
          <w:color w:val="auto"/>
        </w:rPr>
        <w:t xml:space="preserve"> </w:t>
      </w:r>
      <w:r>
        <w:rPr>
          <w:rFonts w:ascii="Arial" w:cs="Arial" w:eastAsia="Arial" w:hAnsi="Arial"/>
          <w:sz w:val="22"/>
          <w:szCs w:val="22"/>
          <w:color w:val="auto"/>
        </w:rPr>
        <w:t>or local or foreign taxing authority, including, but not limited to, income, excise, ad valorem, real or personal property, sales, transfer, franchise, payroll, withholding, social security, gross receipts, license, stamp, occupation, employment or other taxes, including any interest, penalties or additions attributable thereto.</w:t>
      </w:r>
    </w:p>
    <w:p>
      <w:pPr>
        <w:spacing w:after="0" w:line="18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“Tax Assumptions” </w:t>
      </w:r>
      <w:r>
        <w:rPr>
          <w:rFonts w:ascii="Arial" w:cs="Arial" w:eastAsia="Arial" w:hAnsi="Arial"/>
          <w:sz w:val="22"/>
          <w:szCs w:val="22"/>
          <w:color w:val="auto"/>
        </w:rPr>
        <w:t>means for each Fund Company or Intermediate Company the applicable tax methods,</w:t>
      </w:r>
      <w:r>
        <w:rPr>
          <w:rFonts w:ascii="Arial" w:cs="Arial" w:eastAsia="Arial" w:hAnsi="Arial"/>
          <w:sz w:val="22"/>
          <w:szCs w:val="22"/>
          <w:b w:val="1"/>
          <w:bCs w:val="1"/>
          <w:color w:val="auto"/>
        </w:rPr>
        <w:t xml:space="preserve"> </w:t>
      </w:r>
      <w:r>
        <w:rPr>
          <w:rFonts w:ascii="Arial" w:cs="Arial" w:eastAsia="Arial" w:hAnsi="Arial"/>
          <w:sz w:val="22"/>
          <w:szCs w:val="22"/>
          <w:color w:val="auto"/>
        </w:rPr>
        <w:t>conventions and assumptions that will be used by the Company to calculate the Tax Costs and Tax Benefits accruing to each Class A Member at any point in time as specified in the Fund Addendum.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04" w:right="239" w:bottom="1440" w:gutter="0" w:footer="0" w:header="0"/>
        </w:sectPr>
      </w:pPr>
    </w:p>
    <w:bookmarkStart w:id="234" w:name="page235"/>
    <w:bookmarkEnd w:id="234"/>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“Tax Benefits” </w:t>
      </w:r>
      <w:r>
        <w:rPr>
          <w:rFonts w:ascii="Arial" w:cs="Arial" w:eastAsia="Arial" w:hAnsi="Arial"/>
          <w:sz w:val="22"/>
          <w:szCs w:val="22"/>
          <w:color w:val="auto"/>
        </w:rPr>
        <w:t>means, with respect to a Class A Unit, the periodic federal income tax savings resulting from (a) the</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distributive share of ITCs allocated by the Company to the Holder of such Class A Unit, and (b) the distributive share of tax losses and deductions allocated by the Company to the Holder of such Class A Unit, in each case, as such determination may be supplemented or modified by the applicable Fund Addendum.</w:t>
      </w:r>
    </w:p>
    <w:p>
      <w:pPr>
        <w:spacing w:after="0" w:line="18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b w:val="1"/>
          <w:bCs w:val="1"/>
          <w:color w:val="auto"/>
        </w:rPr>
        <w:t xml:space="preserve">“Tax Costs” </w:t>
      </w:r>
      <w:r>
        <w:rPr>
          <w:rFonts w:ascii="Arial" w:cs="Arial" w:eastAsia="Arial" w:hAnsi="Arial"/>
          <w:sz w:val="22"/>
          <w:szCs w:val="22"/>
          <w:color w:val="auto"/>
        </w:rPr>
        <w:t>means, with respect to a Class A Unit, the periodic federal income tax liability (after taking into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account any suspended losses of the Class A Members under Section 704(d)) resulting from (a) the distributive share of taxable income and gain allocated by the Company to the Holder of such Class A Unit (including expected chargebacks of Company Minimum Gain pursuant to </w:t>
      </w:r>
      <w:r>
        <w:rPr>
          <w:rFonts w:ascii="Arial" w:cs="Arial" w:eastAsia="Arial" w:hAnsi="Arial"/>
          <w:sz w:val="22"/>
          <w:szCs w:val="22"/>
          <w:u w:val="single" w:color="auto"/>
          <w:color w:val="auto"/>
        </w:rPr>
        <w:t>Section 4.3(a),</w:t>
      </w:r>
      <w:r>
        <w:rPr>
          <w:rFonts w:ascii="Arial" w:cs="Arial" w:eastAsia="Arial" w:hAnsi="Arial"/>
          <w:sz w:val="22"/>
          <w:szCs w:val="22"/>
          <w:color w:val="auto"/>
        </w:rPr>
        <w:t xml:space="preserve"> expected chargebacks of Member Nonrecourse Debt Minimum Gain pursuant to </w:t>
      </w:r>
      <w:r>
        <w:rPr>
          <w:rFonts w:ascii="Arial" w:cs="Arial" w:eastAsia="Arial" w:hAnsi="Arial"/>
          <w:sz w:val="22"/>
          <w:szCs w:val="22"/>
          <w:u w:val="single" w:color="auto"/>
          <w:color w:val="auto"/>
        </w:rPr>
        <w:t>Section 4.3(b)</w:t>
      </w:r>
      <w:r>
        <w:rPr>
          <w:rFonts w:ascii="Arial" w:cs="Arial" w:eastAsia="Arial" w:hAnsi="Arial"/>
          <w:sz w:val="22"/>
          <w:szCs w:val="22"/>
          <w:color w:val="auto"/>
        </w:rPr>
        <w:t>, and expected allocations of Items of income pursuant to the first sentence of Section 12.2(a)(iv)), and (b) any gain recognized by such Holder under Sections 731(a) of the Code from Cash Distributions, as such determination may be supplemented or modified by the applicable Fund Addendum.</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“Tax Information”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7.7(b)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“Tax Matters Member”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8.7(a)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“Tax Payment Dates” </w:t>
      </w:r>
      <w:r>
        <w:rPr>
          <w:rFonts w:ascii="Arial" w:cs="Arial" w:eastAsia="Arial" w:hAnsi="Arial"/>
          <w:sz w:val="22"/>
          <w:szCs w:val="22"/>
          <w:color w:val="auto"/>
        </w:rPr>
        <w:t>means April 30, June 30, September 30, and December 31.</w:t>
      </w:r>
    </w:p>
    <w:p>
      <w:pPr>
        <w:spacing w:after="0" w:line="220" w:lineRule="exact"/>
        <w:rPr>
          <w:sz w:val="20"/>
          <w:szCs w:val="20"/>
          <w:color w:val="auto"/>
        </w:rPr>
      </w:pPr>
    </w:p>
    <w:p>
      <w:pPr>
        <w:jc w:val="both"/>
        <w:ind w:firstLine="1297"/>
        <w:spacing w:after="0" w:line="268" w:lineRule="exact"/>
        <w:rPr>
          <w:sz w:val="20"/>
          <w:szCs w:val="20"/>
          <w:color w:val="auto"/>
        </w:rPr>
      </w:pPr>
      <w:r>
        <w:rPr>
          <w:rFonts w:ascii="Arial" w:cs="Arial" w:eastAsia="Arial" w:hAnsi="Arial"/>
          <w:sz w:val="22"/>
          <w:szCs w:val="22"/>
          <w:b w:val="1"/>
          <w:bCs w:val="1"/>
          <w:color w:val="auto"/>
        </w:rPr>
        <w:t xml:space="preserve">“Tax Return” </w:t>
      </w:r>
      <w:r>
        <w:rPr>
          <w:rFonts w:ascii="Arial" w:cs="Arial" w:eastAsia="Arial" w:hAnsi="Arial"/>
          <w:sz w:val="22"/>
          <w:szCs w:val="22"/>
          <w:color w:val="auto"/>
        </w:rPr>
        <w:t>means the Company’s federal income tax return for each Taxable Year, including Schedule K</w:t>
      </w:r>
      <w:r>
        <w:rPr>
          <w:rFonts w:ascii="MS PGothic" w:cs="MS PGothic" w:eastAsia="MS PGothic" w:hAnsi="MS PGothic"/>
          <w:sz w:val="22"/>
          <w:szCs w:val="22"/>
          <w:color w:val="auto"/>
        </w:rPr>
        <w:t>‑</w:t>
      </w:r>
      <w:r>
        <w:rPr>
          <w:rFonts w:ascii="Arial" w:cs="Arial" w:eastAsia="Arial" w:hAnsi="Arial"/>
          <w:sz w:val="22"/>
          <w:szCs w:val="22"/>
          <w:color w:val="auto"/>
        </w:rPr>
        <w:t>1s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Tax Return</w:t>
      </w:r>
      <w:r>
        <w:rPr>
          <w:rFonts w:ascii="Arial" w:cs="Arial" w:eastAsia="Arial" w:hAnsi="Arial"/>
          <w:sz w:val="22"/>
          <w:szCs w:val="22"/>
          <w:color w:val="auto"/>
        </w:rPr>
        <w:t>”).</w:t>
      </w:r>
    </w:p>
    <w:p>
      <w:pPr>
        <w:spacing w:after="0" w:line="194"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“Taxable Year” </w:t>
      </w:r>
      <w:r>
        <w:rPr>
          <w:rFonts w:ascii="Arial" w:cs="Arial" w:eastAsia="Arial" w:hAnsi="Arial"/>
          <w:sz w:val="22"/>
          <w:szCs w:val="22"/>
          <w:color w:val="auto"/>
        </w:rPr>
        <w:t>means the taxable year of the Company for federal income tax purposes, which shall be (a)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period commencing on the Effective Date and ending on the immediately succeeding December 31, (b) any subsequent calendar year or (c) any portion of the period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for which the Company is required to allocate Company Items pursuant to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12.2(a)(iv)</w:t>
      </w:r>
      <w:r>
        <w:rPr>
          <w:rFonts w:ascii="Arial" w:cs="Arial" w:eastAsia="Arial" w:hAnsi="Arial"/>
          <w:sz w:val="22"/>
          <w:szCs w:val="22"/>
          <w:color w:val="auto"/>
        </w:rPr>
        <w:t>.</w:t>
      </w:r>
    </w:p>
    <w:p>
      <w:pPr>
        <w:spacing w:after="0" w:line="18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“Taxing Authority” </w:t>
      </w:r>
      <w:r>
        <w:rPr>
          <w:rFonts w:ascii="Arial" w:cs="Arial" w:eastAsia="Arial" w:hAnsi="Arial"/>
          <w:sz w:val="22"/>
          <w:szCs w:val="22"/>
          <w:color w:val="auto"/>
        </w:rPr>
        <w:t>means, with respect to a particular Tax, the agency or department of any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responsible for the administration and collection of such Tax.</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“TEFRA” </w:t>
      </w:r>
      <w:r>
        <w:rPr>
          <w:rFonts w:ascii="Arial" w:cs="Arial" w:eastAsia="Arial" w:hAnsi="Arial"/>
          <w:sz w:val="22"/>
          <w:szCs w:val="22"/>
          <w:color w:val="auto"/>
        </w:rPr>
        <w:t>means Tax Equity and Fiscal Responsibility Act of 1982 (Pub. L. 97-248).</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“Terminated Member”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9.7</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“Termination Fee Statement”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9.6(e)</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“Third Party” </w:t>
      </w:r>
      <w:r>
        <w:rPr>
          <w:rFonts w:ascii="Arial" w:cs="Arial" w:eastAsia="Arial" w:hAnsi="Arial"/>
          <w:sz w:val="22"/>
          <w:szCs w:val="22"/>
          <w:color w:val="auto"/>
        </w:rPr>
        <w:t>means a Person other than a Member or an Affiliate of a Member.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“Transaction” </w:t>
      </w:r>
      <w:r>
        <w:rPr>
          <w:rFonts w:ascii="Arial" w:cs="Arial" w:eastAsia="Arial" w:hAnsi="Arial"/>
          <w:sz w:val="22"/>
          <w:szCs w:val="22"/>
          <w:color w:val="auto"/>
        </w:rPr>
        <w:t>means the transactions contemplated and provided for in the Investment Documents.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598" w:right="239" w:bottom="1440" w:gutter="0" w:footer="0" w:header="0"/>
        </w:sectPr>
      </w:pPr>
    </w:p>
    <w:bookmarkStart w:id="235" w:name="page236"/>
    <w:bookmarkEnd w:id="235"/>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“Transfer” </w:t>
      </w:r>
      <w:r>
        <w:rPr>
          <w:rFonts w:ascii="Arial" w:cs="Arial" w:eastAsia="Arial" w:hAnsi="Arial"/>
          <w:sz w:val="22"/>
          <w:szCs w:val="22"/>
          <w:color w:val="auto"/>
        </w:rPr>
        <w:t>means the sale, transfer, assignment, conveyance, gift, exchange or other disposition of Class A Units or</w:t>
      </w:r>
      <w:r>
        <w:rPr>
          <w:rFonts w:ascii="Arial" w:cs="Arial" w:eastAsia="Arial" w:hAnsi="Arial"/>
          <w:sz w:val="22"/>
          <w:szCs w:val="22"/>
          <w:b w:val="1"/>
          <w:bCs w:val="1"/>
          <w:color w:val="auto"/>
        </w:rPr>
        <w:t xml:space="preserve"> </w:t>
      </w:r>
      <w:r>
        <w:rPr>
          <w:rFonts w:ascii="Arial" w:cs="Arial" w:eastAsia="Arial" w:hAnsi="Arial"/>
          <w:sz w:val="22"/>
          <w:szCs w:val="22"/>
          <w:color w:val="auto"/>
        </w:rPr>
        <w:t>Class B Units (and the Membership Interests represented thereby), whether directly by the Member or indirectly, excluding the creation of an Encumbrance, but including any such sale, transfer, assignment, conveyance, gift, exchange or other disposition in connection with, or in lieu of, the foreclosure of an Encumbrance.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“Transferee” </w:t>
      </w:r>
      <w:r>
        <w:rPr>
          <w:rFonts w:ascii="Arial" w:cs="Arial" w:eastAsia="Arial" w:hAnsi="Arial"/>
          <w:sz w:val="22"/>
          <w:szCs w:val="22"/>
          <w:color w:val="auto"/>
        </w:rPr>
        <w:t>means a Person to which a Transfer is or would be made.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“Transferring Member” </w:t>
      </w:r>
      <w:r>
        <w:rPr>
          <w:rFonts w:ascii="Arial" w:cs="Arial" w:eastAsia="Arial" w:hAnsi="Arial"/>
          <w:sz w:val="22"/>
          <w:szCs w:val="22"/>
          <w:color w:val="auto"/>
        </w:rPr>
        <w:t>means the Member effecting a Transfer.</w:t>
      </w:r>
    </w:p>
    <w:p>
      <w:pPr>
        <w:spacing w:after="0" w:line="220"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1"/>
          <w:szCs w:val="21"/>
          <w:b w:val="1"/>
          <w:bCs w:val="1"/>
          <w:color w:val="auto"/>
        </w:rPr>
        <w:t xml:space="preserve">“Treasury Regulations” </w:t>
      </w:r>
      <w:r>
        <w:rPr>
          <w:rFonts w:ascii="Arial" w:cs="Arial" w:eastAsia="Arial" w:hAnsi="Arial"/>
          <w:sz w:val="21"/>
          <w:szCs w:val="21"/>
          <w:color w:val="auto"/>
        </w:rPr>
        <w:t>means the regulations promulgated under the Code by the United States Department of</w:t>
      </w:r>
      <w:r>
        <w:rPr>
          <w:rFonts w:ascii="Arial" w:cs="Arial" w:eastAsia="Arial" w:hAnsi="Arial"/>
          <w:sz w:val="21"/>
          <w:szCs w:val="21"/>
          <w:b w:val="1"/>
          <w:bCs w:val="1"/>
          <w:color w:val="auto"/>
        </w:rPr>
        <w:t xml:space="preserve"> </w:t>
      </w:r>
      <w:r>
        <w:rPr>
          <w:rFonts w:ascii="Arial" w:cs="Arial" w:eastAsia="Arial" w:hAnsi="Arial"/>
          <w:sz w:val="21"/>
          <w:szCs w:val="21"/>
          <w:color w:val="auto"/>
        </w:rPr>
        <w:t>Treasury, as such regulations may be amended from time to time. All references herein to specific sections of the regulations shall be deemed also to refer to any corresponding provisions of succeeding regulations, and any reference to temporary regulations shall be deemed also to refer to any corresponding provisions of final regulations.</w:t>
      </w:r>
    </w:p>
    <w:p>
      <w:pPr>
        <w:spacing w:after="0" w:line="16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“UCC” </w:t>
      </w:r>
      <w:r>
        <w:rPr>
          <w:rFonts w:ascii="Arial" w:cs="Arial" w:eastAsia="Arial" w:hAnsi="Arial"/>
          <w:sz w:val="22"/>
          <w:szCs w:val="22"/>
          <w:color w:val="auto"/>
        </w:rPr>
        <w:t>or</w:t>
      </w:r>
      <w:r>
        <w:rPr>
          <w:rFonts w:ascii="Arial" w:cs="Arial" w:eastAsia="Arial" w:hAnsi="Arial"/>
          <w:sz w:val="22"/>
          <w:szCs w:val="22"/>
          <w:b w:val="1"/>
          <w:bCs w:val="1"/>
          <w:color w:val="auto"/>
        </w:rPr>
        <w:t xml:space="preserve"> “Uniform Commercial Code” </w:t>
      </w:r>
      <w:r>
        <w:rPr>
          <w:rFonts w:ascii="Arial" w:cs="Arial" w:eastAsia="Arial" w:hAnsi="Arial"/>
          <w:sz w:val="22"/>
          <w:szCs w:val="22"/>
          <w:color w:val="auto"/>
        </w:rPr>
        <w:t>means the Uniform Commercial Code in effect in the State of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“Unaffiliated Scenario”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9.6(d)</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350" w:lineRule="auto"/>
        <w:rPr>
          <w:sz w:val="20"/>
          <w:szCs w:val="20"/>
          <w:color w:val="auto"/>
        </w:rPr>
      </w:pPr>
      <w:r>
        <w:rPr>
          <w:rFonts w:ascii="Arial" w:cs="Arial" w:eastAsia="Arial" w:hAnsi="Arial"/>
          <w:sz w:val="19"/>
          <w:szCs w:val="19"/>
          <w:b w:val="1"/>
          <w:bCs w:val="1"/>
          <w:color w:val="auto"/>
        </w:rPr>
        <w:t xml:space="preserve">“Uncontracted RECs” </w:t>
      </w:r>
      <w:r>
        <w:rPr>
          <w:rFonts w:ascii="Arial" w:cs="Arial" w:eastAsia="Arial" w:hAnsi="Arial"/>
          <w:sz w:val="19"/>
          <w:szCs w:val="19"/>
          <w:color w:val="auto"/>
        </w:rPr>
        <w:t>means any REC projected to be generated by a Project in the future, that, as of the date on</w:t>
      </w:r>
      <w:r>
        <w:rPr>
          <w:rFonts w:ascii="Arial" w:cs="Arial" w:eastAsia="Arial" w:hAnsi="Arial"/>
          <w:sz w:val="19"/>
          <w:szCs w:val="19"/>
          <w:b w:val="1"/>
          <w:bCs w:val="1"/>
          <w:color w:val="auto"/>
        </w:rPr>
        <w:t xml:space="preserve"> </w:t>
      </w:r>
      <w:r>
        <w:rPr>
          <w:rFonts w:ascii="Arial" w:cs="Arial" w:eastAsia="Arial" w:hAnsi="Arial"/>
          <w:sz w:val="19"/>
          <w:szCs w:val="19"/>
          <w:color w:val="auto"/>
        </w:rPr>
        <w:t>which the Class A Member is making a Capital Contribution with respect to the associated Project, is not a Contracted REC.</w:t>
      </w:r>
    </w:p>
    <w:p>
      <w:pPr>
        <w:spacing w:after="0" w:line="9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Uncontracted Revenue</w:t>
      </w:r>
      <w:r>
        <w:rPr>
          <w:rFonts w:ascii="Arial" w:cs="Arial" w:eastAsia="Arial" w:hAnsi="Arial"/>
          <w:sz w:val="22"/>
          <w:szCs w:val="22"/>
          <w:color w:val="auto"/>
        </w:rPr>
        <w:t>” means any revenue that is not Contracted Revenue, as more specifically described in the Fund Credit Profile attached to the relevant Fund Addendum.</w:t>
      </w:r>
    </w:p>
    <w:p>
      <w:pPr>
        <w:spacing w:after="0" w:line="162" w:lineRule="exact"/>
        <w:rPr>
          <w:sz w:val="20"/>
          <w:szCs w:val="20"/>
          <w:color w:val="auto"/>
        </w:rPr>
      </w:pPr>
    </w:p>
    <w:p>
      <w:pPr>
        <w:jc w:val="both"/>
        <w:ind w:right="20" w:firstLine="1297"/>
        <w:spacing w:after="0" w:line="293" w:lineRule="auto"/>
        <w:rPr>
          <w:sz w:val="20"/>
          <w:szCs w:val="20"/>
          <w:color w:val="auto"/>
        </w:rPr>
      </w:pPr>
      <w:r>
        <w:rPr>
          <w:rFonts w:ascii="Arial" w:cs="Arial" w:eastAsia="Arial" w:hAnsi="Arial"/>
          <w:sz w:val="21"/>
          <w:szCs w:val="21"/>
          <w:b w:val="1"/>
          <w:bCs w:val="1"/>
          <w:color w:val="auto"/>
        </w:rPr>
        <w:t>“Unleveraged Fund Company</w:t>
      </w:r>
      <w:r>
        <w:rPr>
          <w:rFonts w:ascii="Arial" w:cs="Arial" w:eastAsia="Arial" w:hAnsi="Arial"/>
          <w:sz w:val="21"/>
          <w:szCs w:val="21"/>
          <w:color w:val="auto"/>
        </w:rPr>
        <w:t>” means any Fund Company, during the period of time when it does not have any</w:t>
      </w:r>
      <w:r>
        <w:rPr>
          <w:rFonts w:ascii="Arial" w:cs="Arial" w:eastAsia="Arial" w:hAnsi="Arial"/>
          <w:sz w:val="21"/>
          <w:szCs w:val="21"/>
          <w:b w:val="1"/>
          <w:bCs w:val="1"/>
          <w:color w:val="auto"/>
        </w:rPr>
        <w:t xml:space="preserve"> </w:t>
      </w:r>
      <w:r>
        <w:rPr>
          <w:rFonts w:ascii="Arial" w:cs="Arial" w:eastAsia="Arial" w:hAnsi="Arial"/>
          <w:sz w:val="21"/>
          <w:szCs w:val="21"/>
          <w:color w:val="auto"/>
        </w:rPr>
        <w:t>Indebtedness, including a Backleveraged Fund Company after it has paid in full all outstanding Indebtedness.</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“Units” </w:t>
      </w:r>
      <w:r>
        <w:rPr>
          <w:rFonts w:ascii="Arial" w:cs="Arial" w:eastAsia="Arial" w:hAnsi="Arial"/>
          <w:sz w:val="22"/>
          <w:szCs w:val="22"/>
          <w:color w:val="auto"/>
        </w:rPr>
        <w:t>means either the Class A Units or the Class B Units or both, as the context requires.</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Valuation of Cash Flow</w:t>
      </w:r>
      <w:r>
        <w:rPr>
          <w:rFonts w:ascii="Arial" w:cs="Arial" w:eastAsia="Arial" w:hAnsi="Arial"/>
          <w:sz w:val="22"/>
          <w:szCs w:val="22"/>
          <w:color w:val="auto"/>
        </w:rPr>
        <w:t>” shall mean the present value of the Cash Flow projected to be distributed to the Class A Member utilizing the applicable Target IRR as the discount rate for the applicable portions of such Cash Flow, as more fully set out in the Fund Addendum and the Cumulative Base Case Model.</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“Value” </w:t>
      </w:r>
      <w:r>
        <w:rPr>
          <w:rFonts w:ascii="Arial" w:cs="Arial" w:eastAsia="Arial" w:hAnsi="Arial"/>
          <w:sz w:val="22"/>
          <w:szCs w:val="22"/>
          <w:color w:val="auto"/>
        </w:rPr>
        <w:t>means, with respect to any Asset of the Company, such Asset’s adjusted basis for federal income tax</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except as follows:</w:t>
      </w:r>
    </w:p>
    <w:p>
      <w:pPr>
        <w:spacing w:after="0" w:line="168" w:lineRule="exact"/>
        <w:rPr>
          <w:sz w:val="20"/>
          <w:szCs w:val="20"/>
          <w:color w:val="auto"/>
        </w:rPr>
      </w:pPr>
    </w:p>
    <w:p>
      <w:pPr>
        <w:ind w:left="660" w:firstLine="1293"/>
        <w:spacing w:after="0" w:line="263" w:lineRule="auto"/>
        <w:tabs>
          <w:tab w:leader="none" w:pos="2462"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the initial Value of any Asset contributed by a Member to the Company shall be the gross fair market value of such Asset, as agreed to by the Members;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598" w:right="239" w:bottom="1440" w:gutter="0" w:footer="0" w:header="0"/>
        </w:sectPr>
      </w:pPr>
    </w:p>
    <w:bookmarkStart w:id="236" w:name="page237"/>
    <w:bookmarkEnd w:id="236"/>
    <w:p>
      <w:pPr>
        <w:jc w:val="both"/>
        <w:ind w:left="660" w:firstLine="1293"/>
        <w:spacing w:after="0" w:line="258" w:lineRule="exact"/>
        <w:tabs>
          <w:tab w:leader="none" w:pos="2515" w:val="left"/>
        </w:tabs>
        <w:numPr>
          <w:ilvl w:val="0"/>
          <w:numId w:val="218"/>
        </w:numPr>
        <w:rPr>
          <w:rFonts w:ascii="Arial" w:cs="Arial" w:eastAsia="Arial" w:hAnsi="Arial"/>
          <w:sz w:val="21"/>
          <w:szCs w:val="21"/>
          <w:color w:val="auto"/>
        </w:rPr>
      </w:pPr>
      <w:r>
        <w:rPr>
          <w:rFonts w:ascii="Arial" w:cs="Arial" w:eastAsia="Arial" w:hAnsi="Arial"/>
          <w:sz w:val="21"/>
          <w:szCs w:val="21"/>
          <w:color w:val="auto"/>
        </w:rPr>
        <w:t>the Value of all Assets of the Company shall be adjusted to equal their respective gross fair market values (taking Code Section 7701(g) into account), as determined by the Members, in accordance with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 xml:space="preserve">1(b)(2)(iv)(f), as of the following times: (i) the acquisition of an additional Membership Interest in the Company by any new or existing Member in exchange for more than a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Capital Contribution; (ii) the distribution by the Company to a Member of more than a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amount of Company Assets as consideration for the acquisition of a Membership Interest in the Company; (iii) the grant of a Membership Interest in the Company (other than a </w:t>
      </w:r>
      <w:r>
        <w:rPr>
          <w:rFonts w:ascii="Arial" w:cs="Arial" w:eastAsia="Arial" w:hAnsi="Arial"/>
          <w:sz w:val="21"/>
          <w:szCs w:val="21"/>
          <w:i w:val="1"/>
          <w:iCs w:val="1"/>
          <w:color w:val="auto"/>
        </w:rPr>
        <w:t xml:space="preserve">de minimis </w:t>
      </w:r>
      <w:r>
        <w:rPr>
          <w:rFonts w:ascii="Arial" w:cs="Arial" w:eastAsia="Arial" w:hAnsi="Arial"/>
          <w:sz w:val="21"/>
          <w:szCs w:val="21"/>
          <w:color w:val="auto"/>
        </w:rPr>
        <w:t>interest) as consideration for the provision of services to or for the benefit of the Company by an existing</w:t>
      </w:r>
      <w:r>
        <w:rPr>
          <w:rFonts w:ascii="Arial" w:cs="Arial" w:eastAsia="Arial" w:hAnsi="Arial"/>
          <w:sz w:val="21"/>
          <w:szCs w:val="21"/>
          <w:i w:val="1"/>
          <w:iCs w:val="1"/>
          <w:color w:val="auto"/>
        </w:rPr>
        <w:t xml:space="preserve"> </w:t>
      </w:r>
      <w:r>
        <w:rPr>
          <w:rFonts w:ascii="Arial" w:cs="Arial" w:eastAsia="Arial" w:hAnsi="Arial"/>
          <w:sz w:val="21"/>
          <w:szCs w:val="21"/>
          <w:color w:val="auto"/>
        </w:rPr>
        <w:t>Member acting in a Member capacity or a new Member acting in a Member capacity or in anticipation of being a Member; and (iv) the liquidation of the Company within the meaning of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 xml:space="preserve">1(b)(2)(ii)(g);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adjustment described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of this paragraph shall be made only upon the Consent of the Members;</w:t>
      </w:r>
    </w:p>
    <w:p>
      <w:pPr>
        <w:spacing w:after="0" w:line="205" w:lineRule="exact"/>
        <w:rPr>
          <w:rFonts w:ascii="Arial" w:cs="Arial" w:eastAsia="Arial" w:hAnsi="Arial"/>
          <w:sz w:val="21"/>
          <w:szCs w:val="21"/>
          <w:color w:val="auto"/>
        </w:rPr>
      </w:pPr>
    </w:p>
    <w:p>
      <w:pPr>
        <w:jc w:val="both"/>
        <w:ind w:left="660" w:firstLine="1293"/>
        <w:spacing w:after="0" w:line="253" w:lineRule="auto"/>
        <w:tabs>
          <w:tab w:leader="none" w:pos="2432"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Value of any Asset distributed to any Member shall be adjusted to equal the gross fair market value of such Asset on the date of distribution (taking Code Section 7701(g) into account), as determined by the Consent of the Members; and</w:t>
      </w:r>
    </w:p>
    <w:p>
      <w:pPr>
        <w:spacing w:after="0" w:line="185" w:lineRule="exact"/>
        <w:rPr>
          <w:rFonts w:ascii="Arial" w:cs="Arial" w:eastAsia="Arial" w:hAnsi="Arial"/>
          <w:sz w:val="22"/>
          <w:szCs w:val="22"/>
          <w:color w:val="auto"/>
        </w:rPr>
      </w:pPr>
    </w:p>
    <w:p>
      <w:pPr>
        <w:jc w:val="both"/>
        <w:ind w:left="660" w:firstLine="1293"/>
        <w:spacing w:after="0" w:line="259" w:lineRule="exact"/>
        <w:tabs>
          <w:tab w:leader="none" w:pos="2581" w:val="left"/>
        </w:tabs>
        <w:numPr>
          <w:ilvl w:val="0"/>
          <w:numId w:val="218"/>
        </w:numPr>
        <w:rPr>
          <w:rFonts w:ascii="Arial" w:cs="Arial" w:eastAsia="Arial" w:hAnsi="Arial"/>
          <w:sz w:val="21"/>
          <w:szCs w:val="21"/>
          <w:color w:val="auto"/>
        </w:rPr>
      </w:pPr>
      <w:r>
        <w:rPr>
          <w:rFonts w:ascii="Arial" w:cs="Arial" w:eastAsia="Arial" w:hAnsi="Arial"/>
          <w:sz w:val="21"/>
          <w:szCs w:val="21"/>
          <w:color w:val="auto"/>
        </w:rPr>
        <w:t>the Value of Company Assets shall be increased (or decreased) to reflect any adjustments to the adjusted basis of such Assets pursuant to Code Section 734(b) or Code Section 743(b), but only to the extent that such adjustments are taken into account in determining Capital Accounts pursuant to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 xml:space="preserve">1(b)(2) (iv)(m);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Value shall not be adjusted pursuant to this </w:t>
      </w:r>
      <w:r>
        <w:rPr>
          <w:rFonts w:ascii="Arial" w:cs="Arial" w:eastAsia="Arial" w:hAnsi="Arial"/>
          <w:sz w:val="21"/>
          <w:szCs w:val="21"/>
          <w:u w:val="single" w:color="auto"/>
          <w:color w:val="auto"/>
        </w:rPr>
        <w:t>clause (d)</w:t>
      </w:r>
      <w:r>
        <w:rPr>
          <w:rFonts w:ascii="Arial" w:cs="Arial" w:eastAsia="Arial" w:hAnsi="Arial"/>
          <w:sz w:val="21"/>
          <w:szCs w:val="21"/>
          <w:color w:val="auto"/>
        </w:rPr>
        <w:t xml:space="preserve"> to the extent the Members determine that an adjustment pursuant to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of this definition is necessary or appropriate in connection with a transaction that would otherwise result in an adjustment pursuant to this </w:t>
      </w:r>
      <w:r>
        <w:rPr>
          <w:rFonts w:ascii="Arial" w:cs="Arial" w:eastAsia="Arial" w:hAnsi="Arial"/>
          <w:sz w:val="21"/>
          <w:szCs w:val="21"/>
          <w:u w:val="single" w:color="auto"/>
          <w:color w:val="auto"/>
        </w:rPr>
        <w:t>clause (d)</w:t>
      </w:r>
      <w:r>
        <w:rPr>
          <w:rFonts w:ascii="Arial" w:cs="Arial" w:eastAsia="Arial" w:hAnsi="Arial"/>
          <w:sz w:val="21"/>
          <w:szCs w:val="21"/>
          <w:color w:val="auto"/>
        </w:rPr>
        <w:t>.</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If the Value of an Asset has been determined or adjusted pursuant to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of this definition, such Value shall thereafter be adjusted by the Depreciation taken into account with respect to such Asset for purposes of determining Company Items and not by the depreciation, amortization, or other cost recovery deductions taken into account with respect to that asset for federal income tax purposes.</w:t>
      </w:r>
    </w:p>
    <w:p>
      <w:pPr>
        <w:spacing w:after="0" w:line="18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b w:val="1"/>
          <w:bCs w:val="1"/>
          <w:color w:val="auto"/>
        </w:rPr>
        <w:t xml:space="preserve">“Wind-down Costs” </w:t>
      </w:r>
      <w:r>
        <w:rPr>
          <w:rFonts w:ascii="Arial" w:cs="Arial" w:eastAsia="Arial" w:hAnsi="Arial"/>
          <w:sz w:val="19"/>
          <w:szCs w:val="19"/>
          <w:color w:val="auto"/>
        </w:rPr>
        <w:t>means (a) amounts required to be paid in severance to employees that will be terminated as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result of the termination of the O&amp;M Agreement or AMA,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that the amount of such severance shall be included only if the operator or manager under the O&amp;M Agreement or AMA, as applicable, is unable to redeploy such terminated employees despite using commercially reasonable efforts to do so; (b) outsourcing contract early termination fees (but only if the termination of such outsourcing contract is directly attributable to the termination of the O&amp;M Agreement or AMA, as applicable);</w:t>
      </w:r>
    </w:p>
    <w:p>
      <w:pPr>
        <w:spacing w:after="0" w:line="1" w:lineRule="exact"/>
        <w:rPr>
          <w:sz w:val="20"/>
          <w:szCs w:val="20"/>
          <w:color w:val="auto"/>
        </w:rPr>
      </w:pPr>
    </w:p>
    <w:p>
      <w:pPr>
        <w:jc w:val="both"/>
        <w:ind w:firstLine="8"/>
        <w:spacing w:after="0" w:line="245" w:lineRule="auto"/>
        <w:tabs>
          <w:tab w:leader="none" w:pos="353" w:val="left"/>
        </w:tabs>
        <w:numPr>
          <w:ilvl w:val="0"/>
          <w:numId w:val="219"/>
        </w:numPr>
        <w:rPr>
          <w:rFonts w:ascii="Arial" w:cs="Arial" w:eastAsia="Arial" w:hAnsi="Arial"/>
          <w:sz w:val="22"/>
          <w:szCs w:val="22"/>
          <w:color w:val="auto"/>
        </w:rPr>
      </w:pPr>
      <w:r>
        <w:rPr>
          <w:rFonts w:ascii="Arial" w:cs="Arial" w:eastAsia="Arial" w:hAnsi="Arial"/>
          <w:sz w:val="22"/>
          <w:szCs w:val="22"/>
          <w:color w:val="auto"/>
        </w:rPr>
        <w:t>moving costs for any equipment or infrastructure that will be redeployed elsewhere (to the extent such equipment or infrastructure, prior to such redeployment, was used in connection with the provision of services under the O&amp;M Agreement or AMA, as applicable) and (d) any other costs actually incurred by the Class B Member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04" w:right="239" w:bottom="1440" w:gutter="0" w:footer="0" w:header="0"/>
        </w:sectPr>
      </w:pPr>
    </w:p>
    <w:bookmarkStart w:id="237" w:name="page238"/>
    <w:bookmarkEnd w:id="237"/>
    <w:p>
      <w:pPr>
        <w:spacing w:after="0" w:line="263" w:lineRule="auto"/>
        <w:rPr>
          <w:sz w:val="20"/>
          <w:szCs w:val="20"/>
          <w:color w:val="auto"/>
        </w:rPr>
      </w:pPr>
      <w:r>
        <w:rPr>
          <w:rFonts w:ascii="Arial" w:cs="Arial" w:eastAsia="Arial" w:hAnsi="Arial"/>
          <w:sz w:val="22"/>
          <w:szCs w:val="22"/>
          <w:color w:val="auto"/>
        </w:rPr>
        <w:t>or its Affiliates that are required or reasonably necessary in connection with the termination of the O&amp;M Agreement or AMA, as applicable.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“Working Capital Loan”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“Working Capital Notice”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u w:val="single" w:color="auto"/>
          <w:color w:val="auto"/>
        </w:rPr>
        <w:t>Other Definitional Provisions</w:t>
      </w:r>
    </w:p>
    <w:p>
      <w:pPr>
        <w:spacing w:after="0" w:line="239" w:lineRule="exact"/>
        <w:rPr>
          <w:sz w:val="20"/>
          <w:szCs w:val="20"/>
          <w:color w:val="auto"/>
        </w:rPr>
      </w:pPr>
    </w:p>
    <w:p>
      <w:pPr>
        <w:ind w:firstLine="1305"/>
        <w:spacing w:after="0" w:line="358" w:lineRule="auto"/>
        <w:tabs>
          <w:tab w:leader="none" w:pos="1838"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As used herein, the singular shall include the plural, the masculine gender shall include the feminine and neuter and the neuter gender shall include the masculine and feminine unless the context otherwise indicates.</w:t>
      </w:r>
    </w:p>
    <w:p>
      <w:pPr>
        <w:spacing w:after="0" w:line="90" w:lineRule="exact"/>
        <w:rPr>
          <w:rFonts w:ascii="Arial" w:cs="Arial" w:eastAsia="Arial" w:hAnsi="Arial"/>
          <w:sz w:val="19"/>
          <w:szCs w:val="19"/>
          <w:color w:val="auto"/>
        </w:rPr>
      </w:pPr>
    </w:p>
    <w:p>
      <w:pPr>
        <w:jc w:val="both"/>
        <w:ind w:firstLine="1305"/>
        <w:spacing w:after="0" w:line="259" w:lineRule="auto"/>
        <w:tabs>
          <w:tab w:leader="none" w:pos="1945" w:val="left"/>
        </w:tabs>
        <w:numPr>
          <w:ilvl w:val="0"/>
          <w:numId w:val="220"/>
        </w:numPr>
        <w:rPr>
          <w:rFonts w:ascii="Arial" w:cs="Arial" w:eastAsia="Arial" w:hAnsi="Arial"/>
          <w:sz w:val="21"/>
          <w:szCs w:val="21"/>
          <w:color w:val="auto"/>
        </w:rPr>
      </w:pPr>
      <w:r>
        <w:rPr>
          <w:rFonts w:ascii="Arial" w:cs="Arial" w:eastAsia="Arial" w:hAnsi="Arial"/>
          <w:sz w:val="21"/>
          <w:szCs w:val="21"/>
          <w:u w:val="single" w:color="auto"/>
          <w:color w:val="auto"/>
        </w:rPr>
        <w:t>References</w:t>
      </w:r>
      <w:r>
        <w:rPr>
          <w:rFonts w:ascii="Arial" w:cs="Arial" w:eastAsia="Arial" w:hAnsi="Arial"/>
          <w:sz w:val="21"/>
          <w:szCs w:val="21"/>
          <w:color w:val="auto"/>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85" w:lineRule="exact"/>
        <w:rPr>
          <w:rFonts w:ascii="Arial" w:cs="Arial" w:eastAsia="Arial" w:hAnsi="Arial"/>
          <w:sz w:val="21"/>
          <w:szCs w:val="21"/>
          <w:color w:val="auto"/>
        </w:rPr>
      </w:pPr>
    </w:p>
    <w:p>
      <w:pPr>
        <w:jc w:val="both"/>
        <w:ind w:firstLine="1305"/>
        <w:spacing w:after="0" w:line="264" w:lineRule="auto"/>
        <w:tabs>
          <w:tab w:leader="none" w:pos="1811" w:val="left"/>
        </w:tabs>
        <w:numPr>
          <w:ilvl w:val="0"/>
          <w:numId w:val="220"/>
        </w:numPr>
        <w:rPr>
          <w:rFonts w:ascii="Arial" w:cs="Arial" w:eastAsia="Arial" w:hAnsi="Arial"/>
          <w:sz w:val="21"/>
          <w:szCs w:val="21"/>
          <w:color w:val="auto"/>
        </w:rPr>
      </w:pPr>
      <w:r>
        <w:rPr>
          <w:rFonts w:ascii="Arial" w:cs="Arial" w:eastAsia="Arial" w:hAnsi="Arial"/>
          <w:sz w:val="21"/>
          <w:szCs w:val="21"/>
          <w:u w:val="single" w:color="auto"/>
          <w:color w:val="auto"/>
        </w:rPr>
        <w:t>Accounting Terms</w:t>
      </w:r>
      <w:r>
        <w:rPr>
          <w:rFonts w:ascii="Arial" w:cs="Arial" w:eastAsia="Arial" w:hAnsi="Arial"/>
          <w:sz w:val="21"/>
          <w:szCs w:val="21"/>
          <w:color w:val="auto"/>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385"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THE COMPANY</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u w:val="single" w:color="auto"/>
          <w:color w:val="auto"/>
        </w:rPr>
        <w:t>Continuation of Limited Liability Company.</w:t>
      </w:r>
    </w:p>
    <w:p>
      <w:pPr>
        <w:spacing w:after="0" w:line="23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As of the date hereof, the Original Agreement is hereby superseded in its entirety by this Agreement, which has been executed in renewal, amendment, restatement and modification of, but not in extinguishment of, the obligations under the Original Agreement. The Initial Class A Member is hereby admitted as a Class A Member of the Company and the Initial Class B Member is hereby admitted as a Class B Member. The parties hereto hereby continue the Company, which was formed as a Delaware limited liability company by the filing of the Delaware Certificate pursuant to the Act. The rights and obligations of the Members shall be as provided in the Act, except as otherwise expressly provided herein. The Manager shall from time to time execute or cause to be executed all such certificates, instruments and other documents, and cause to be done all such filings and other actions, as the Manager may deem necessary or appropriate to operate, continue, or terminate the Company as a limited liability company under the laws of the State of Delaware and to qualify the Company to do business in all jurisdictions other than the State of Delaware in which the Company conducts or proposes to conduct business and in any other jurisdiction where such qualification is necessary or appropriate.</w:t>
      </w:r>
    </w:p>
    <w:p>
      <w:pPr>
        <w:spacing w:after="0" w:line="177"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u w:val="single" w:color="auto"/>
          <w:color w:val="auto"/>
        </w:rPr>
        <w:t>Name.</w:t>
      </w:r>
    </w:p>
    <w:p>
      <w:pPr>
        <w:spacing w:after="0" w:line="239"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The name of the Company is, and the business of the Company shall continue to be conducted under the name of, “NRG DGPV HOLDCO 3 LLC” or such other name or names as the Manager may designate from time to time, with the Consent of the Members. The Manager shall take any action that it determines is required to comply with the Act, assumed name act, fictitious name act, or similar statute in effect in each jurisdiction or political subdivision in which the Company conducts or proposes to conduct business and the Members agree to execute any documents reasonably requested by the Manager in connection with any such action.</w:t>
      </w:r>
    </w:p>
    <w:p>
      <w:pPr>
        <w:spacing w:after="0" w:line="188"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b w:val="1"/>
          <w:bCs w:val="1"/>
          <w:u w:val="single" w:color="auto"/>
          <w:color w:val="auto"/>
        </w:rPr>
        <w:t>Principal Office.</w:t>
      </w:r>
    </w:p>
    <w:p>
      <w:pPr>
        <w:spacing w:after="0" w:line="23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The Company shall maintain a principal office at 5790 Fleet Street, Suite 200, Carlsbad, CA 92008. The Manager may change the principal office of the Company from time to time upon prior written notice to the Members. The Manager shall maintain all records of the Company at its principal office or such location designated by the Manager in a notice to the Members.</w:t>
      </w:r>
    </w:p>
    <w:p>
      <w:pPr>
        <w:sectPr>
          <w:pgSz w:w="11900" w:h="16838" w:orient="portrait"/>
          <w:cols w:equalWidth="0" w:num="1">
            <w:col w:w="11420"/>
          </w:cols>
          <w:pgMar w:left="240" w:top="605" w:right="239" w:bottom="0" w:gutter="0" w:footer="0" w:header="0"/>
        </w:sectPr>
      </w:pPr>
    </w:p>
    <w:bookmarkStart w:id="238" w:name="page239"/>
    <w:bookmarkEnd w:id="238"/>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b w:val="1"/>
          <w:bCs w:val="1"/>
          <w:u w:val="single" w:color="auto"/>
          <w:color w:val="auto"/>
        </w:rPr>
        <w:t>Registered Office; Registered Agent.</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name of the registered agent of the Company in the State of Delaware is CT Corporation System. The address of the Company’s registered office in the State of Delaware is at Corporation Trust Center, 1209 Orange Street, Wilmington, DE 19801.</w:t>
      </w:r>
    </w:p>
    <w:p>
      <w:pPr>
        <w:spacing w:after="0" w:line="180"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8"/>
          <w:szCs w:val="18"/>
          <w:b w:val="1"/>
          <w:bCs w:val="1"/>
          <w:u w:val="single" w:color="auto"/>
          <w:color w:val="auto"/>
        </w:rPr>
        <w:t>Purposes.</w:t>
      </w:r>
    </w:p>
    <w:p>
      <w:pPr>
        <w:spacing w:after="0" w:line="239"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2"/>
          <w:szCs w:val="22"/>
          <w:color w:val="auto"/>
        </w:rPr>
        <w:t>The purpose of the Company is to directly or indirectly (a) own the Intermediate Companies and the Fund Companies (collectively, the “</w:t>
      </w:r>
      <w:r>
        <w:rPr>
          <w:rFonts w:ascii="Arial" w:cs="Arial" w:eastAsia="Arial" w:hAnsi="Arial"/>
          <w:sz w:val="22"/>
          <w:szCs w:val="22"/>
          <w:b w:val="1"/>
          <w:bCs w:val="1"/>
          <w:color w:val="auto"/>
        </w:rPr>
        <w:t>Subject Companies</w:t>
      </w:r>
      <w:r>
        <w:rPr>
          <w:rFonts w:ascii="Arial" w:cs="Arial" w:eastAsia="Arial" w:hAnsi="Arial"/>
          <w:sz w:val="22"/>
          <w:szCs w:val="22"/>
          <w:color w:val="auto"/>
        </w:rPr>
        <w:t xml:space="preserve">”) that may (i) own, finance, lease, occupy, equip, test, operate, maintain and repair the Projects for the purpose of producing electricity and RECs and (ii) sell electricity produced by the Projects and to sell RECs generated from the Projects; (b) enter into, comply with and perform its obligations and enforce its rights under this Agreement and each other Investment Document to which it is a party and to cause each Subject Company to comply with, and perform its obligations and enforce its rights under each Fund Document and each other Project Document to which such Subject Company is a party; and (c) engage in and perform any and all activities necessary, incidental, related or appropriate to accomplish the foregoing that may be engaged in by a limited liability company formed under the Act. The Company shall not engage in any activity or own any Assets that are not directly related to the Company’s purpose as set forth in the first sentence of this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194"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2.6</w:t>
      </w:r>
      <w:r>
        <w:rPr>
          <w:sz w:val="20"/>
          <w:szCs w:val="20"/>
          <w:color w:val="auto"/>
        </w:rPr>
        <w:tab/>
      </w:r>
      <w:r>
        <w:rPr>
          <w:rFonts w:ascii="Arial" w:cs="Arial" w:eastAsia="Arial" w:hAnsi="Arial"/>
          <w:sz w:val="19"/>
          <w:szCs w:val="19"/>
          <w:b w:val="1"/>
          <w:bCs w:val="1"/>
          <w:u w:val="single" w:color="auto"/>
          <w:color w:val="auto"/>
        </w:rPr>
        <w:t>Term.</w:t>
      </w:r>
    </w:p>
    <w:p>
      <w:pPr>
        <w:spacing w:after="0" w:line="239"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The Company was formed on April 26, 2017, and shall continue in existence until dissolved and terminated in accordance with this Agreement or the Act.</w:t>
      </w:r>
    </w:p>
    <w:p>
      <w:pPr>
        <w:spacing w:after="0" w:line="16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2.7</w:t>
      </w:r>
      <w:r>
        <w:rPr>
          <w:sz w:val="20"/>
          <w:szCs w:val="20"/>
          <w:color w:val="auto"/>
        </w:rPr>
        <w:tab/>
      </w:r>
      <w:r>
        <w:rPr>
          <w:rFonts w:ascii="Arial" w:cs="Arial" w:eastAsia="Arial" w:hAnsi="Arial"/>
          <w:sz w:val="19"/>
          <w:szCs w:val="19"/>
          <w:b w:val="1"/>
          <w:bCs w:val="1"/>
          <w:u w:val="single" w:color="auto"/>
          <w:color w:val="auto"/>
        </w:rPr>
        <w:t>Title to Property.</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Title to Company Assets, whether tangible or intangible, shall be held in the name of the Company, and no Member, individually, shall have title to or any interest in such property by reason of being a Member. Membership Interests of each Member shall be personal property for all purposes.</w:t>
      </w:r>
    </w:p>
    <w:p>
      <w:pPr>
        <w:spacing w:after="0" w:line="180"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2.8</w:t>
      </w:r>
      <w:r>
        <w:rPr>
          <w:sz w:val="20"/>
          <w:szCs w:val="20"/>
          <w:color w:val="auto"/>
        </w:rPr>
        <w:tab/>
      </w:r>
      <w:r>
        <w:rPr>
          <w:rFonts w:ascii="Arial" w:cs="Arial" w:eastAsia="Arial" w:hAnsi="Arial"/>
          <w:sz w:val="19"/>
          <w:szCs w:val="19"/>
          <w:b w:val="1"/>
          <w:bCs w:val="1"/>
          <w:u w:val="single" w:color="auto"/>
          <w:color w:val="auto"/>
        </w:rPr>
        <w:t>Units; Certificates of Membership Interest; Applicability of Article 8 of UCC.</w:t>
      </w:r>
    </w:p>
    <w:p>
      <w:pPr>
        <w:spacing w:after="0" w:line="239" w:lineRule="exact"/>
        <w:rPr>
          <w:sz w:val="20"/>
          <w:szCs w:val="20"/>
          <w:color w:val="auto"/>
        </w:rPr>
      </w:pPr>
    </w:p>
    <w:p>
      <w:pPr>
        <w:jc w:val="both"/>
        <w:ind w:firstLine="1297"/>
        <w:spacing w:after="0" w:line="258" w:lineRule="exact"/>
        <w:rPr>
          <w:sz w:val="20"/>
          <w:szCs w:val="20"/>
          <w:color w:val="auto"/>
        </w:rPr>
      </w:pPr>
      <w:r>
        <w:rPr>
          <w:rFonts w:ascii="Arial" w:cs="Arial" w:eastAsia="Arial" w:hAnsi="Arial"/>
          <w:sz w:val="19"/>
          <w:szCs w:val="19"/>
          <w:color w:val="auto"/>
        </w:rPr>
        <w:t xml:space="preserve">Membership Interests shall be represented by Units,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into Class A Units (in the case of Class A Interest) and Class B Units (in the case of Class B Interest). The Membership Interests represented by Class A Units and Class B Units shall have the respective rights, powers and preferences ascribed to Class A Units and Class B Units in this Agreement. The class of Membership Interest of a Member shall be as provided in </w:t>
      </w:r>
      <w:r>
        <w:rPr>
          <w:rFonts w:ascii="Arial" w:cs="Arial" w:eastAsia="Arial" w:hAnsi="Arial"/>
          <w:sz w:val="19"/>
          <w:szCs w:val="19"/>
          <w:u w:val="single" w:color="auto"/>
          <w:color w:val="auto"/>
        </w:rPr>
        <w:t>Annex I</w:t>
      </w:r>
      <w:r>
        <w:rPr>
          <w:rFonts w:ascii="Arial" w:cs="Arial" w:eastAsia="Arial" w:hAnsi="Arial"/>
          <w:sz w:val="19"/>
          <w:szCs w:val="19"/>
          <w:color w:val="auto"/>
        </w:rPr>
        <w:t>. The Members hereby specify, acknowledge and agree that all Units (and the Membership Interests represented thereby) are securities governed by Article 8 and all other provisions of the Uniform Commercial Code, and pursuant to the terms of Section 8</w:t>
      </w:r>
      <w:r>
        <w:rPr>
          <w:rFonts w:ascii="MS PGothic" w:cs="MS PGothic" w:eastAsia="MS PGothic" w:hAnsi="MS PGothic"/>
          <w:sz w:val="19"/>
          <w:szCs w:val="19"/>
          <w:color w:val="auto"/>
        </w:rPr>
        <w:t>‑</w:t>
      </w:r>
      <w:r>
        <w:rPr>
          <w:rFonts w:ascii="Arial" w:cs="Arial" w:eastAsia="Arial" w:hAnsi="Arial"/>
          <w:sz w:val="19"/>
          <w:szCs w:val="19"/>
          <w:color w:val="auto"/>
        </w:rPr>
        <w:t xml:space="preserve">103(c) of the Uniform Commercial Code, such interests shall be “certificated securities” for all purposes under such Article 8 and under all other provisions of the Uniform Commercial Code. All Units (and the Membership Interests represented thereby) shall be represented by certificates substantially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shall be recorded in a register (the “</w:t>
      </w:r>
      <w:r>
        <w:rPr>
          <w:rFonts w:ascii="Arial" w:cs="Arial" w:eastAsia="Arial" w:hAnsi="Arial"/>
          <w:sz w:val="19"/>
          <w:szCs w:val="19"/>
          <w:b w:val="1"/>
          <w:bCs w:val="1"/>
          <w:color w:val="auto"/>
        </w:rPr>
        <w:t>Register</w:t>
      </w:r>
      <w:r>
        <w:rPr>
          <w:rFonts w:ascii="Arial" w:cs="Arial" w:eastAsia="Arial" w:hAnsi="Arial"/>
          <w:sz w:val="19"/>
          <w:szCs w:val="19"/>
          <w:color w:val="auto"/>
        </w:rPr>
        <w:t>”) thereof maintained by the Company, and shall be subject to such rules for the issuance thereof in compliance with this Agreement and applicable Law.</w:t>
      </w:r>
    </w:p>
    <w:p>
      <w:pPr>
        <w:spacing w:after="0" w:line="200"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2.9</w:t>
      </w:r>
      <w:r>
        <w:rPr>
          <w:sz w:val="20"/>
          <w:szCs w:val="20"/>
          <w:color w:val="auto"/>
        </w:rPr>
        <w:tab/>
      </w:r>
      <w:r>
        <w:rPr>
          <w:rFonts w:ascii="Arial" w:cs="Arial" w:eastAsia="Arial" w:hAnsi="Arial"/>
          <w:sz w:val="19"/>
          <w:szCs w:val="19"/>
          <w:b w:val="1"/>
          <w:bCs w:val="1"/>
          <w:u w:val="single" w:color="auto"/>
          <w:color w:val="auto"/>
        </w:rPr>
        <w:t>No Partnership.</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Members intend that the Company not be a partnership (including a limited partnership) or joint venture, and that no Member be a partner or joint venturer of any other Member, for any purposes other than tax purposes, and this Agreement may not be construed to suggest otherwise.</w:t>
      </w:r>
    </w:p>
    <w:p>
      <w:pPr>
        <w:spacing w:after="0" w:line="396"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CAPITAL CONTRIBUTIONS</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3.1</w:t>
      </w:r>
      <w:r>
        <w:rPr>
          <w:sz w:val="20"/>
          <w:szCs w:val="20"/>
          <w:color w:val="auto"/>
        </w:rPr>
        <w:tab/>
      </w:r>
      <w:r>
        <w:rPr>
          <w:rFonts w:ascii="Arial" w:cs="Arial" w:eastAsia="Arial" w:hAnsi="Arial"/>
          <w:sz w:val="19"/>
          <w:szCs w:val="19"/>
          <w:b w:val="1"/>
          <w:bCs w:val="1"/>
          <w:u w:val="single" w:color="auto"/>
          <w:color w:val="auto"/>
        </w:rPr>
        <w:t>Class A Interest.</w:t>
      </w:r>
    </w:p>
    <w:p>
      <w:pPr>
        <w:spacing w:after="0" w:line="239"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 xml:space="preserve">On the Effective Date, the Class A Member has made its Initial Capital Contribution in cash in exchange for its Class A Units in an amount set forth in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which Class A Units comprise one hundred percent (100%) of the Class A Interest. Each Class A Member shall be entitled to the allocations, distributions and other rights as are prescribed for a Class A Member in this Agreement. Each Class A Member’s Capital Account balance as of the Effective Date with respect to its Class A Interest is as indicated on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The number of Class A Units held by each Class A Member with respect to its Class A Interest as of the Effective Date is the number indicated on </w:t>
      </w:r>
      <w:r>
        <w:rPr>
          <w:rFonts w:ascii="Arial" w:cs="Arial" w:eastAsia="Arial" w:hAnsi="Arial"/>
          <w:sz w:val="22"/>
          <w:szCs w:val="22"/>
          <w:u w:val="single" w:color="auto"/>
          <w:color w:val="auto"/>
        </w:rPr>
        <w:t>Annex I</w:t>
      </w:r>
      <w:r>
        <w:rPr>
          <w:rFonts w:ascii="Arial" w:cs="Arial" w:eastAsia="Arial" w:hAnsi="Arial"/>
          <w:sz w:val="22"/>
          <w:szCs w:val="22"/>
          <w:color w:val="auto"/>
        </w:rPr>
        <w:t>.</w:t>
      </w:r>
    </w:p>
    <w:p>
      <w:pPr>
        <w:sectPr>
          <w:pgSz w:w="11900" w:h="16838" w:orient="portrait"/>
          <w:cols w:equalWidth="0" w:num="1">
            <w:col w:w="11420"/>
          </w:cols>
          <w:pgMar w:left="240" w:top="126" w:right="239" w:bottom="269" w:gutter="0" w:footer="0" w:header="0"/>
        </w:sectPr>
      </w:pPr>
    </w:p>
    <w:p>
      <w:pPr>
        <w:spacing w:after="0" w:line="200" w:lineRule="exact"/>
        <w:rPr>
          <w:sz w:val="20"/>
          <w:szCs w:val="20"/>
          <w:color w:val="auto"/>
        </w:rPr>
      </w:pPr>
    </w:p>
    <w:p>
      <w:pPr>
        <w:spacing w:after="0" w:line="244"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3.2</w:t>
      </w:r>
      <w:r>
        <w:rPr>
          <w:sz w:val="20"/>
          <w:szCs w:val="20"/>
          <w:color w:val="auto"/>
        </w:rPr>
        <w:tab/>
      </w:r>
      <w:r>
        <w:rPr>
          <w:rFonts w:ascii="Arial" w:cs="Arial" w:eastAsia="Arial" w:hAnsi="Arial"/>
          <w:sz w:val="19"/>
          <w:szCs w:val="19"/>
          <w:b w:val="1"/>
          <w:bCs w:val="1"/>
          <w:u w:val="single" w:color="auto"/>
          <w:color w:val="auto"/>
        </w:rPr>
        <w:t>Class B Interest.</w:t>
      </w:r>
    </w:p>
    <w:p>
      <w:pPr>
        <w:sectPr>
          <w:pgSz w:w="11900" w:h="16838" w:orient="portrait"/>
          <w:cols w:equalWidth="0" w:num="1">
            <w:col w:w="11420"/>
          </w:cols>
          <w:pgMar w:left="240" w:top="126" w:right="239" w:bottom="269" w:gutter="0" w:footer="0" w:header="0"/>
          <w:type w:val="continuous"/>
        </w:sectPr>
      </w:pPr>
    </w:p>
    <w:bookmarkStart w:id="239" w:name="page240"/>
    <w:bookmarkEnd w:id="239"/>
    <w:p>
      <w:pPr>
        <w:spacing w:after="0" w:line="6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As of the Effective Date, the Class B Member has made its Class B Initial Capital Contribution in cash in exchange for its Class B Units in an amount set forth in </w:t>
      </w:r>
      <w:r>
        <w:rPr>
          <w:rFonts w:ascii="Arial" w:cs="Arial" w:eastAsia="Arial" w:hAnsi="Arial"/>
          <w:sz w:val="21"/>
          <w:szCs w:val="21"/>
          <w:u w:val="single" w:color="auto"/>
          <w:color w:val="auto"/>
        </w:rPr>
        <w:t>Annex I</w:t>
      </w:r>
      <w:r>
        <w:rPr>
          <w:rFonts w:ascii="Arial" w:cs="Arial" w:eastAsia="Arial" w:hAnsi="Arial"/>
          <w:sz w:val="21"/>
          <w:szCs w:val="21"/>
          <w:color w:val="auto"/>
        </w:rPr>
        <w:t xml:space="preserve">, which Class B Units comprise one hundred percent (100%) of the Class B Interest. Each Class B Member shall be entitled to the allocations, distributions and other rights as are prescribed for a Class B Member in this Agreement. Each Class B Member’s Capital Account balance as of the Effective Date with respect to its Class B Interest is as indicated on </w:t>
      </w:r>
      <w:r>
        <w:rPr>
          <w:rFonts w:ascii="Arial" w:cs="Arial" w:eastAsia="Arial" w:hAnsi="Arial"/>
          <w:sz w:val="21"/>
          <w:szCs w:val="21"/>
          <w:u w:val="single" w:color="auto"/>
          <w:color w:val="auto"/>
        </w:rPr>
        <w:t>Annex I</w:t>
      </w:r>
      <w:r>
        <w:rPr>
          <w:rFonts w:ascii="Arial" w:cs="Arial" w:eastAsia="Arial" w:hAnsi="Arial"/>
          <w:sz w:val="21"/>
          <w:szCs w:val="21"/>
          <w:color w:val="auto"/>
        </w:rPr>
        <w:t xml:space="preserve">. The number of Class B Units held by each Class B Member with respect to its Class B Interest as of the Effective Date is the number indicated on </w:t>
      </w:r>
      <w:r>
        <w:rPr>
          <w:rFonts w:ascii="Arial" w:cs="Arial" w:eastAsia="Arial" w:hAnsi="Arial"/>
          <w:sz w:val="21"/>
          <w:szCs w:val="21"/>
          <w:u w:val="single" w:color="auto"/>
          <w:color w:val="auto"/>
        </w:rPr>
        <w:t>Annex I</w:t>
      </w:r>
      <w:r>
        <w:rPr>
          <w:rFonts w:ascii="Arial" w:cs="Arial" w:eastAsia="Arial" w:hAnsi="Arial"/>
          <w:sz w:val="21"/>
          <w:szCs w:val="21"/>
          <w:color w:val="auto"/>
        </w:rPr>
        <w:t>.</w:t>
      </w:r>
    </w:p>
    <w:p>
      <w:pPr>
        <w:spacing w:after="0" w:line="174"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3.3</w:t>
      </w:r>
      <w:r>
        <w:rPr>
          <w:sz w:val="20"/>
          <w:szCs w:val="20"/>
          <w:color w:val="auto"/>
        </w:rPr>
        <w:tab/>
      </w:r>
      <w:r>
        <w:rPr>
          <w:rFonts w:ascii="Arial" w:cs="Arial" w:eastAsia="Arial" w:hAnsi="Arial"/>
          <w:sz w:val="19"/>
          <w:szCs w:val="19"/>
          <w:b w:val="1"/>
          <w:bCs w:val="1"/>
          <w:u w:val="single" w:color="auto"/>
          <w:color w:val="auto"/>
        </w:rPr>
        <w:t>Other Required Capital Contributions.</w:t>
      </w:r>
    </w:p>
    <w:p>
      <w:pPr>
        <w:spacing w:after="0" w:line="239" w:lineRule="exact"/>
        <w:rPr>
          <w:sz w:val="20"/>
          <w:szCs w:val="20"/>
          <w:color w:val="auto"/>
        </w:rPr>
      </w:pPr>
    </w:p>
    <w:p>
      <w:pPr>
        <w:ind w:firstLine="1305"/>
        <w:spacing w:after="0" w:line="276" w:lineRule="auto"/>
        <w:tabs>
          <w:tab w:leader="none" w:pos="173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 xml:space="preserve">Except as provided in this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12.3</w:t>
      </w:r>
      <w:r>
        <w:rPr>
          <w:rFonts w:ascii="Arial" w:cs="Arial" w:eastAsia="Arial" w:hAnsi="Arial"/>
          <w:sz w:val="22"/>
          <w:szCs w:val="22"/>
          <w:color w:val="auto"/>
        </w:rPr>
        <w:t>, no Member shall be obligated to make Capital Contributions.</w:t>
      </w:r>
    </w:p>
    <w:p>
      <w:pPr>
        <w:spacing w:after="0" w:line="160" w:lineRule="exact"/>
        <w:rPr>
          <w:rFonts w:ascii="Arial" w:cs="Arial" w:eastAsia="Arial" w:hAnsi="Arial"/>
          <w:sz w:val="22"/>
          <w:szCs w:val="22"/>
          <w:color w:val="auto"/>
        </w:rPr>
      </w:pPr>
    </w:p>
    <w:p>
      <w:pPr>
        <w:jc w:val="both"/>
        <w:ind w:firstLine="1305"/>
        <w:spacing w:after="0" w:line="288" w:lineRule="auto"/>
        <w:tabs>
          <w:tab w:leader="none" w:pos="1728" w:val="left"/>
        </w:tabs>
        <w:numPr>
          <w:ilvl w:val="1"/>
          <w:numId w:val="221"/>
        </w:numPr>
        <w:rPr>
          <w:rFonts w:ascii="Arial" w:cs="Arial" w:eastAsia="Arial" w:hAnsi="Arial"/>
          <w:sz w:val="19"/>
          <w:szCs w:val="19"/>
          <w:color w:val="auto"/>
        </w:rPr>
      </w:pPr>
      <w:r>
        <w:rPr>
          <w:rFonts w:ascii="Arial" w:cs="Arial" w:eastAsia="Arial" w:hAnsi="Arial"/>
          <w:sz w:val="19"/>
          <w:szCs w:val="19"/>
          <w:color w:val="auto"/>
        </w:rPr>
        <w:t xml:space="preserve">Immediately upon receipt of (i) the presentation made to a Fund Company of a tranche of Projects for purchase or (ii) a formal capital contribution request from a Fund Company with respect to a tranche of Projects, that in either case sets forth an amount of capital contributions that will be required from the members of such Fund Company and a date by which contributions to a Fund Company must be made or (iii) any notice delivered to the Company in connection with a Contribution Event pursuant to </w:t>
      </w:r>
      <w:r>
        <w:rPr>
          <w:rFonts w:ascii="Arial" w:cs="Arial" w:eastAsia="Arial" w:hAnsi="Arial"/>
          <w:sz w:val="19"/>
          <w:szCs w:val="19"/>
          <w:u w:val="single" w:color="auto"/>
          <w:color w:val="auto"/>
        </w:rPr>
        <w:t>Section 3.3(e)</w:t>
      </w:r>
      <w:r>
        <w:rPr>
          <w:rFonts w:ascii="Arial" w:cs="Arial" w:eastAsia="Arial" w:hAnsi="Arial"/>
          <w:sz w:val="19"/>
          <w:szCs w:val="19"/>
          <w:color w:val="auto"/>
        </w:rPr>
        <w:t>, the Manager shall deliver to the Members a request for Capital Contributions (the “</w:t>
      </w:r>
      <w:r>
        <w:rPr>
          <w:rFonts w:ascii="Arial" w:cs="Arial" w:eastAsia="Arial" w:hAnsi="Arial"/>
          <w:sz w:val="19"/>
          <w:szCs w:val="19"/>
          <w:b w:val="1"/>
          <w:bCs w:val="1"/>
          <w:color w:val="auto"/>
        </w:rPr>
        <w:t>Capital</w:t>
      </w:r>
      <w:r>
        <w:rPr>
          <w:rFonts w:ascii="Arial" w:cs="Arial" w:eastAsia="Arial" w:hAnsi="Arial"/>
          <w:sz w:val="19"/>
          <w:szCs w:val="19"/>
          <w:color w:val="auto"/>
        </w:rPr>
        <w:t xml:space="preserve"> </w:t>
      </w:r>
      <w:r>
        <w:rPr>
          <w:rFonts w:ascii="Arial" w:cs="Arial" w:eastAsia="Arial" w:hAnsi="Arial"/>
          <w:sz w:val="19"/>
          <w:szCs w:val="19"/>
          <w:b w:val="1"/>
          <w:bCs w:val="1"/>
          <w:color w:val="auto"/>
        </w:rPr>
        <w:t>Contribution Request</w:t>
      </w:r>
      <w:r>
        <w:rPr>
          <w:rFonts w:ascii="Arial" w:cs="Arial" w:eastAsia="Arial" w:hAnsi="Arial"/>
          <w:sz w:val="19"/>
          <w:szCs w:val="19"/>
          <w:color w:val="auto"/>
        </w:rPr>
        <w:t>”), consisting of, with respect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clauses 3.3(b)(i) and (ii)</w:t>
      </w:r>
      <w:r>
        <w:rPr>
          <w:rFonts w:ascii="Arial" w:cs="Arial" w:eastAsia="Arial" w:hAnsi="Arial"/>
          <w:sz w:val="19"/>
          <w:szCs w:val="19"/>
          <w:color w:val="auto"/>
        </w:rPr>
        <w:t>, (A) the amount of capital that a Fund Company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Subject Company requires (the “</w:t>
      </w:r>
      <w:r>
        <w:rPr>
          <w:rFonts w:ascii="Arial" w:cs="Arial" w:eastAsia="Arial" w:hAnsi="Arial"/>
          <w:sz w:val="19"/>
          <w:szCs w:val="19"/>
          <w:b w:val="1"/>
          <w:bCs w:val="1"/>
          <w:color w:val="auto"/>
        </w:rPr>
        <w:t>Capital Call Amount</w:t>
      </w:r>
      <w:r>
        <w:rPr>
          <w:rFonts w:ascii="Arial" w:cs="Arial" w:eastAsia="Arial" w:hAnsi="Arial"/>
          <w:sz w:val="19"/>
          <w:szCs w:val="19"/>
          <w:color w:val="auto"/>
        </w:rPr>
        <w:t xml:space="preserve">”), (B) a reasonably detailed explanation of the intended use of such capital by the Company and each applicable Subject Company, (C) the Fund Base Case Model and the Cumulative Base Case Model used to calculate the Capital Contributions being requested, (D) the Equity Capital Contribution Date when the requested Capital Contributions must be made, which shall be the same date as the capital contributions are made by the Fund Investors of such Fund Company, if applicable, but in all cases, (x) no more than once per month and (y) at least five (5) days following delivery of the Capital Contribution Request, (E) the Class A Capital Contribution Amount, as determined in accordance with </w:t>
      </w:r>
      <w:r>
        <w:rPr>
          <w:rFonts w:ascii="Arial" w:cs="Arial" w:eastAsia="Arial" w:hAnsi="Arial"/>
          <w:sz w:val="19"/>
          <w:szCs w:val="19"/>
          <w:u w:val="single" w:color="auto"/>
          <w:color w:val="auto"/>
        </w:rPr>
        <w:t>Section 3.3(c)</w:t>
      </w:r>
      <w:r>
        <w:rPr>
          <w:rFonts w:ascii="Arial" w:cs="Arial" w:eastAsia="Arial" w:hAnsi="Arial"/>
          <w:sz w:val="19"/>
          <w:szCs w:val="19"/>
          <w:color w:val="auto"/>
        </w:rPr>
        <w:t xml:space="preserve">, and (F) the Class B Capital Contribution Amount, as determined in accordance with </w:t>
      </w:r>
      <w:r>
        <w:rPr>
          <w:rFonts w:ascii="Arial" w:cs="Arial" w:eastAsia="Arial" w:hAnsi="Arial"/>
          <w:sz w:val="19"/>
          <w:szCs w:val="19"/>
          <w:u w:val="single" w:color="auto"/>
          <w:color w:val="auto"/>
        </w:rPr>
        <w:t>Section 3.3(d)</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firstLine="1305"/>
        <w:spacing w:after="0" w:line="288" w:lineRule="auto"/>
        <w:tabs>
          <w:tab w:leader="none" w:pos="1878" w:val="left"/>
        </w:tabs>
        <w:numPr>
          <w:ilvl w:val="1"/>
          <w:numId w:val="221"/>
        </w:numPr>
        <w:rPr>
          <w:rFonts w:ascii="Arial" w:cs="Arial" w:eastAsia="Arial" w:hAnsi="Arial"/>
          <w:sz w:val="19"/>
          <w:szCs w:val="19"/>
          <w:color w:val="auto"/>
        </w:rPr>
      </w:pPr>
      <w:r>
        <w:rPr>
          <w:rFonts w:ascii="Arial" w:cs="Arial" w:eastAsia="Arial" w:hAnsi="Arial"/>
          <w:sz w:val="19"/>
          <w:szCs w:val="19"/>
          <w:color w:val="auto"/>
        </w:rPr>
        <w:t xml:space="preserve">On each Equity Capital Contribution Date other than with respect to a Contribution Event, the Class A Members shall each make a Capital Contribution in cash equal to the portion of the Valuation of Cash Flow determined by the Cumulative Base Case Model included in the Capital Contribution Request (which portion shall take into account previous Capital Contributions made by the Class A Members);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Capital Contribution shall be sized so that the Class A Members are projected to achieve a per annum yield based on Available Cash Flow (“</w:t>
      </w:r>
      <w:r>
        <w:rPr>
          <w:rFonts w:ascii="Arial" w:cs="Arial" w:eastAsia="Arial" w:hAnsi="Arial"/>
          <w:sz w:val="19"/>
          <w:szCs w:val="19"/>
          <w:b w:val="1"/>
          <w:bCs w:val="1"/>
          <w:color w:val="auto"/>
        </w:rPr>
        <w:t>CAFD Yield</w:t>
      </w:r>
      <w:r>
        <w:rPr>
          <w:rFonts w:ascii="Arial" w:cs="Arial" w:eastAsia="Arial" w:hAnsi="Arial"/>
          <w:sz w:val="19"/>
          <w:szCs w:val="19"/>
          <w:color w:val="auto"/>
        </w:rPr>
        <w:t>”) which will (i) average no less than</w:t>
      </w:r>
    </w:p>
    <w:p>
      <w:pPr>
        <w:spacing w:after="0" w:line="3" w:lineRule="exact"/>
        <w:rPr>
          <w:rFonts w:ascii="Arial" w:cs="Arial" w:eastAsia="Arial" w:hAnsi="Arial"/>
          <w:sz w:val="19"/>
          <w:szCs w:val="19"/>
          <w:color w:val="auto"/>
        </w:rPr>
      </w:pPr>
    </w:p>
    <w:p>
      <w:pPr>
        <w:jc w:val="both"/>
        <w:ind w:firstLine="8"/>
        <w:spacing w:after="0" w:line="248" w:lineRule="auto"/>
        <w:tabs>
          <w:tab w:leader="none" w:pos="53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over the first ten (10) years following the date on which the Class A Capital Contribution Amount has been made, (ii) never be below [***] percent ([***]%) in any of the first nine (9) years following the date on which the Class A Capital Contribution Amount has been made, (iii) only be below [***] percent ([***]%) for no more than four (4) calendar years commencing with the tenth (10</w:t>
      </w:r>
      <w:r>
        <w:rPr>
          <w:rFonts w:ascii="Arial" w:cs="Arial" w:eastAsia="Arial" w:hAnsi="Arial"/>
          <w:sz w:val="27"/>
          <w:szCs w:val="27"/>
          <w:color w:val="auto"/>
          <w:vertAlign w:val="superscript"/>
        </w:rPr>
        <w:t>th</w:t>
      </w:r>
      <w:r>
        <w:rPr>
          <w:rFonts w:ascii="Arial" w:cs="Arial" w:eastAsia="Arial" w:hAnsi="Arial"/>
          <w:sz w:val="21"/>
          <w:szCs w:val="21"/>
          <w:color w:val="auto"/>
        </w:rPr>
        <w:t>) calendar year following the date on which the Class A Capital Contribution Amount has been made, and (iv) never be below negative [***] percent (-[***]%) in any calendar year (such Capital Contribution, a “</w:t>
      </w:r>
      <w:r>
        <w:rPr>
          <w:rFonts w:ascii="Arial" w:cs="Arial" w:eastAsia="Arial" w:hAnsi="Arial"/>
          <w:sz w:val="21"/>
          <w:szCs w:val="21"/>
          <w:b w:val="1"/>
          <w:bCs w:val="1"/>
          <w:color w:val="auto"/>
        </w:rPr>
        <w:t>Class A Capital Contribution</w:t>
      </w:r>
      <w:r>
        <w:rPr>
          <w:rFonts w:ascii="Arial" w:cs="Arial" w:eastAsia="Arial" w:hAnsi="Arial"/>
          <w:sz w:val="21"/>
          <w:szCs w:val="21"/>
          <w:color w:val="auto"/>
        </w:rPr>
        <w:t xml:space="preserve"> </w:t>
      </w:r>
      <w:r>
        <w:rPr>
          <w:rFonts w:ascii="Arial" w:cs="Arial" w:eastAsia="Arial" w:hAnsi="Arial"/>
          <w:sz w:val="21"/>
          <w:szCs w:val="21"/>
          <w:b w:val="1"/>
          <w:bCs w:val="1"/>
          <w:color w:val="auto"/>
        </w:rPr>
        <w:t>Amount</w:t>
      </w:r>
      <w:r>
        <w:rPr>
          <w:rFonts w:ascii="Arial" w:cs="Arial" w:eastAsia="Arial" w:hAnsi="Arial"/>
          <w:sz w:val="21"/>
          <w:szCs w:val="21"/>
          <w:color w:val="auto"/>
        </w:rPr>
        <w:t>”), all as determined pursuant to the Cumulative Base Case Model included in the Capital Contribution Request; 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that notwithstanding the foregoing, the Class A Member shall not be required to make Capital Contributions in excess of $15,000,000 in the aggregate until such time as the Company has entered into an agreement regarding customer care services for residential community solar subscribers, which agreement is in form and substance, and with a services provider who is, reasonably acceptable to the Class A Member.</w:t>
      </w:r>
    </w:p>
    <w:p>
      <w:pPr>
        <w:spacing w:after="0" w:line="197" w:lineRule="exact"/>
        <w:rPr>
          <w:rFonts w:ascii="Arial" w:cs="Arial" w:eastAsia="Arial" w:hAnsi="Arial"/>
          <w:sz w:val="21"/>
          <w:szCs w:val="21"/>
          <w:color w:val="auto"/>
        </w:rPr>
      </w:pPr>
    </w:p>
    <w:p>
      <w:pPr>
        <w:jc w:val="both"/>
        <w:ind w:firstLine="1305"/>
        <w:spacing w:after="0" w:line="251" w:lineRule="auto"/>
        <w:tabs>
          <w:tab w:leader="none" w:pos="1891" w:val="left"/>
        </w:tabs>
        <w:numPr>
          <w:ilvl w:val="1"/>
          <w:numId w:val="222"/>
        </w:numPr>
        <w:rPr>
          <w:rFonts w:ascii="Arial" w:cs="Arial" w:eastAsia="Arial" w:hAnsi="Arial"/>
          <w:sz w:val="22"/>
          <w:szCs w:val="22"/>
          <w:color w:val="auto"/>
        </w:rPr>
      </w:pPr>
      <w:r>
        <w:rPr>
          <w:rFonts w:ascii="Arial" w:cs="Arial" w:eastAsia="Arial" w:hAnsi="Arial"/>
          <w:sz w:val="22"/>
          <w:szCs w:val="22"/>
          <w:color w:val="auto"/>
        </w:rPr>
        <w:t xml:space="preserve">On each Equity Capital Contribution Date other than with respect to a Contribution Event, the Class B Members shall make a Capital Contribution (if more than one, then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their Class B Units) in cash equal to the positive amount, if any, of the Capital Call Amount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Class A Capital Contribution Amount (the “</w:t>
      </w:r>
      <w:r>
        <w:rPr>
          <w:rFonts w:ascii="Arial" w:cs="Arial" w:eastAsia="Arial" w:hAnsi="Arial"/>
          <w:sz w:val="22"/>
          <w:szCs w:val="22"/>
          <w:b w:val="1"/>
          <w:bCs w:val="1"/>
          <w:color w:val="auto"/>
        </w:rPr>
        <w:t>Class B Capital</w:t>
      </w:r>
      <w:r>
        <w:rPr>
          <w:rFonts w:ascii="Arial" w:cs="Arial" w:eastAsia="Arial" w:hAnsi="Arial"/>
          <w:sz w:val="22"/>
          <w:szCs w:val="22"/>
          <w:color w:val="auto"/>
        </w:rPr>
        <w:t xml:space="preserve"> </w:t>
      </w:r>
      <w:r>
        <w:rPr>
          <w:rFonts w:ascii="Arial" w:cs="Arial" w:eastAsia="Arial" w:hAnsi="Arial"/>
          <w:sz w:val="22"/>
          <w:szCs w:val="22"/>
          <w:b w:val="1"/>
          <w:bCs w:val="1"/>
          <w:color w:val="auto"/>
        </w:rPr>
        <w:t>Contribution Amount</w:t>
      </w:r>
      <w:r>
        <w:rPr>
          <w:rFonts w:ascii="Arial" w:cs="Arial" w:eastAsia="Arial" w:hAnsi="Arial"/>
          <w:sz w:val="22"/>
          <w:szCs w:val="22"/>
          <w:color w:val="auto"/>
        </w:rPr>
        <w:t>”), as determined pursuant to the Cumulative Base Case Model included in the Capital Contribution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Request.</w:t>
      </w:r>
    </w:p>
    <w:p>
      <w:pPr>
        <w:spacing w:after="0" w:line="189" w:lineRule="exact"/>
        <w:rPr>
          <w:rFonts w:ascii="Arial" w:cs="Arial" w:eastAsia="Arial" w:hAnsi="Arial"/>
          <w:sz w:val="22"/>
          <w:szCs w:val="22"/>
          <w:color w:val="auto"/>
        </w:rPr>
      </w:pPr>
    </w:p>
    <w:p>
      <w:pPr>
        <w:jc w:val="both"/>
        <w:ind w:firstLine="1305"/>
        <w:spacing w:after="0" w:line="288" w:lineRule="auto"/>
        <w:tabs>
          <w:tab w:leader="none" w:pos="1784" w:val="left"/>
        </w:tabs>
        <w:numPr>
          <w:ilvl w:val="1"/>
          <w:numId w:val="222"/>
        </w:numPr>
        <w:rPr>
          <w:rFonts w:ascii="Arial" w:cs="Arial" w:eastAsia="Arial" w:hAnsi="Arial"/>
          <w:sz w:val="19"/>
          <w:szCs w:val="19"/>
          <w:color w:val="auto"/>
        </w:rPr>
      </w:pPr>
      <w:r>
        <w:rPr>
          <w:rFonts w:ascii="Arial" w:cs="Arial" w:eastAsia="Arial" w:hAnsi="Arial"/>
          <w:sz w:val="19"/>
          <w:szCs w:val="19"/>
          <w:color w:val="auto"/>
        </w:rPr>
        <w:t xml:space="preserve">In addition to the Capital Contributions contemplated by </w:t>
      </w: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the Manager may (or, in the case of clause (iv), shall) request from the Members, and the Members shall be obligated to make, as applicable, Capital Contributions to fund (i) the purchase price of an Accepted Acquisition, (ii) a Fund Company Put Event, (iii) a Fund Company Call Event approved in accordance with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or (iv) a Member Contribution Event (each a “</w:t>
      </w:r>
      <w:r>
        <w:rPr>
          <w:rFonts w:ascii="Arial" w:cs="Arial" w:eastAsia="Arial" w:hAnsi="Arial"/>
          <w:sz w:val="19"/>
          <w:szCs w:val="19"/>
          <w:b w:val="1"/>
          <w:bCs w:val="1"/>
          <w:color w:val="auto"/>
        </w:rPr>
        <w:t>Contribution Event</w:t>
      </w:r>
      <w:r>
        <w:rPr>
          <w:rFonts w:ascii="Arial" w:cs="Arial" w:eastAsia="Arial" w:hAnsi="Arial"/>
          <w:sz w:val="19"/>
          <w:szCs w:val="19"/>
          <w:color w:val="auto"/>
        </w:rPr>
        <w:t xml:space="preserve">”), in each case, by delivering a Capital Contribution Request to the applicable Member(s) (with a copy to the other Members) in accordance with the time requirements of </w:t>
      </w: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consisting of (A) a detailed explanation of the Contribution Event and the total capital required from the Company in connection therewith, (B) the amount of such Capital Contribution requested of each such Member, and (C) all notices and other documentary evidence received by the Intermediate Company in connection with such Contribution Event. In the case of an Accepted Acquisition, the Manager shall determine the Members’ respective Capital Contribution amounts in accordance with </w:t>
      </w:r>
      <w:r>
        <w:rPr>
          <w:rFonts w:ascii="Arial" w:cs="Arial" w:eastAsia="Arial" w:hAnsi="Arial"/>
          <w:sz w:val="19"/>
          <w:szCs w:val="19"/>
          <w:u w:val="single" w:color="auto"/>
          <w:color w:val="auto"/>
        </w:rPr>
        <w:t>Section 3.3(c)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3.3(d)</w:t>
      </w:r>
      <w:r>
        <w:rPr>
          <w:rFonts w:ascii="Arial" w:cs="Arial" w:eastAsia="Arial" w:hAnsi="Arial"/>
          <w:sz w:val="19"/>
          <w:szCs w:val="19"/>
          <w:color w:val="auto"/>
        </w:rPr>
        <w:t xml:space="preserve"> respectively. In the event that a Contribution Event other than a Member Contribution Event occurs following the Investment Period, the Capital Contribution to be made by each Member shall be the applicable Capital Call Amount </w:t>
      </w:r>
      <w:r>
        <w:rPr>
          <w:rFonts w:ascii="Arial" w:cs="Arial" w:eastAsia="Arial" w:hAnsi="Arial"/>
          <w:sz w:val="19"/>
          <w:szCs w:val="19"/>
          <w:i w:val="1"/>
          <w:iCs w:val="1"/>
          <w:color w:val="auto"/>
        </w:rPr>
        <w:t>multiplied</w:t>
      </w:r>
      <w:r>
        <w:rPr>
          <w:rFonts w:ascii="Arial" w:cs="Arial" w:eastAsia="Arial" w:hAnsi="Arial"/>
          <w:sz w:val="19"/>
          <w:szCs w:val="19"/>
          <w:color w:val="auto"/>
        </w:rPr>
        <w:t xml:space="preserve"> by such Member’s Post Investment Period Contribution Percentage.</w:t>
      </w:r>
    </w:p>
    <w:p>
      <w:pPr>
        <w:spacing w:after="0" w:line="162" w:lineRule="exact"/>
        <w:rPr>
          <w:rFonts w:ascii="Arial" w:cs="Arial" w:eastAsia="Arial" w:hAnsi="Arial"/>
          <w:sz w:val="19"/>
          <w:szCs w:val="19"/>
          <w:color w:val="auto"/>
        </w:rPr>
      </w:pPr>
    </w:p>
    <w:p>
      <w:pPr>
        <w:jc w:val="both"/>
        <w:ind w:firstLine="1305"/>
        <w:spacing w:after="0" w:line="307" w:lineRule="auto"/>
        <w:tabs>
          <w:tab w:leader="none" w:pos="1814" w:val="left"/>
        </w:tabs>
        <w:numPr>
          <w:ilvl w:val="1"/>
          <w:numId w:val="222"/>
        </w:numPr>
        <w:rPr>
          <w:rFonts w:ascii="Arial" w:cs="Arial" w:eastAsia="Arial" w:hAnsi="Arial"/>
          <w:sz w:val="19"/>
          <w:szCs w:val="19"/>
          <w:color w:val="auto"/>
        </w:rPr>
      </w:pPr>
      <w:r>
        <w:rPr>
          <w:rFonts w:ascii="Arial" w:cs="Arial" w:eastAsia="Arial" w:hAnsi="Arial"/>
          <w:sz w:val="19"/>
          <w:szCs w:val="19"/>
          <w:color w:val="auto"/>
        </w:rPr>
        <w:t>Notwithstanding anything herein to the contrary, but subject to the Class A Members’ obligation to make further Capital Contributions in connection with a Contribution Event if and as required by this Agreement, (i) in no event shall the Class A Members be obligated to make Capital Contributions to the Company that in the aggregate exceed the Class A Member Capital Contribution Commitment or, if applicable, the Class A Member Capital Contribution Commitment plus any Class A</w:t>
      </w:r>
    </w:p>
    <w:p>
      <w:pPr>
        <w:sectPr>
          <w:pgSz w:w="11900" w:h="16900" w:orient="portrait"/>
          <w:cols w:equalWidth="0" w:num="1">
            <w:col w:w="11420"/>
          </w:cols>
          <w:pgMar w:left="240" w:top="132" w:right="239" w:bottom="0" w:gutter="0" w:footer="0" w:header="0"/>
        </w:sectPr>
      </w:pPr>
    </w:p>
    <w:bookmarkStart w:id="240" w:name="page241"/>
    <w:bookmarkEnd w:id="240"/>
    <w:p>
      <w:pPr>
        <w:jc w:val="both"/>
        <w:spacing w:after="0" w:line="257" w:lineRule="auto"/>
        <w:rPr>
          <w:sz w:val="20"/>
          <w:szCs w:val="20"/>
          <w:color w:val="auto"/>
        </w:rPr>
      </w:pPr>
      <w:r>
        <w:rPr>
          <w:rFonts w:ascii="Arial" w:cs="Arial" w:eastAsia="Arial" w:hAnsi="Arial"/>
          <w:sz w:val="21"/>
          <w:szCs w:val="21"/>
          <w:color w:val="auto"/>
        </w:rPr>
        <w:t xml:space="preserve">Member Capital Contribution Commitment Accordion Amount, or if the credit profile of the tranche of projects intended to be funded by the Capital Contributions is substantially different than the Fund Credit Profile defined in the applicable Fund Addendum (as determined by the Class A Members in their reasonable discretion) and (ii) the obligation of the Class A Members under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with respect to the acquisition of Projects by a Fund Company are subject to receipt by the Class A Members of evidence satisfactory to them that the Fund Investors under any applicable Fund Documents has agreed to make its required capital contribution pursuant to the terms of the Fund Documents. If the Class A Members do not fund any portion of the Capital Contribution requested of them contained in a Capital Contribution Request because such amount exceeds Class A Member Capital Contribution Commitment or, if applicable, the Class A Member Capital Contribution Commitment plus any Class A Member Capital Contribution Commitment Accordion Amount, then, in addition to funding such shortfall amount as a Member Loan pursuant to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below, the Class B Members may fund such shortfall as a Capital Contribution (if more than one Class B Member desires to do so, then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in accordance with their Class B Units), and the Members shall work together in good faith to adjust to the allocations under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and the distributions under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to reflect such increased Capital Contributions made by the Class B Members.</w:t>
      </w:r>
    </w:p>
    <w:p>
      <w:pPr>
        <w:spacing w:after="0" w:line="190" w:lineRule="exact"/>
        <w:rPr>
          <w:sz w:val="20"/>
          <w:szCs w:val="20"/>
          <w:color w:val="auto"/>
        </w:rPr>
      </w:pPr>
    </w:p>
    <w:p>
      <w:pPr>
        <w:jc w:val="both"/>
        <w:ind w:firstLine="1305"/>
        <w:spacing w:after="0" w:line="307" w:lineRule="auto"/>
        <w:tabs>
          <w:tab w:leader="none" w:pos="1728"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If any Member disputes the amount of its Capital Contribution set forth in a Capital Contribution Request, then such Member shall immediately deliver notice to the other Members and the Manager and all Members and the Manager shall, within three (3) Business Days, meet in good faith to resolve any discrepancies causing such dispute and if they are not able to resolve such dispute, then such matter will be handled pursuant to the dispute resolution mechanisms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jc w:val="both"/>
        <w:ind w:firstLine="1305"/>
        <w:spacing w:after="0" w:line="270" w:lineRule="auto"/>
        <w:tabs>
          <w:tab w:leader="none" w:pos="1756" w:val="left"/>
        </w:tabs>
        <w:numPr>
          <w:ilvl w:val="0"/>
          <w:numId w:val="223"/>
        </w:numPr>
        <w:rPr>
          <w:rFonts w:ascii="Arial" w:cs="Arial" w:eastAsia="Arial" w:hAnsi="Arial"/>
          <w:sz w:val="21"/>
          <w:szCs w:val="21"/>
          <w:color w:val="auto"/>
        </w:rPr>
      </w:pPr>
      <w:r>
        <w:rPr>
          <w:rFonts w:ascii="Arial" w:cs="Arial" w:eastAsia="Arial" w:hAnsi="Arial"/>
          <w:sz w:val="21"/>
          <w:szCs w:val="21"/>
          <w:color w:val="auto"/>
        </w:rPr>
        <w:t>The Members acknowledge and agree that the source of the first $12,500,000 of any Class A Member Capital Contribution Commitment Accordion Amount elected by the Class B Member shall be a reallocation of the Class A Member’s capital contribution commitments to NRG DGPV Holdco 1 LLC (“</w:t>
      </w:r>
      <w:r>
        <w:rPr>
          <w:rFonts w:ascii="Arial" w:cs="Arial" w:eastAsia="Arial" w:hAnsi="Arial"/>
          <w:sz w:val="21"/>
          <w:szCs w:val="21"/>
          <w:b w:val="1"/>
          <w:bCs w:val="1"/>
          <w:color w:val="auto"/>
        </w:rPr>
        <w:t>HoldCo 1</w:t>
      </w:r>
      <w:r>
        <w:rPr>
          <w:rFonts w:ascii="Arial" w:cs="Arial" w:eastAsia="Arial" w:hAnsi="Arial"/>
          <w:sz w:val="21"/>
          <w:szCs w:val="21"/>
          <w:color w:val="auto"/>
        </w:rPr>
        <w:t>”), and the Members agree to amend the limited liability agreement of HoldCo 1 as reasonably necessary to accomplish the foregoing.</w:t>
      </w:r>
    </w:p>
    <w:p>
      <w:pPr>
        <w:spacing w:after="0" w:line="163"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3.4</w:t>
      </w:r>
      <w:r>
        <w:rPr>
          <w:sz w:val="20"/>
          <w:szCs w:val="20"/>
          <w:color w:val="auto"/>
        </w:rPr>
        <w:tab/>
      </w:r>
      <w:r>
        <w:rPr>
          <w:rFonts w:ascii="Arial" w:cs="Arial" w:eastAsia="Arial" w:hAnsi="Arial"/>
          <w:sz w:val="19"/>
          <w:szCs w:val="19"/>
          <w:b w:val="1"/>
          <w:bCs w:val="1"/>
          <w:u w:val="single" w:color="auto"/>
          <w:color w:val="auto"/>
        </w:rPr>
        <w:t>Member Loans.</w:t>
      </w:r>
    </w:p>
    <w:p>
      <w:pPr>
        <w:spacing w:after="0" w:line="239" w:lineRule="exact"/>
        <w:rPr>
          <w:sz w:val="20"/>
          <w:szCs w:val="20"/>
          <w:color w:val="auto"/>
        </w:rPr>
      </w:pPr>
    </w:p>
    <w:p>
      <w:pPr>
        <w:jc w:val="both"/>
        <w:ind w:firstLine="1305"/>
        <w:spacing w:after="0" w:line="259" w:lineRule="auto"/>
        <w:tabs>
          <w:tab w:leader="none" w:pos="1743" w:val="left"/>
        </w:tabs>
        <w:numPr>
          <w:ilvl w:val="0"/>
          <w:numId w:val="224"/>
        </w:numPr>
        <w:rPr>
          <w:rFonts w:ascii="Arial" w:cs="Arial" w:eastAsia="Arial" w:hAnsi="Arial"/>
          <w:sz w:val="21"/>
          <w:szCs w:val="21"/>
          <w:color w:val="auto"/>
        </w:rPr>
      </w:pPr>
      <w:r>
        <w:rPr>
          <w:rFonts w:ascii="Arial" w:cs="Arial" w:eastAsia="Arial" w:hAnsi="Arial"/>
          <w:sz w:val="21"/>
          <w:szCs w:val="21"/>
          <w:color w:val="auto"/>
        </w:rPr>
        <w:t>In the event that, from time to time after the Effective Date, additional working capital is needed to enable the Company to cause the Assets of the Company and any Subject Company to be properly operated and maintained (and to pay and perform the costs, expenses, obligations and liabilities of the Company or any Subject Company), but not in connection with a Contribution Event, then, at the discretion of the Manager, the Manager may give notice to the Members thereof (the “</w:t>
      </w:r>
      <w:r>
        <w:rPr>
          <w:rFonts w:ascii="Arial" w:cs="Arial" w:eastAsia="Arial" w:hAnsi="Arial"/>
          <w:sz w:val="21"/>
          <w:szCs w:val="21"/>
          <w:b w:val="1"/>
          <w:bCs w:val="1"/>
          <w:color w:val="auto"/>
        </w:rPr>
        <w:t>Working</w:t>
      </w:r>
      <w:r>
        <w:rPr>
          <w:rFonts w:ascii="Arial" w:cs="Arial" w:eastAsia="Arial" w:hAnsi="Arial"/>
          <w:sz w:val="21"/>
          <w:szCs w:val="21"/>
          <w:color w:val="auto"/>
        </w:rPr>
        <w:t xml:space="preserve"> </w:t>
      </w:r>
      <w:r>
        <w:rPr>
          <w:rFonts w:ascii="Arial" w:cs="Arial" w:eastAsia="Arial" w:hAnsi="Arial"/>
          <w:sz w:val="21"/>
          <w:szCs w:val="21"/>
          <w:b w:val="1"/>
          <w:bCs w:val="1"/>
          <w:color w:val="auto"/>
        </w:rPr>
        <w:t>Capital Notice</w:t>
      </w:r>
      <w:r>
        <w:rPr>
          <w:rFonts w:ascii="Arial" w:cs="Arial" w:eastAsia="Arial" w:hAnsi="Arial"/>
          <w:sz w:val="21"/>
          <w:szCs w:val="21"/>
          <w:color w:val="auto"/>
        </w:rPr>
        <w:t>”), and each Member shall have the right (but not the obligation) to advance all or part of the needed funds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Within ten (10) Business Days following the date of the Working Capital Notice, the participating Members shall give notice to the Manager and the other Members stating their election whether to provide such funding to the Company (the “</w:t>
      </w:r>
      <w:r>
        <w:rPr>
          <w:rFonts w:ascii="Arial" w:cs="Arial" w:eastAsia="Arial" w:hAnsi="Arial"/>
          <w:sz w:val="21"/>
          <w:szCs w:val="21"/>
          <w:b w:val="1"/>
          <w:bCs w:val="1"/>
          <w:color w:val="auto"/>
        </w:rPr>
        <w:t>Funding</w:t>
      </w:r>
      <w:r>
        <w:rPr>
          <w:rFonts w:ascii="Arial" w:cs="Arial" w:eastAsia="Arial" w:hAnsi="Arial"/>
          <w:sz w:val="21"/>
          <w:szCs w:val="21"/>
          <w:color w:val="auto"/>
        </w:rPr>
        <w:t xml:space="preserve"> </w:t>
      </w:r>
      <w:r>
        <w:rPr>
          <w:rFonts w:ascii="Arial" w:cs="Arial" w:eastAsia="Arial" w:hAnsi="Arial"/>
          <w:sz w:val="21"/>
          <w:szCs w:val="21"/>
          <w:b w:val="1"/>
          <w:bCs w:val="1"/>
          <w:color w:val="auto"/>
        </w:rPr>
        <w:t>Notice</w:t>
      </w:r>
      <w:r>
        <w:rPr>
          <w:rFonts w:ascii="Arial" w:cs="Arial" w:eastAsia="Arial" w:hAnsi="Arial"/>
          <w:sz w:val="21"/>
          <w:szCs w:val="21"/>
          <w:color w:val="auto"/>
        </w:rPr>
        <w:t>”). If more than one Member states in the Funding Notice that it elects to provide such funds, then each Member shall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provide an equal amount of funds (or such other amount as the Members decide) to the Company within five (5) Business Days after the date of the Funding Notice. Amounts advanced by any Member pursuant to this </w:t>
      </w:r>
      <w:r>
        <w:rPr>
          <w:rFonts w:ascii="Arial" w:cs="Arial" w:eastAsia="Arial" w:hAnsi="Arial"/>
          <w:sz w:val="21"/>
          <w:szCs w:val="21"/>
          <w:u w:val="single" w:color="auto"/>
          <w:color w:val="auto"/>
        </w:rPr>
        <w:t>Section 3.3(g)</w:t>
      </w:r>
      <w:r>
        <w:rPr>
          <w:rFonts w:ascii="Arial" w:cs="Arial" w:eastAsia="Arial" w:hAnsi="Arial"/>
          <w:sz w:val="21"/>
          <w:szCs w:val="21"/>
          <w:color w:val="auto"/>
        </w:rPr>
        <w:t xml:space="preserve"> shall be considered “</w:t>
      </w:r>
      <w:r>
        <w:rPr>
          <w:rFonts w:ascii="Arial" w:cs="Arial" w:eastAsia="Arial" w:hAnsi="Arial"/>
          <w:sz w:val="21"/>
          <w:szCs w:val="21"/>
          <w:b w:val="1"/>
          <w:bCs w:val="1"/>
          <w:color w:val="auto"/>
        </w:rPr>
        <w:t>Member Loans</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firstLine="1305"/>
        <w:spacing w:after="0" w:line="264" w:lineRule="auto"/>
        <w:tabs>
          <w:tab w:leader="none" w:pos="1769" w:val="left"/>
        </w:tabs>
        <w:numPr>
          <w:ilvl w:val="0"/>
          <w:numId w:val="224"/>
        </w:numPr>
        <w:rPr>
          <w:rFonts w:ascii="Arial" w:cs="Arial" w:eastAsia="Arial" w:hAnsi="Arial"/>
          <w:sz w:val="21"/>
          <w:szCs w:val="21"/>
          <w:color w:val="auto"/>
        </w:rPr>
      </w:pPr>
      <w:r>
        <w:rPr>
          <w:rFonts w:ascii="Arial" w:cs="Arial" w:eastAsia="Arial" w:hAnsi="Arial"/>
          <w:sz w:val="21"/>
          <w:szCs w:val="21"/>
          <w:color w:val="auto"/>
        </w:rPr>
        <w:t xml:space="preserve">Any Member Loan shall be unsecured and shall bear interest at a rate equal to the lesser of (A) the Reference Rate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four percent (4%) or (B) the highest rate of interest that may be charged by a Member in accordance with applicable Law, unless a lower rate of interest is otherwise agreed to by such Member in its sole discretion. Member Loans shall be repaid by the Company out of Available Cash Flow in accordance with the provisions of </w:t>
      </w:r>
      <w:r>
        <w:rPr>
          <w:rFonts w:ascii="Arial" w:cs="Arial" w:eastAsia="Arial" w:hAnsi="Arial"/>
          <w:sz w:val="21"/>
          <w:szCs w:val="21"/>
          <w:u w:val="single" w:color="auto"/>
          <w:color w:val="auto"/>
        </w:rPr>
        <w:t>Section 5.1(c)</w:t>
      </w:r>
      <w:r>
        <w:rPr>
          <w:rFonts w:ascii="Arial" w:cs="Arial" w:eastAsia="Arial" w:hAnsi="Arial"/>
          <w:sz w:val="21"/>
          <w:szCs w:val="21"/>
          <w:color w:val="auto"/>
        </w:rPr>
        <w:t xml:space="preserve">. Interest on each Member Loan pursuant to this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shall accrue and, if not paid in accordance with the immediately preceding sentence of this </w:t>
      </w:r>
      <w:r>
        <w:rPr>
          <w:rFonts w:ascii="Arial" w:cs="Arial" w:eastAsia="Arial" w:hAnsi="Arial"/>
          <w:sz w:val="21"/>
          <w:szCs w:val="21"/>
          <w:u w:val="single" w:color="auto"/>
          <w:color w:val="auto"/>
        </w:rPr>
        <w:t>Section 3.4(b)</w:t>
      </w:r>
      <w:r>
        <w:rPr>
          <w:rFonts w:ascii="Arial" w:cs="Arial" w:eastAsia="Arial" w:hAnsi="Arial"/>
          <w:sz w:val="21"/>
          <w:szCs w:val="21"/>
          <w:color w:val="auto"/>
        </w:rPr>
        <w:t>, be compounded to the principal amount thereof on each Distribution Date.</w:t>
      </w:r>
    </w:p>
    <w:p>
      <w:pPr>
        <w:spacing w:after="0" w:line="16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3.5</w:t>
      </w:r>
      <w:r>
        <w:rPr>
          <w:sz w:val="20"/>
          <w:szCs w:val="20"/>
          <w:color w:val="auto"/>
        </w:rPr>
        <w:tab/>
      </w:r>
      <w:r>
        <w:rPr>
          <w:rFonts w:ascii="Arial" w:cs="Arial" w:eastAsia="Arial" w:hAnsi="Arial"/>
          <w:sz w:val="19"/>
          <w:szCs w:val="19"/>
          <w:b w:val="1"/>
          <w:bCs w:val="1"/>
          <w:u w:val="single" w:color="auto"/>
          <w:color w:val="auto"/>
        </w:rPr>
        <w:t>No Right to Return of Capital Contributions.</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Except as otherwise provided in this Agreement, no Member may require a return of any part of its Capital Contributions or the payment of interest thereon from the Company or from another Member. An unrepaid Capital Contribution is not a liability of the Company or any Member.</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CAPITAL ACCOUNTS; ALLOCATIONS</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4.1</w:t>
      </w:r>
      <w:r>
        <w:rPr>
          <w:sz w:val="20"/>
          <w:szCs w:val="20"/>
          <w:color w:val="auto"/>
        </w:rPr>
        <w:tab/>
      </w:r>
      <w:r>
        <w:rPr>
          <w:rFonts w:ascii="Arial" w:cs="Arial" w:eastAsia="Arial" w:hAnsi="Arial"/>
          <w:sz w:val="19"/>
          <w:szCs w:val="19"/>
          <w:b w:val="1"/>
          <w:bCs w:val="1"/>
          <w:u w:val="single" w:color="auto"/>
          <w:color w:val="auto"/>
        </w:rPr>
        <w:t>Capital Accounts.</w:t>
      </w:r>
    </w:p>
    <w:p>
      <w:pPr>
        <w:spacing w:after="0" w:line="239" w:lineRule="exact"/>
        <w:rPr>
          <w:sz w:val="20"/>
          <w:szCs w:val="20"/>
          <w:color w:val="auto"/>
        </w:rPr>
      </w:pPr>
    </w:p>
    <w:p>
      <w:pPr>
        <w:ind w:firstLine="1305"/>
        <w:spacing w:after="0" w:line="272" w:lineRule="exact"/>
        <w:tabs>
          <w:tab w:leader="none" w:pos="182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Company shall maintain for each Member a separate Capital Account in accordance with the rules of Treasury Regulations Section 1.704</w:t>
      </w:r>
      <w:r>
        <w:rPr>
          <w:rFonts w:ascii="MS PGothic" w:cs="MS PGothic" w:eastAsia="MS PGothic" w:hAnsi="MS PGothic"/>
          <w:sz w:val="22"/>
          <w:szCs w:val="22"/>
          <w:color w:val="auto"/>
        </w:rPr>
        <w:t>‑</w:t>
      </w:r>
      <w:r>
        <w:rPr>
          <w:rFonts w:ascii="Arial" w:cs="Arial" w:eastAsia="Arial" w:hAnsi="Arial"/>
          <w:sz w:val="22"/>
          <w:szCs w:val="22"/>
          <w:color w:val="auto"/>
        </w:rPr>
        <w:t>l(b)(2)(iv).</w:t>
      </w:r>
    </w:p>
    <w:p>
      <w:pPr>
        <w:spacing w:after="0" w:line="198" w:lineRule="exact"/>
        <w:rPr>
          <w:rFonts w:ascii="Arial" w:cs="Arial" w:eastAsia="Arial" w:hAnsi="Arial"/>
          <w:sz w:val="22"/>
          <w:szCs w:val="22"/>
          <w:color w:val="auto"/>
        </w:rPr>
      </w:pPr>
    </w:p>
    <w:p>
      <w:pPr>
        <w:jc w:val="both"/>
        <w:ind w:firstLine="1305"/>
        <w:spacing w:after="0" w:line="262" w:lineRule="exact"/>
        <w:tabs>
          <w:tab w:leader="none" w:pos="1728" w:val="left"/>
        </w:tabs>
        <w:numPr>
          <w:ilvl w:val="0"/>
          <w:numId w:val="225"/>
        </w:numPr>
        <w:rPr>
          <w:rFonts w:ascii="Arial" w:cs="Arial" w:eastAsia="Arial" w:hAnsi="Arial"/>
          <w:sz w:val="19"/>
          <w:szCs w:val="19"/>
          <w:color w:val="auto"/>
        </w:rPr>
      </w:pPr>
      <w:r>
        <w:rPr>
          <w:rFonts w:ascii="Arial" w:cs="Arial" w:eastAsia="Arial" w:hAnsi="Arial"/>
          <w:sz w:val="19"/>
          <w:szCs w:val="19"/>
          <w:color w:val="auto"/>
        </w:rPr>
        <w:t>A Member’s Capital Account will be increased by (i) such Member’s Capital Contributions, (ii) the income and gain the Member is allocated by the Company, including any income and gain that is exempted from tax and including any income and gain described in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1(b)(2)(iv)(g), but excluding tax items of income and gain described in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1(b)(4)(i), and (iii) an amount equal to an allocation of upward basis adjustment to such Member as a result of a Recapture of ITCs as described in Treasury Regulations Section 1.704-1(b)(2)(iv)(j). A Member’s Capital Account will be decreased by (i) the amount of money distributed to the Member by the Company, (ii) the net value of any property</w:t>
      </w:r>
    </w:p>
    <w:p>
      <w:pPr>
        <w:sectPr>
          <w:pgSz w:w="11900" w:h="16838" w:orient="portrait"/>
          <w:cols w:equalWidth="0" w:num="1">
            <w:col w:w="11420"/>
          </w:cols>
          <w:pgMar w:left="240" w:top="132" w:right="239" w:bottom="0" w:gutter="0" w:footer="0" w:header="0"/>
        </w:sectPr>
      </w:pPr>
    </w:p>
    <w:bookmarkStart w:id="241" w:name="page242"/>
    <w:bookmarkEnd w:id="241"/>
    <w:p>
      <w:pPr>
        <w:jc w:val="both"/>
        <w:spacing w:after="0" w:line="260" w:lineRule="exact"/>
        <w:rPr>
          <w:sz w:val="20"/>
          <w:szCs w:val="20"/>
          <w:color w:val="auto"/>
        </w:rPr>
      </w:pPr>
      <w:r>
        <w:rPr>
          <w:rFonts w:ascii="Arial" w:cs="Arial" w:eastAsia="Arial" w:hAnsi="Arial"/>
          <w:sz w:val="19"/>
          <w:szCs w:val="19"/>
          <w:color w:val="auto"/>
        </w:rPr>
        <w:t>other than money distributed to the Member by the Company (</w:t>
      </w:r>
      <w:r>
        <w:rPr>
          <w:rFonts w:ascii="Arial" w:cs="Arial" w:eastAsia="Arial" w:hAnsi="Arial"/>
          <w:sz w:val="19"/>
          <w:szCs w:val="19"/>
          <w:i w:val="1"/>
          <w:iCs w:val="1"/>
          <w:color w:val="auto"/>
        </w:rPr>
        <w:t>i.e.</w:t>
      </w:r>
      <w:r>
        <w:rPr>
          <w:rFonts w:ascii="Arial" w:cs="Arial" w:eastAsia="Arial" w:hAnsi="Arial"/>
          <w:sz w:val="19"/>
          <w:szCs w:val="19"/>
          <w:color w:val="auto"/>
        </w:rPr>
        <w:t>, the fair market value of the property net of any liabilities secured by the property that the Member is considered to assume or take subject to under Section 752 of the Code), (iii) any expenditures of the Company described in Section 705(a)(2)(B) of the Code (</w:t>
      </w:r>
      <w:r>
        <w:rPr>
          <w:rFonts w:ascii="Arial" w:cs="Arial" w:eastAsia="Arial" w:hAnsi="Arial"/>
          <w:sz w:val="19"/>
          <w:szCs w:val="19"/>
          <w:i w:val="1"/>
          <w:iCs w:val="1"/>
          <w:color w:val="auto"/>
        </w:rPr>
        <w:t>i.e.</w:t>
      </w:r>
      <w:r>
        <w:rPr>
          <w:rFonts w:ascii="Arial" w:cs="Arial" w:eastAsia="Arial" w:hAnsi="Arial"/>
          <w:sz w:val="19"/>
          <w:szCs w:val="19"/>
          <w:color w:val="auto"/>
        </w:rPr>
        <w:t>, that cannot be capitalized or deducted in computing taxable income) that are allocated to the Member, (iv) losses and deductions that are allocated to the Member, but excluding tax items of loss or deduction described in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1(b)(4)(i), and (v) an amount equal to an allocation of downward basis adjustment to such Member as described in Treasury Regulations Section 1.704-1(b)(2)(iv)(j).</w:t>
      </w:r>
    </w:p>
    <w:p>
      <w:pPr>
        <w:spacing w:after="0" w:line="199" w:lineRule="exact"/>
        <w:rPr>
          <w:sz w:val="20"/>
          <w:szCs w:val="20"/>
          <w:color w:val="auto"/>
        </w:rPr>
      </w:pPr>
    </w:p>
    <w:p>
      <w:pPr>
        <w:ind w:firstLine="1305"/>
        <w:spacing w:after="0" w:line="276" w:lineRule="auto"/>
        <w:tabs>
          <w:tab w:leader="none" w:pos="173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In the event Units are Transferred in accordance with the terms of this Agreement, the Transferee shall succeed to the Capital Account of the Transferring Member to the extent it relates to the Units so Transferred.</w:t>
      </w:r>
    </w:p>
    <w:p>
      <w:pPr>
        <w:spacing w:after="0" w:line="160" w:lineRule="exact"/>
        <w:rPr>
          <w:rFonts w:ascii="Arial" w:cs="Arial" w:eastAsia="Arial" w:hAnsi="Arial"/>
          <w:sz w:val="22"/>
          <w:szCs w:val="22"/>
          <w:color w:val="auto"/>
        </w:rPr>
      </w:pPr>
    </w:p>
    <w:p>
      <w:pPr>
        <w:ind w:right="20" w:firstLine="1305"/>
        <w:spacing w:after="0" w:line="276" w:lineRule="auto"/>
        <w:tabs>
          <w:tab w:leader="none" w:pos="1728" w:val="left"/>
        </w:tabs>
        <w:numPr>
          <w:ilvl w:val="0"/>
          <w:numId w:val="226"/>
        </w:numPr>
        <w:rPr>
          <w:rFonts w:ascii="Arial" w:cs="Arial" w:eastAsia="Arial" w:hAnsi="Arial"/>
          <w:sz w:val="22"/>
          <w:szCs w:val="22"/>
          <w:color w:val="auto"/>
        </w:rPr>
      </w:pPr>
      <w:r>
        <w:rPr>
          <w:rFonts w:ascii="Arial" w:cs="Arial" w:eastAsia="Arial" w:hAnsi="Arial"/>
          <w:sz w:val="22"/>
          <w:szCs w:val="22"/>
          <w:color w:val="auto"/>
        </w:rPr>
        <w:t xml:space="preserve">In determining the amount of any liability for purposes of </w:t>
      </w:r>
      <w:r>
        <w:rPr>
          <w:rFonts w:ascii="Arial" w:cs="Arial" w:eastAsia="Arial" w:hAnsi="Arial"/>
          <w:sz w:val="22"/>
          <w:szCs w:val="22"/>
          <w:u w:val="single" w:color="auto"/>
          <w:color w:val="auto"/>
        </w:rPr>
        <w:t>Section 4.2(b)</w:t>
      </w:r>
      <w:r>
        <w:rPr>
          <w:rFonts w:ascii="Arial" w:cs="Arial" w:eastAsia="Arial" w:hAnsi="Arial"/>
          <w:sz w:val="22"/>
          <w:szCs w:val="22"/>
          <w:color w:val="auto"/>
        </w:rPr>
        <w:t xml:space="preserve"> there shall be taken into account Code Section 752(c) and any other applicable provisions of the Code and Treasury Regulations.</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 xml:space="preserve">The Members’ Initial Capital Contributions and initial Capital Accounts are set forth on </w:t>
      </w:r>
      <w:r>
        <w:rPr>
          <w:rFonts w:ascii="Arial" w:cs="Arial" w:eastAsia="Arial" w:hAnsi="Arial"/>
          <w:sz w:val="22"/>
          <w:szCs w:val="22"/>
          <w:u w:val="single" w:color="auto"/>
          <w:color w:val="auto"/>
        </w:rPr>
        <w:t>Annex 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7" w:lineRule="exact"/>
        <w:tabs>
          <w:tab w:leader="none" w:pos="1692" w:val="left"/>
        </w:tabs>
        <w:numPr>
          <w:ilvl w:val="0"/>
          <w:numId w:val="226"/>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and the other provisions of this Agreement relating to the maintenance of Capital Accounts are intended to comply with Treasury Regulations Section 1.704</w:t>
      </w:r>
      <w:r>
        <w:rPr>
          <w:rFonts w:ascii="MS PGothic" w:cs="MS PGothic" w:eastAsia="MS PGothic" w:hAnsi="MS PGothic"/>
          <w:sz w:val="22"/>
          <w:szCs w:val="22"/>
          <w:color w:val="auto"/>
        </w:rPr>
        <w:t>‑</w:t>
      </w:r>
      <w:r>
        <w:rPr>
          <w:rFonts w:ascii="Arial" w:cs="Arial" w:eastAsia="Arial" w:hAnsi="Arial"/>
          <w:sz w:val="22"/>
          <w:szCs w:val="22"/>
          <w:color w:val="auto"/>
        </w:rPr>
        <w:t>1(b), and shall be interpreted and applied in a manner consistent with such Treasury Regulations.</w:t>
      </w:r>
    </w:p>
    <w:p>
      <w:pPr>
        <w:spacing w:after="0" w:line="193"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4.2</w:t>
      </w:r>
      <w:r>
        <w:rPr>
          <w:sz w:val="20"/>
          <w:szCs w:val="20"/>
          <w:color w:val="auto"/>
        </w:rPr>
        <w:tab/>
      </w:r>
      <w:r>
        <w:rPr>
          <w:rFonts w:ascii="Arial" w:cs="Arial" w:eastAsia="Arial" w:hAnsi="Arial"/>
          <w:sz w:val="19"/>
          <w:szCs w:val="19"/>
          <w:b w:val="1"/>
          <w:bCs w:val="1"/>
          <w:u w:val="single" w:color="auto"/>
          <w:color w:val="auto"/>
        </w:rPr>
        <w:t>Allocations.</w:t>
      </w:r>
    </w:p>
    <w:p>
      <w:pPr>
        <w:spacing w:after="0" w:line="239" w:lineRule="exact"/>
        <w:rPr>
          <w:sz w:val="20"/>
          <w:szCs w:val="20"/>
          <w:color w:val="auto"/>
        </w:rPr>
      </w:pPr>
    </w:p>
    <w:p>
      <w:pPr>
        <w:jc w:val="both"/>
        <w:ind w:firstLine="1305"/>
        <w:spacing w:after="0" w:line="307" w:lineRule="auto"/>
        <w:tabs>
          <w:tab w:leader="none" w:pos="1811"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General Allocations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12.2(a)(iv)</w:t>
      </w:r>
      <w:r>
        <w:rPr>
          <w:rFonts w:ascii="Arial" w:cs="Arial" w:eastAsia="Arial" w:hAnsi="Arial"/>
          <w:sz w:val="19"/>
          <w:szCs w:val="19"/>
          <w:color w:val="auto"/>
        </w:rPr>
        <w:t xml:space="preserve">, all Company Items attributable to each Project, which, for the avoidance of doubt, shall be separately determined for each Project, for any Taxable Year or relevant portion thereof shall be allocated among the Members, ninety-nine percent (99%) to the Class A Members,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their Class A Units, and one percent (1%) to the Class B Members,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their Class B Units.</w:t>
      </w:r>
    </w:p>
    <w:p>
      <w:pPr>
        <w:spacing w:after="0" w:line="138" w:lineRule="exact"/>
        <w:rPr>
          <w:rFonts w:ascii="Arial" w:cs="Arial" w:eastAsia="Arial" w:hAnsi="Arial"/>
          <w:sz w:val="19"/>
          <w:szCs w:val="19"/>
          <w:color w:val="auto"/>
        </w:rPr>
      </w:pPr>
    </w:p>
    <w:p>
      <w:pPr>
        <w:jc w:val="both"/>
        <w:ind w:firstLine="1305"/>
        <w:spacing w:after="0" w:line="260" w:lineRule="auto"/>
        <w:tabs>
          <w:tab w:leader="none" w:pos="1769"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Items in Connection with Liquidation</w:t>
      </w:r>
      <w:r>
        <w:rPr>
          <w:rFonts w:ascii="Arial" w:cs="Arial" w:eastAsia="Arial" w:hAnsi="Arial"/>
          <w:sz w:val="22"/>
          <w:szCs w:val="22"/>
          <w:color w:val="auto"/>
        </w:rPr>
        <w:t xml:space="preserve">. Company Items for the Taxable Year in which there is a disposition or deemed disposition of all or substantially all of the Assets of the Company pursuant to </w:t>
      </w:r>
      <w:r>
        <w:rPr>
          <w:rFonts w:ascii="Arial" w:cs="Arial" w:eastAsia="Arial" w:hAnsi="Arial"/>
          <w:sz w:val="22"/>
          <w:szCs w:val="22"/>
          <w:u w:val="single" w:color="auto"/>
          <w:color w:val="auto"/>
        </w:rPr>
        <w:t>Section 12.2(a)(iii)</w:t>
      </w:r>
      <w:r>
        <w:rPr>
          <w:rFonts w:ascii="Arial" w:cs="Arial" w:eastAsia="Arial" w:hAnsi="Arial"/>
          <w:sz w:val="22"/>
          <w:szCs w:val="22"/>
          <w:color w:val="auto"/>
        </w:rPr>
        <w:t xml:space="preserve"> shall be allocated pursuant to </w:t>
      </w:r>
      <w:r>
        <w:rPr>
          <w:rFonts w:ascii="Arial" w:cs="Arial" w:eastAsia="Arial" w:hAnsi="Arial"/>
          <w:sz w:val="22"/>
          <w:szCs w:val="22"/>
          <w:u w:val="single" w:color="auto"/>
          <w:color w:val="auto"/>
        </w:rPr>
        <w:t>Section 12.2(a)(iv)</w:t>
      </w:r>
      <w:r>
        <w:rPr>
          <w:rFonts w:ascii="Arial" w:cs="Arial" w:eastAsia="Arial" w:hAnsi="Arial"/>
          <w:sz w:val="22"/>
          <w:szCs w:val="22"/>
          <w:color w:val="auto"/>
        </w:rPr>
        <w:t>.</w:t>
      </w:r>
    </w:p>
    <w:p>
      <w:pPr>
        <w:spacing w:after="0" w:line="171"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4.3</w:t>
      </w:r>
      <w:r>
        <w:rPr>
          <w:sz w:val="20"/>
          <w:szCs w:val="20"/>
          <w:color w:val="auto"/>
        </w:rPr>
        <w:tab/>
      </w:r>
      <w:r>
        <w:rPr>
          <w:rFonts w:ascii="Arial" w:cs="Arial" w:eastAsia="Arial" w:hAnsi="Arial"/>
          <w:sz w:val="19"/>
          <w:szCs w:val="19"/>
          <w:b w:val="1"/>
          <w:bCs w:val="1"/>
          <w:u w:val="single" w:color="auto"/>
          <w:color w:val="auto"/>
        </w:rPr>
        <w:t>Adjustments.</w:t>
      </w:r>
    </w:p>
    <w:p>
      <w:pPr>
        <w:spacing w:after="0" w:line="239" w:lineRule="exact"/>
        <w:rPr>
          <w:sz w:val="20"/>
          <w:szCs w:val="20"/>
          <w:color w:val="auto"/>
        </w:rPr>
      </w:pPr>
    </w:p>
    <w:p>
      <w:pPr>
        <w:ind w:firstLine="1297"/>
        <w:spacing w:after="0" w:line="265" w:lineRule="exact"/>
        <w:rPr>
          <w:sz w:val="20"/>
          <w:szCs w:val="20"/>
          <w:color w:val="auto"/>
        </w:rPr>
      </w:pPr>
      <w:r>
        <w:rPr>
          <w:rFonts w:ascii="Arial" w:cs="Arial" w:eastAsia="Arial" w:hAnsi="Arial"/>
          <w:sz w:val="22"/>
          <w:szCs w:val="22"/>
          <w:color w:val="auto"/>
        </w:rPr>
        <w:t xml:space="preserve">The following adjustments shall be made to the allocations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in the following order of priority in order to comply with Treasury Regulations Sections 1.704</w:t>
      </w:r>
      <w:r>
        <w:rPr>
          <w:rFonts w:ascii="MS PGothic" w:cs="MS PGothic" w:eastAsia="MS PGothic" w:hAnsi="MS PGothic"/>
          <w:sz w:val="22"/>
          <w:szCs w:val="22"/>
          <w:color w:val="auto"/>
        </w:rPr>
        <w:t>‑</w:t>
      </w:r>
      <w:r>
        <w:rPr>
          <w:rFonts w:ascii="Arial" w:cs="Arial" w:eastAsia="Arial" w:hAnsi="Arial"/>
          <w:sz w:val="22"/>
          <w:szCs w:val="22"/>
          <w:color w:val="auto"/>
        </w:rPr>
        <w:t>1(b) and 1.704</w:t>
      </w:r>
      <w:r>
        <w:rPr>
          <w:rFonts w:ascii="MS PGothic" w:cs="MS PGothic" w:eastAsia="MS PGothic" w:hAnsi="MS PGothic"/>
          <w:sz w:val="22"/>
          <w:szCs w:val="22"/>
          <w:color w:val="auto"/>
        </w:rPr>
        <w:t>‑</w:t>
      </w:r>
      <w:r>
        <w:rPr>
          <w:rFonts w:ascii="Arial" w:cs="Arial" w:eastAsia="Arial" w:hAnsi="Arial"/>
          <w:sz w:val="22"/>
          <w:szCs w:val="22"/>
          <w:color w:val="auto"/>
        </w:rPr>
        <w:t>2:</w:t>
      </w:r>
    </w:p>
    <w:p>
      <w:pPr>
        <w:spacing w:after="0" w:line="200" w:lineRule="exact"/>
        <w:rPr>
          <w:sz w:val="20"/>
          <w:szCs w:val="20"/>
          <w:color w:val="auto"/>
        </w:rPr>
      </w:pPr>
    </w:p>
    <w:p>
      <w:pPr>
        <w:jc w:val="both"/>
        <w:ind w:firstLine="1305"/>
        <w:spacing w:after="0" w:line="260" w:lineRule="exact"/>
        <w:tabs>
          <w:tab w:leader="none" w:pos="1851"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Company Minimum Gain Chargeback</w:t>
      </w:r>
      <w:r>
        <w:rPr>
          <w:rFonts w:ascii="Arial" w:cs="Arial" w:eastAsia="Arial" w:hAnsi="Arial"/>
          <w:sz w:val="21"/>
          <w:szCs w:val="21"/>
          <w:color w:val="auto"/>
        </w:rPr>
        <w:t xml:space="preserve">. Notwithstanding the other provisions of this </w:t>
      </w:r>
      <w:r>
        <w:rPr>
          <w:rFonts w:ascii="Arial" w:cs="Arial" w:eastAsia="Arial" w:hAnsi="Arial"/>
          <w:sz w:val="21"/>
          <w:szCs w:val="21"/>
          <w:u w:val="single" w:color="auto"/>
          <w:color w:val="auto"/>
        </w:rPr>
        <w:t>Article IV</w:t>
      </w:r>
      <w:r>
        <w:rPr>
          <w:rFonts w:ascii="Arial" w:cs="Arial" w:eastAsia="Arial" w:hAnsi="Arial"/>
          <w:sz w:val="21"/>
          <w:szCs w:val="21"/>
          <w:color w:val="auto"/>
        </w:rPr>
        <w:t>, except as provided in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2(f), if there is a net decrease in Company Minimum Gain during any taxable year of the Company, each Member shall be allocated Company Items of income and gain for such taxable year (and, if necessary subsequent taxable years) in an amount equal to such Member’s share of the net decrease in Company Minimum Gain, determined in accordance with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2(g). Allocations pursuant to the previous sentence shall be made in proportion to the respective amounts required to be allocated to each Member pursuant thereto. The Company Items to be so allocated shall be determined in accordance with Treasury Regulations Sections 1.704</w:t>
      </w:r>
      <w:r>
        <w:rPr>
          <w:rFonts w:ascii="MS PGothic" w:cs="MS PGothic" w:eastAsia="MS PGothic" w:hAnsi="MS PGothic"/>
          <w:sz w:val="21"/>
          <w:szCs w:val="21"/>
          <w:color w:val="auto"/>
        </w:rPr>
        <w:t>‑</w:t>
      </w:r>
      <w:r>
        <w:rPr>
          <w:rFonts w:ascii="Arial" w:cs="Arial" w:eastAsia="Arial" w:hAnsi="Arial"/>
          <w:sz w:val="21"/>
          <w:szCs w:val="21"/>
          <w:color w:val="auto"/>
        </w:rPr>
        <w:t>2(f)(6) and 1.704</w:t>
      </w:r>
      <w:r>
        <w:rPr>
          <w:rFonts w:ascii="MS PGothic" w:cs="MS PGothic" w:eastAsia="MS PGothic" w:hAnsi="MS PGothic"/>
          <w:sz w:val="21"/>
          <w:szCs w:val="21"/>
          <w:color w:val="auto"/>
        </w:rPr>
        <w:t>‑</w:t>
      </w:r>
      <w:r>
        <w:rPr>
          <w:rFonts w:ascii="Arial" w:cs="Arial" w:eastAsia="Arial" w:hAnsi="Arial"/>
          <w:sz w:val="21"/>
          <w:szCs w:val="21"/>
          <w:color w:val="auto"/>
        </w:rPr>
        <w:t xml:space="preserve">2(j)(2). This </w:t>
      </w:r>
      <w:r>
        <w:rPr>
          <w:rFonts w:ascii="Arial" w:cs="Arial" w:eastAsia="Arial" w:hAnsi="Arial"/>
          <w:sz w:val="21"/>
          <w:szCs w:val="21"/>
          <w:u w:val="single" w:color="auto"/>
          <w:color w:val="auto"/>
        </w:rPr>
        <w:t>Section 4.3(a)</w:t>
      </w:r>
      <w:r>
        <w:rPr>
          <w:rFonts w:ascii="Arial" w:cs="Arial" w:eastAsia="Arial" w:hAnsi="Arial"/>
          <w:sz w:val="21"/>
          <w:szCs w:val="21"/>
          <w:color w:val="auto"/>
        </w:rPr>
        <w:t xml:space="preserve"> is intended to comply with the minimum gain chargeback requirement in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2(f) and shall be interpreted consistently therewith.</w:t>
      </w:r>
    </w:p>
    <w:p>
      <w:pPr>
        <w:spacing w:after="0" w:line="202" w:lineRule="exact"/>
        <w:rPr>
          <w:rFonts w:ascii="Arial" w:cs="Arial" w:eastAsia="Arial" w:hAnsi="Arial"/>
          <w:sz w:val="21"/>
          <w:szCs w:val="21"/>
          <w:color w:val="auto"/>
        </w:rPr>
      </w:pPr>
    </w:p>
    <w:p>
      <w:pPr>
        <w:jc w:val="both"/>
        <w:ind w:firstLine="1305"/>
        <w:spacing w:after="0" w:line="260" w:lineRule="exact"/>
        <w:tabs>
          <w:tab w:leader="none" w:pos="1972" w:val="left"/>
        </w:tabs>
        <w:numPr>
          <w:ilvl w:val="0"/>
          <w:numId w:val="228"/>
        </w:numPr>
        <w:rPr>
          <w:rFonts w:ascii="Arial" w:cs="Arial" w:eastAsia="Arial" w:hAnsi="Arial"/>
          <w:sz w:val="19"/>
          <w:szCs w:val="19"/>
          <w:color w:val="auto"/>
        </w:rPr>
      </w:pPr>
      <w:r>
        <w:rPr>
          <w:rFonts w:ascii="Arial" w:cs="Arial" w:eastAsia="Arial" w:hAnsi="Arial"/>
          <w:sz w:val="19"/>
          <w:szCs w:val="19"/>
          <w:u w:val="single" w:color="auto"/>
          <w:color w:val="auto"/>
        </w:rPr>
        <w:t>Chargeback of Minimum Gain Attributable to Member Nonrecourse Debt</w:t>
      </w:r>
      <w:r>
        <w:rPr>
          <w:rFonts w:ascii="Arial" w:cs="Arial" w:eastAsia="Arial" w:hAnsi="Arial"/>
          <w:sz w:val="19"/>
          <w:szCs w:val="19"/>
          <w:color w:val="auto"/>
        </w:rPr>
        <w:t xml:space="preserve">. Notwithstanding the other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except as provided in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2(i)(4), if there is a net decrease in Member Nonrecourse Debt Minimum Gain attributable to a Member Nonrecourse Debt during any taxable year of the Company, each Member who has a share of the Member Nonrecourse Debt Minimum Gain attributable to such Member Nonrecourse Debt, determined in accordance with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2(i)(5), shall be allocated Company Items of income and gain for such taxable year (and, if necessary, subsequent taxable year) in an amount equal to such Member’s share of the net decrease in Member Nonrecourse Debt, determined in accordance with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2(i)(4). Allocations pursuant to the previous sentence shall be made in proportion to the respective amounts required to be allocated to each Member pursuant thereto. The Company Items to be so allocated shall be determined in accordance with Treasury Regulations Sections 1.704</w:t>
      </w:r>
      <w:r>
        <w:rPr>
          <w:rFonts w:ascii="MS PGothic" w:cs="MS PGothic" w:eastAsia="MS PGothic" w:hAnsi="MS PGothic"/>
          <w:sz w:val="19"/>
          <w:szCs w:val="19"/>
          <w:color w:val="auto"/>
        </w:rPr>
        <w:t>‑</w:t>
      </w:r>
      <w:r>
        <w:rPr>
          <w:rFonts w:ascii="Arial" w:cs="Arial" w:eastAsia="Arial" w:hAnsi="Arial"/>
          <w:sz w:val="19"/>
          <w:szCs w:val="19"/>
          <w:color w:val="auto"/>
        </w:rPr>
        <w:t>2(i)(4) and 1.704</w:t>
      </w:r>
      <w:r>
        <w:rPr>
          <w:rFonts w:ascii="MS PGothic" w:cs="MS PGothic" w:eastAsia="MS PGothic" w:hAnsi="MS PGothic"/>
          <w:sz w:val="19"/>
          <w:szCs w:val="19"/>
          <w:color w:val="auto"/>
        </w:rPr>
        <w:t>‑</w:t>
      </w:r>
      <w:r>
        <w:rPr>
          <w:rFonts w:ascii="Arial" w:cs="Arial" w:eastAsia="Arial" w:hAnsi="Arial"/>
          <w:sz w:val="19"/>
          <w:szCs w:val="19"/>
          <w:color w:val="auto"/>
        </w:rPr>
        <w:t xml:space="preserve">2(j)(2). This </w:t>
      </w:r>
      <w:r>
        <w:rPr>
          <w:rFonts w:ascii="Arial" w:cs="Arial" w:eastAsia="Arial" w:hAnsi="Arial"/>
          <w:sz w:val="19"/>
          <w:szCs w:val="19"/>
          <w:u w:val="single" w:color="auto"/>
          <w:color w:val="auto"/>
        </w:rPr>
        <w:t>Section 4.3(b)</w:t>
      </w:r>
      <w:r>
        <w:rPr>
          <w:rFonts w:ascii="Arial" w:cs="Arial" w:eastAsia="Arial" w:hAnsi="Arial"/>
          <w:sz w:val="19"/>
          <w:szCs w:val="19"/>
          <w:color w:val="auto"/>
        </w:rPr>
        <w:t xml:space="preserve"> is intended to comply with the partner nonrecourse debt minimum gain chargeback requirement in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2(i)(4) and shall be interpreted consistently therewith.</w:t>
      </w:r>
    </w:p>
    <w:p>
      <w:pPr>
        <w:spacing w:after="0" w:line="198" w:lineRule="exact"/>
        <w:rPr>
          <w:rFonts w:ascii="Arial" w:cs="Arial" w:eastAsia="Arial" w:hAnsi="Arial"/>
          <w:sz w:val="19"/>
          <w:szCs w:val="19"/>
          <w:color w:val="auto"/>
        </w:rPr>
      </w:pPr>
    </w:p>
    <w:p>
      <w:pPr>
        <w:jc w:val="both"/>
        <w:ind w:firstLine="1305"/>
        <w:spacing w:after="0" w:line="262" w:lineRule="auto"/>
        <w:tabs>
          <w:tab w:leader="none" w:pos="1784"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Limitation on Losses and Deductions</w:t>
      </w:r>
      <w:r>
        <w:rPr>
          <w:rFonts w:ascii="Arial" w:cs="Arial" w:eastAsia="Arial" w:hAnsi="Arial"/>
          <w:sz w:val="21"/>
          <w:szCs w:val="21"/>
          <w:color w:val="auto"/>
        </w:rPr>
        <w:t xml:space="preserve">. No items of loss or deduction may be allocated to any Member to the extent the allocation would result in or increase an Adjusted Capital Account Deficit at the end of any Taxable Year. In the event some but not all of the Members would have Adjusted Capital Account Deficits as a consequence of an allocation of items of loss or deduction, this limitation shall be applied on a Member-by-Member basis and items of loss or deduction not allocable to any Member as a result of such limitation shall be allocated to the other Members in the manner otherwise required pursuant to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12.2(a)(iv)</w:t>
      </w:r>
      <w:r>
        <w:rPr>
          <w:rFonts w:ascii="Arial" w:cs="Arial" w:eastAsia="Arial" w:hAnsi="Arial"/>
          <w:sz w:val="21"/>
          <w:szCs w:val="21"/>
          <w:color w:val="auto"/>
        </w:rPr>
        <w:t xml:space="preserve"> to the extent such other Members may be allocated such items of loss or deduction without producing an Adjusted Capital Account Deficit.</w:t>
      </w:r>
    </w:p>
    <w:p>
      <w:pPr>
        <w:sectPr>
          <w:pgSz w:w="11900" w:h="16838" w:orient="portrait"/>
          <w:cols w:equalWidth="0" w:num="1">
            <w:col w:w="11420"/>
          </w:cols>
          <w:pgMar w:left="240" w:top="131" w:right="239" w:bottom="22" w:gutter="0" w:footer="0" w:header="0"/>
        </w:sectPr>
      </w:pPr>
    </w:p>
    <w:bookmarkStart w:id="242" w:name="page243"/>
    <w:bookmarkEnd w:id="242"/>
    <w:p>
      <w:pPr>
        <w:jc w:val="both"/>
        <w:ind w:left="-1200" w:firstLine="1305"/>
        <w:spacing w:after="0" w:line="262" w:lineRule="exact"/>
        <w:tabs>
          <w:tab w:leader="none" w:pos="664"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Qualified Income Offset</w:t>
      </w:r>
      <w:r>
        <w:rPr>
          <w:rFonts w:ascii="Arial" w:cs="Arial" w:eastAsia="Arial" w:hAnsi="Arial"/>
          <w:sz w:val="19"/>
          <w:szCs w:val="19"/>
          <w:color w:val="auto"/>
        </w:rPr>
        <w:t>. In the event any Member unexpectedly receives any adjustments, allocations or distributions described in Treasury Regulations Sections 1.704</w:t>
      </w:r>
      <w:r>
        <w:rPr>
          <w:rFonts w:ascii="MS PGothic" w:cs="MS PGothic" w:eastAsia="MS PGothic" w:hAnsi="MS PGothic"/>
          <w:sz w:val="19"/>
          <w:szCs w:val="19"/>
          <w:color w:val="auto"/>
        </w:rPr>
        <w:t>‑</w:t>
      </w:r>
      <w:r>
        <w:rPr>
          <w:rFonts w:ascii="Arial" w:cs="Arial" w:eastAsia="Arial" w:hAnsi="Arial"/>
          <w:sz w:val="19"/>
          <w:szCs w:val="19"/>
          <w:color w:val="auto"/>
        </w:rPr>
        <w:t xml:space="preserve">1(b)(2)(ii)(d)(4), (5) or (6), Company Items of income and gain shall be allocated to such Member in an amount and manner sufficient to eliminate as quickly as possible, to the extent required by the Treasury Regulations, any Adjusted Capital Account Deficit;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 allocation pursuant to this </w:t>
      </w:r>
      <w:r>
        <w:rPr>
          <w:rFonts w:ascii="Arial" w:cs="Arial" w:eastAsia="Arial" w:hAnsi="Arial"/>
          <w:sz w:val="19"/>
          <w:szCs w:val="19"/>
          <w:u w:val="single" w:color="auto"/>
          <w:color w:val="auto"/>
        </w:rPr>
        <w:t>Section 4.3(d)</w:t>
      </w:r>
      <w:r>
        <w:rPr>
          <w:rFonts w:ascii="Arial" w:cs="Arial" w:eastAsia="Arial" w:hAnsi="Arial"/>
          <w:sz w:val="19"/>
          <w:szCs w:val="19"/>
          <w:color w:val="auto"/>
        </w:rPr>
        <w:t xml:space="preserve"> shall be made only if and to the extent that such Member would have such a deficit Capital Account after all other adjustments provided for in this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have been tentatively made as if this </w:t>
      </w:r>
      <w:r>
        <w:rPr>
          <w:rFonts w:ascii="Arial" w:cs="Arial" w:eastAsia="Arial" w:hAnsi="Arial"/>
          <w:sz w:val="19"/>
          <w:szCs w:val="19"/>
          <w:u w:val="single" w:color="auto"/>
          <w:color w:val="auto"/>
        </w:rPr>
        <w:t>Section 4.3(d)</w:t>
      </w:r>
      <w:r>
        <w:rPr>
          <w:rFonts w:ascii="Arial" w:cs="Arial" w:eastAsia="Arial" w:hAnsi="Arial"/>
          <w:sz w:val="19"/>
          <w:szCs w:val="19"/>
          <w:color w:val="auto"/>
        </w:rPr>
        <w:t xml:space="preserve"> were not in this Agreement.</w:t>
      </w:r>
    </w:p>
    <w:p>
      <w:pPr>
        <w:spacing w:after="0" w:line="201" w:lineRule="exact"/>
        <w:rPr>
          <w:rFonts w:ascii="Arial" w:cs="Arial" w:eastAsia="Arial" w:hAnsi="Arial"/>
          <w:sz w:val="19"/>
          <w:szCs w:val="19"/>
          <w:color w:val="auto"/>
        </w:rPr>
      </w:pPr>
    </w:p>
    <w:p>
      <w:pPr>
        <w:jc w:val="both"/>
        <w:ind w:left="-1200" w:firstLine="1305"/>
        <w:spacing w:after="0" w:line="262" w:lineRule="exact"/>
        <w:tabs>
          <w:tab w:leader="none" w:pos="516"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Gross Income Allocation</w:t>
      </w:r>
      <w:r>
        <w:rPr>
          <w:rFonts w:ascii="Arial" w:cs="Arial" w:eastAsia="Arial" w:hAnsi="Arial"/>
          <w:sz w:val="19"/>
          <w:szCs w:val="19"/>
          <w:color w:val="auto"/>
        </w:rPr>
        <w:t>. In the event any Member has a deficit Capital Account at the end of any Taxable Year that is in excess of the amount such Member is deemed obligated to restore pursuant to the penultimate sentences of Treasury Regulations Sections 1.704</w:t>
      </w:r>
      <w:r>
        <w:rPr>
          <w:rFonts w:ascii="MS PGothic" w:cs="MS PGothic" w:eastAsia="MS PGothic" w:hAnsi="MS PGothic"/>
          <w:sz w:val="19"/>
          <w:szCs w:val="19"/>
          <w:color w:val="auto"/>
        </w:rPr>
        <w:t>‑</w:t>
      </w:r>
      <w:r>
        <w:rPr>
          <w:rFonts w:ascii="Arial" w:cs="Arial" w:eastAsia="Arial" w:hAnsi="Arial"/>
          <w:sz w:val="19"/>
          <w:szCs w:val="19"/>
          <w:color w:val="auto"/>
        </w:rPr>
        <w:t>2(g)(1) and 1.704</w:t>
      </w:r>
      <w:r>
        <w:rPr>
          <w:rFonts w:ascii="MS PGothic" w:cs="MS PGothic" w:eastAsia="MS PGothic" w:hAnsi="MS PGothic"/>
          <w:sz w:val="19"/>
          <w:szCs w:val="19"/>
          <w:color w:val="auto"/>
        </w:rPr>
        <w:t>‑</w:t>
      </w:r>
      <w:r>
        <w:rPr>
          <w:rFonts w:ascii="Arial" w:cs="Arial" w:eastAsia="Arial" w:hAnsi="Arial"/>
          <w:sz w:val="19"/>
          <w:szCs w:val="19"/>
          <w:color w:val="auto"/>
        </w:rPr>
        <w:t xml:space="preserve">2(i)(5), each such Member shall be specially allocated Company Items of income and gain in the amount of such excess as quickly as possible;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 allocation pursuant to this </w:t>
      </w:r>
      <w:r>
        <w:rPr>
          <w:rFonts w:ascii="Arial" w:cs="Arial" w:eastAsia="Arial" w:hAnsi="Arial"/>
          <w:sz w:val="19"/>
          <w:szCs w:val="19"/>
          <w:u w:val="single" w:color="auto"/>
          <w:color w:val="auto"/>
        </w:rPr>
        <w:t>Section 4.3(e)</w:t>
      </w:r>
      <w:r>
        <w:rPr>
          <w:rFonts w:ascii="Arial" w:cs="Arial" w:eastAsia="Arial" w:hAnsi="Arial"/>
          <w:sz w:val="19"/>
          <w:szCs w:val="19"/>
          <w:color w:val="auto"/>
        </w:rPr>
        <w:t xml:space="preserve"> shall be made only if and to the extent that such Member would have a deficit Capital Account in excess of such sum after all other special allocations provided for in this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have been made as if </w:t>
      </w:r>
      <w:r>
        <w:rPr>
          <w:rFonts w:ascii="Arial" w:cs="Arial" w:eastAsia="Arial" w:hAnsi="Arial"/>
          <w:sz w:val="19"/>
          <w:szCs w:val="19"/>
          <w:u w:val="single" w:color="auto"/>
          <w:color w:val="auto"/>
        </w:rPr>
        <w:t>Section 4.3(d)</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4.3(e)</w:t>
      </w:r>
      <w:r>
        <w:rPr>
          <w:rFonts w:ascii="Arial" w:cs="Arial" w:eastAsia="Arial" w:hAnsi="Arial"/>
          <w:sz w:val="19"/>
          <w:szCs w:val="19"/>
          <w:color w:val="auto"/>
        </w:rPr>
        <w:t xml:space="preserve"> were not in this Agreement.</w:t>
      </w:r>
    </w:p>
    <w:p>
      <w:pPr>
        <w:spacing w:after="0" w:line="201" w:lineRule="exact"/>
        <w:rPr>
          <w:rFonts w:ascii="Arial" w:cs="Arial" w:eastAsia="Arial" w:hAnsi="Arial"/>
          <w:sz w:val="19"/>
          <w:szCs w:val="19"/>
          <w:color w:val="auto"/>
        </w:rPr>
      </w:pPr>
    </w:p>
    <w:p>
      <w:pPr>
        <w:jc w:val="both"/>
        <w:ind w:left="-1200" w:firstLine="1305"/>
        <w:spacing w:after="0" w:line="260" w:lineRule="exact"/>
        <w:tabs>
          <w:tab w:leader="none" w:pos="506"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Section 754 Adjustments</w:t>
      </w:r>
      <w:r>
        <w:rPr>
          <w:rFonts w:ascii="Arial" w:cs="Arial" w:eastAsia="Arial" w:hAnsi="Arial"/>
          <w:sz w:val="19"/>
          <w:szCs w:val="19"/>
          <w:color w:val="auto"/>
        </w:rPr>
        <w:t>. To the extent an adjustment to the adjusted tax basis of any Company Asset pursuant to Code Section 734(b) or Section 743(b) is required pursuant to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1(b)(2)(iv)(m)(2) or Section 1.704</w:t>
      </w:r>
      <w:r>
        <w:rPr>
          <w:rFonts w:ascii="MS PGothic" w:cs="MS PGothic" w:eastAsia="MS PGothic" w:hAnsi="MS PGothic"/>
          <w:sz w:val="19"/>
          <w:szCs w:val="19"/>
          <w:color w:val="auto"/>
        </w:rPr>
        <w:t>‑</w:t>
      </w:r>
      <w:r>
        <w:rPr>
          <w:rFonts w:ascii="Arial" w:cs="Arial" w:eastAsia="Arial" w:hAnsi="Arial"/>
          <w:sz w:val="19"/>
          <w:szCs w:val="19"/>
          <w:color w:val="auto"/>
        </w:rPr>
        <w:t>1(b)(2)(iv)(m)(4) to be taken into account in determining Capital Accounts as the result of a distribution to a Member in complete liquidation of such Member’s interest in the Company or a distribution to a Member other than in complete liquidation of such Member’s interest in the Company, the amount of such adjustment to Capital Accounts shall be treated as an item of gain (if the adjustment increases the basis of the Asset) or loss (if the adjustment decreases such basis). Such gain or loss shall be specially allocated to the Members as follows: (A) to the Member to whom such distribution was made in the event the first sentence of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 xml:space="preserve">1(b)(2)(iv)(m)(4) applies; (B) in accordance with how the corresponding item of “displaced” gain or loss would be allocated to the Members pursuant to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to the extent the second sentence of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1(b)(2)(iv)(m)(4) applies; and (C) in accordance with the Members’ “interests in the Company” under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1(b)(3) in the event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1(b)(2)(iv)(m)(2) applies.</w:t>
      </w:r>
    </w:p>
    <w:p>
      <w:pPr>
        <w:spacing w:after="0" w:line="198" w:lineRule="exact"/>
        <w:rPr>
          <w:rFonts w:ascii="Arial" w:cs="Arial" w:eastAsia="Arial" w:hAnsi="Arial"/>
          <w:sz w:val="19"/>
          <w:szCs w:val="19"/>
          <w:color w:val="auto"/>
        </w:rPr>
      </w:pPr>
    </w:p>
    <w:p>
      <w:pPr>
        <w:jc w:val="both"/>
        <w:ind w:left="-1200" w:firstLine="1305"/>
        <w:spacing w:after="0" w:line="260" w:lineRule="auto"/>
        <w:tabs>
          <w:tab w:leader="none" w:pos="583" w:val="left"/>
        </w:tabs>
        <w:numPr>
          <w:ilvl w:val="0"/>
          <w:numId w:val="229"/>
        </w:numPr>
        <w:rPr>
          <w:rFonts w:ascii="Arial" w:cs="Arial" w:eastAsia="Arial" w:hAnsi="Arial"/>
          <w:sz w:val="22"/>
          <w:szCs w:val="22"/>
          <w:color w:val="auto"/>
        </w:rPr>
      </w:pPr>
      <w:r>
        <w:rPr>
          <w:rFonts w:ascii="Arial" w:cs="Arial" w:eastAsia="Arial" w:hAnsi="Arial"/>
          <w:sz w:val="22"/>
          <w:szCs w:val="22"/>
          <w:u w:val="single" w:color="auto"/>
          <w:color w:val="auto"/>
        </w:rPr>
        <w:t>Nonrecourse Deductions</w:t>
      </w:r>
      <w:r>
        <w:rPr>
          <w:rFonts w:ascii="Arial" w:cs="Arial" w:eastAsia="Arial" w:hAnsi="Arial"/>
          <w:sz w:val="22"/>
          <w:szCs w:val="22"/>
          <w:color w:val="auto"/>
        </w:rPr>
        <w:t xml:space="preserve">. Nonrecourse Deductions for any Taxable Year shall be allocated to the Members in accordance with (i)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as in effect at the time the Nonrecourse Deduction arises, or (ii) if applicable, </w:t>
      </w:r>
      <w:r>
        <w:rPr>
          <w:rFonts w:ascii="Arial" w:cs="Arial" w:eastAsia="Arial" w:hAnsi="Arial"/>
          <w:sz w:val="22"/>
          <w:szCs w:val="22"/>
          <w:u w:val="single" w:color="auto"/>
          <w:color w:val="auto"/>
        </w:rPr>
        <w:t>Section 12.2(a)(iv)</w:t>
      </w:r>
      <w:r>
        <w:rPr>
          <w:rFonts w:ascii="Arial" w:cs="Arial" w:eastAsia="Arial" w:hAnsi="Arial"/>
          <w:sz w:val="22"/>
          <w:szCs w:val="22"/>
          <w:color w:val="auto"/>
        </w:rPr>
        <w:t>, as in effect at the time the Nonrecourse Deduction arises.</w:t>
      </w:r>
    </w:p>
    <w:p>
      <w:pPr>
        <w:spacing w:after="0" w:line="177" w:lineRule="exact"/>
        <w:rPr>
          <w:rFonts w:ascii="Arial" w:cs="Arial" w:eastAsia="Arial" w:hAnsi="Arial"/>
          <w:sz w:val="22"/>
          <w:szCs w:val="22"/>
          <w:color w:val="auto"/>
        </w:rPr>
      </w:pPr>
    </w:p>
    <w:p>
      <w:pPr>
        <w:jc w:val="both"/>
        <w:ind w:left="-1200" w:right="20" w:firstLine="1305"/>
        <w:spacing w:after="0" w:line="267" w:lineRule="exact"/>
        <w:tabs>
          <w:tab w:leader="none" w:pos="704" w:val="left"/>
        </w:tabs>
        <w:numPr>
          <w:ilvl w:val="0"/>
          <w:numId w:val="229"/>
        </w:numPr>
        <w:rPr>
          <w:rFonts w:ascii="Arial" w:cs="Arial" w:eastAsia="Arial" w:hAnsi="Arial"/>
          <w:sz w:val="21"/>
          <w:szCs w:val="21"/>
          <w:color w:val="auto"/>
        </w:rPr>
      </w:pPr>
      <w:r>
        <w:rPr>
          <w:rFonts w:ascii="Arial" w:cs="Arial" w:eastAsia="Arial" w:hAnsi="Arial"/>
          <w:sz w:val="21"/>
          <w:szCs w:val="21"/>
          <w:u w:val="single" w:color="auto"/>
          <w:color w:val="auto"/>
        </w:rPr>
        <w:t>Member Nonrecourse Deductions</w:t>
      </w:r>
      <w:r>
        <w:rPr>
          <w:rFonts w:ascii="Arial" w:cs="Arial" w:eastAsia="Arial" w:hAnsi="Arial"/>
          <w:sz w:val="21"/>
          <w:szCs w:val="21"/>
          <w:color w:val="auto"/>
        </w:rPr>
        <w:t>. Any Member Nonrecourse Deductions for any Taxable Year shall be allocated to the Member who bears the economic risk of loss with respect to the Member Nonrecourse Debt to which such Member Nonrecourse Deductions are attributable in accordance with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2(i)(1).</w:t>
      </w:r>
    </w:p>
    <w:p>
      <w:pPr>
        <w:spacing w:after="0" w:line="193" w:lineRule="exact"/>
        <w:rPr>
          <w:rFonts w:ascii="Arial" w:cs="Arial" w:eastAsia="Arial" w:hAnsi="Arial"/>
          <w:sz w:val="21"/>
          <w:szCs w:val="21"/>
          <w:color w:val="auto"/>
        </w:rPr>
      </w:pPr>
    </w:p>
    <w:p>
      <w:pPr>
        <w:jc w:val="both"/>
        <w:ind w:left="-1200" w:firstLine="1305"/>
        <w:spacing w:after="0" w:line="261" w:lineRule="auto"/>
        <w:tabs>
          <w:tab w:leader="none" w:pos="588" w:val="left"/>
        </w:tabs>
        <w:numPr>
          <w:ilvl w:val="0"/>
          <w:numId w:val="229"/>
        </w:numPr>
        <w:rPr>
          <w:rFonts w:ascii="Arial" w:cs="Arial" w:eastAsia="Arial" w:hAnsi="Arial"/>
          <w:sz w:val="21"/>
          <w:szCs w:val="21"/>
          <w:color w:val="auto"/>
        </w:rPr>
      </w:pPr>
      <w:r>
        <w:rPr>
          <w:rFonts w:ascii="Arial" w:cs="Arial" w:eastAsia="Arial" w:hAnsi="Arial"/>
          <w:sz w:val="21"/>
          <w:szCs w:val="21"/>
          <w:u w:val="single" w:color="auto"/>
          <w:color w:val="auto"/>
        </w:rPr>
        <w:t>Regulatory Allocations</w:t>
      </w:r>
      <w:r>
        <w:rPr>
          <w:rFonts w:ascii="Arial" w:cs="Arial" w:eastAsia="Arial" w:hAnsi="Arial"/>
          <w:sz w:val="21"/>
          <w:szCs w:val="21"/>
          <w:color w:val="auto"/>
        </w:rPr>
        <w:t xml:space="preserve">. The allocations required in </w:t>
      </w:r>
      <w:r>
        <w:rPr>
          <w:rFonts w:ascii="Arial" w:cs="Arial" w:eastAsia="Arial" w:hAnsi="Arial"/>
          <w:sz w:val="21"/>
          <w:szCs w:val="21"/>
          <w:u w:val="single" w:color="auto"/>
          <w:color w:val="auto"/>
        </w:rPr>
        <w:t>Section 4.3(a)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Section 4.3(h)</w:t>
      </w:r>
      <w:r>
        <w:rPr>
          <w:rFonts w:ascii="Arial" w:cs="Arial" w:eastAsia="Arial" w:hAnsi="Arial"/>
          <w:sz w:val="21"/>
          <w:szCs w:val="21"/>
          <w:color w:val="auto"/>
        </w:rPr>
        <w:t xml:space="preserve"> (the “</w:t>
      </w:r>
      <w:r>
        <w:rPr>
          <w:rFonts w:ascii="Arial" w:cs="Arial" w:eastAsia="Arial" w:hAnsi="Arial"/>
          <w:sz w:val="21"/>
          <w:szCs w:val="21"/>
          <w:b w:val="1"/>
          <w:bCs w:val="1"/>
          <w:color w:val="auto"/>
        </w:rPr>
        <w:t>Regulatory</w:t>
      </w:r>
      <w:r>
        <w:rPr>
          <w:rFonts w:ascii="Arial" w:cs="Arial" w:eastAsia="Arial" w:hAnsi="Arial"/>
          <w:sz w:val="21"/>
          <w:szCs w:val="21"/>
          <w:color w:val="auto"/>
        </w:rPr>
        <w:t xml:space="preserve"> </w:t>
      </w:r>
      <w:r>
        <w:rPr>
          <w:rFonts w:ascii="Arial" w:cs="Arial" w:eastAsia="Arial" w:hAnsi="Arial"/>
          <w:sz w:val="21"/>
          <w:szCs w:val="21"/>
          <w:b w:val="1"/>
          <w:bCs w:val="1"/>
          <w:color w:val="auto"/>
        </w:rPr>
        <w:t>Allocations</w:t>
      </w:r>
      <w:r>
        <w:rPr>
          <w:rFonts w:ascii="Arial" w:cs="Arial" w:eastAsia="Arial" w:hAnsi="Arial"/>
          <w:sz w:val="21"/>
          <w:szCs w:val="21"/>
          <w:color w:val="auto"/>
        </w:rPr>
        <w:t>”) are intended to comply with certain requirements of the Treasury Regulations. It is the intent of the Members that,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extent consistent with the Treasury Regulations, all Regulatory Allocations shall be offset either with other Regulatory Allocations or with allocations of other Company Items. Therefore, notwithstanding any other provisions of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the Regulatory Allocations shall be taken into account in allocating other Company Items among the Members such that, to the extent consistent with the Treasury Regulations, the net amount of allocations of such items and the Regulatory Allocations to each Member shall be equal to the net amount that would have been allocated to each Member if the Regulatory Allocations had not occurred and all Company Items were allocated pursuant to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4.3</w:t>
      </w:r>
      <w:r>
        <w:rPr>
          <w:rFonts w:ascii="Arial" w:cs="Arial" w:eastAsia="Arial" w:hAnsi="Arial"/>
          <w:sz w:val="21"/>
          <w:szCs w:val="21"/>
          <w:color w:val="auto"/>
        </w:rPr>
        <w:t xml:space="preserve"> (excluding the Regulatory Allocations) and this </w:t>
      </w:r>
      <w:r>
        <w:rPr>
          <w:rFonts w:ascii="Arial" w:cs="Arial" w:eastAsia="Arial" w:hAnsi="Arial"/>
          <w:sz w:val="21"/>
          <w:szCs w:val="21"/>
          <w:u w:val="single" w:color="auto"/>
          <w:color w:val="auto"/>
        </w:rPr>
        <w:t>Section 4.3(i)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12.2(a)(iv)</w:t>
      </w:r>
      <w:r>
        <w:rPr>
          <w:rFonts w:ascii="Arial" w:cs="Arial" w:eastAsia="Arial" w:hAnsi="Arial"/>
          <w:sz w:val="21"/>
          <w:szCs w:val="21"/>
          <w:color w:val="auto"/>
        </w:rPr>
        <w:t>.</w:t>
      </w:r>
    </w:p>
    <w:p>
      <w:pPr>
        <w:spacing w:after="0" w:line="175"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22"/>
          <w:szCs w:val="22"/>
          <w:b w:val="1"/>
          <w:bCs w:val="1"/>
          <w:color w:val="auto"/>
        </w:rPr>
        <w:t>Section 4.4</w:t>
      </w:r>
      <w:r>
        <w:rPr>
          <w:sz w:val="20"/>
          <w:szCs w:val="20"/>
          <w:color w:val="auto"/>
        </w:rPr>
        <w:tab/>
      </w:r>
      <w:r>
        <w:rPr>
          <w:rFonts w:ascii="Arial" w:cs="Arial" w:eastAsia="Arial" w:hAnsi="Arial"/>
          <w:sz w:val="19"/>
          <w:szCs w:val="19"/>
          <w:b w:val="1"/>
          <w:bCs w:val="1"/>
          <w:u w:val="single" w:color="auto"/>
          <w:color w:val="auto"/>
        </w:rPr>
        <w:t>Tax Allocations.</w:t>
      </w:r>
    </w:p>
    <w:p>
      <w:pPr>
        <w:spacing w:after="0" w:line="239" w:lineRule="exact"/>
        <w:rPr>
          <w:sz w:val="20"/>
          <w:szCs w:val="20"/>
          <w:color w:val="auto"/>
        </w:rPr>
      </w:pPr>
    </w:p>
    <w:p>
      <w:pPr>
        <w:jc w:val="both"/>
        <w:ind w:left="-1200" w:firstLine="1305"/>
        <w:spacing w:after="0" w:line="254" w:lineRule="auto"/>
        <w:tabs>
          <w:tab w:leader="none" w:pos="543" w:val="left"/>
        </w:tabs>
        <w:numPr>
          <w:ilvl w:val="0"/>
          <w:numId w:val="230"/>
        </w:numPr>
        <w:rPr>
          <w:rFonts w:ascii="Arial" w:cs="Arial" w:eastAsia="Arial" w:hAnsi="Arial"/>
          <w:sz w:val="22"/>
          <w:szCs w:val="22"/>
          <w:color w:val="auto"/>
        </w:rPr>
      </w:pPr>
      <w:r>
        <w:rPr>
          <w:rFonts w:ascii="Arial" w:cs="Arial" w:eastAsia="Arial" w:hAnsi="Arial"/>
          <w:sz w:val="22"/>
          <w:szCs w:val="22"/>
          <w:color w:val="auto"/>
        </w:rPr>
        <w:t xml:space="preserve">Except as otherwise provided in this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for federal, state and local income tax purposes each item of the Company’s income, gain, loss, deduction and credit as determined for federal income tax purposes shall be allocated to the Members in the same manner as the correlative Company Items are allocated for book purposes pursuant to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12.2(a)(iv)</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1200" w:firstLine="1305"/>
        <w:spacing w:after="0" w:line="263" w:lineRule="exact"/>
        <w:tabs>
          <w:tab w:leader="none" w:pos="637" w:val="left"/>
        </w:tabs>
        <w:numPr>
          <w:ilvl w:val="0"/>
          <w:numId w:val="230"/>
        </w:numPr>
        <w:rPr>
          <w:rFonts w:ascii="Arial" w:cs="Arial" w:eastAsia="Arial" w:hAnsi="Arial"/>
          <w:sz w:val="19"/>
          <w:szCs w:val="19"/>
          <w:color w:val="auto"/>
        </w:rPr>
      </w:pPr>
      <w:r>
        <w:rPr>
          <w:rFonts w:ascii="Arial" w:cs="Arial" w:eastAsia="Arial" w:hAnsi="Arial"/>
          <w:sz w:val="19"/>
          <w:szCs w:val="19"/>
          <w:color w:val="auto"/>
        </w:rPr>
        <w:t>In accordance with Code Section 704(c) and the Treasury Regulations thereunder, items of the Company’s income, gain, loss, deduction and credit as determined for federal income tax purposes that are attributable to any non-cash property contributed to the capital of the Company shall, solely for tax purposes, be allocated among the Members so as to take account of any variation between the adjusted basis of such property to the Company for federal income tax purposes and its initial Value using the “remedial” method permitted by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3(d).</w:t>
      </w:r>
    </w:p>
    <w:p>
      <w:pPr>
        <w:spacing w:after="0" w:line="201" w:lineRule="exact"/>
        <w:rPr>
          <w:rFonts w:ascii="Arial" w:cs="Arial" w:eastAsia="Arial" w:hAnsi="Arial"/>
          <w:sz w:val="19"/>
          <w:szCs w:val="19"/>
          <w:color w:val="auto"/>
        </w:rPr>
      </w:pPr>
    </w:p>
    <w:p>
      <w:pPr>
        <w:jc w:val="both"/>
        <w:ind w:left="-1200" w:firstLine="1305"/>
        <w:spacing w:after="0" w:line="254" w:lineRule="auto"/>
        <w:tabs>
          <w:tab w:leader="none" w:pos="611" w:val="left"/>
        </w:tabs>
        <w:numPr>
          <w:ilvl w:val="0"/>
          <w:numId w:val="230"/>
        </w:numPr>
        <w:rPr>
          <w:rFonts w:ascii="Arial" w:cs="Arial" w:eastAsia="Arial" w:hAnsi="Arial"/>
          <w:sz w:val="22"/>
          <w:szCs w:val="22"/>
          <w:color w:val="auto"/>
        </w:rPr>
      </w:pPr>
      <w:r>
        <w:rPr>
          <w:rFonts w:ascii="Arial" w:cs="Arial" w:eastAsia="Arial" w:hAnsi="Arial"/>
          <w:sz w:val="22"/>
          <w:szCs w:val="22"/>
          <w:color w:val="auto"/>
        </w:rPr>
        <w:t xml:space="preserve">In the event the Value of any Company Asset is adjusted pursuant to </w:t>
      </w:r>
      <w:r>
        <w:rPr>
          <w:rFonts w:ascii="Arial" w:cs="Arial" w:eastAsia="Arial" w:hAnsi="Arial"/>
          <w:sz w:val="22"/>
          <w:szCs w:val="22"/>
          <w:u w:val="single" w:color="auto"/>
          <w:color w:val="auto"/>
        </w:rPr>
        <w:t>subparagraph (b)</w:t>
      </w:r>
      <w:r>
        <w:rPr>
          <w:rFonts w:ascii="Arial" w:cs="Arial" w:eastAsia="Arial" w:hAnsi="Arial"/>
          <w:sz w:val="22"/>
          <w:szCs w:val="22"/>
          <w:color w:val="auto"/>
        </w:rPr>
        <w:t xml:space="preserve"> of the definition of Value, subsequent allocations of Company Items with respect to such Asset shall take account of any variation between the adjusted basis of such Asset for federal income tax purposes and its Value in the same manner as under Code Section 704(c) and the Treasury Regulations thereunder.</w:t>
      </w:r>
    </w:p>
    <w:p>
      <w:pPr>
        <w:spacing w:after="0" w:line="185" w:lineRule="exact"/>
        <w:rPr>
          <w:rFonts w:ascii="Arial" w:cs="Arial" w:eastAsia="Arial" w:hAnsi="Arial"/>
          <w:sz w:val="22"/>
          <w:szCs w:val="22"/>
          <w:color w:val="auto"/>
        </w:rPr>
      </w:pPr>
    </w:p>
    <w:p>
      <w:pPr>
        <w:jc w:val="both"/>
        <w:ind w:left="-1200" w:firstLine="1305"/>
        <w:spacing w:after="0" w:line="260" w:lineRule="auto"/>
        <w:tabs>
          <w:tab w:leader="none" w:pos="542" w:val="left"/>
        </w:tabs>
        <w:numPr>
          <w:ilvl w:val="0"/>
          <w:numId w:val="230"/>
        </w:numPr>
        <w:rPr>
          <w:rFonts w:ascii="Arial" w:cs="Arial" w:eastAsia="Arial" w:hAnsi="Arial"/>
          <w:sz w:val="22"/>
          <w:szCs w:val="22"/>
          <w:color w:val="auto"/>
        </w:rPr>
      </w:pPr>
      <w:r>
        <w:rPr>
          <w:rFonts w:ascii="Arial" w:cs="Arial" w:eastAsia="Arial" w:hAnsi="Arial"/>
          <w:sz w:val="22"/>
          <w:szCs w:val="22"/>
          <w:color w:val="auto"/>
        </w:rPr>
        <w:t xml:space="preserve">Allocations pursuant to this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are solely for federal, state, and local income taxes and shall not affect, or in any way be taken into account in computing, any Member’s Capital Account or distributive share of Company Items or distributions pursuant to any provision of this Agreement.</w:t>
      </w:r>
    </w:p>
    <w:p>
      <w:pPr>
        <w:sectPr>
          <w:pgSz w:w="11900" w:h="16838" w:orient="portrait"/>
          <w:cols w:equalWidth="0" w:num="1">
            <w:col w:w="10220"/>
          </w:cols>
          <w:pgMar w:left="1440" w:top="132" w:right="239" w:bottom="0" w:gutter="0" w:footer="0" w:header="0"/>
        </w:sectPr>
      </w:pPr>
    </w:p>
    <w:bookmarkStart w:id="243" w:name="page244"/>
    <w:bookmarkEnd w:id="243"/>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4.5</w:t>
      </w:r>
      <w:r>
        <w:rPr>
          <w:sz w:val="20"/>
          <w:szCs w:val="20"/>
          <w:color w:val="auto"/>
        </w:rPr>
        <w:tab/>
      </w:r>
      <w:r>
        <w:rPr>
          <w:rFonts w:ascii="Arial" w:cs="Arial" w:eastAsia="Arial" w:hAnsi="Arial"/>
          <w:sz w:val="19"/>
          <w:szCs w:val="19"/>
          <w:b w:val="1"/>
          <w:bCs w:val="1"/>
          <w:u w:val="single" w:color="auto"/>
          <w:color w:val="auto"/>
        </w:rPr>
        <w:t>Other Allocation Rules.</w:t>
      </w:r>
    </w:p>
    <w:p>
      <w:pPr>
        <w:spacing w:after="0" w:line="239" w:lineRule="exact"/>
        <w:rPr>
          <w:sz w:val="20"/>
          <w:szCs w:val="20"/>
          <w:color w:val="auto"/>
        </w:rPr>
      </w:pPr>
    </w:p>
    <w:p>
      <w:pPr>
        <w:jc w:val="both"/>
        <w:ind w:firstLine="1305"/>
        <w:spacing w:after="0" w:line="261" w:lineRule="exact"/>
        <w:tabs>
          <w:tab w:leader="none" w:pos="1865" w:val="left"/>
        </w:tabs>
        <w:numPr>
          <w:ilvl w:val="0"/>
          <w:numId w:val="231"/>
        </w:numPr>
        <w:rPr>
          <w:rFonts w:ascii="Arial" w:cs="Arial" w:eastAsia="Arial" w:hAnsi="Arial"/>
          <w:sz w:val="19"/>
          <w:szCs w:val="19"/>
          <w:color w:val="auto"/>
        </w:rPr>
      </w:pPr>
      <w:r>
        <w:rPr>
          <w:rFonts w:ascii="Arial" w:cs="Arial" w:eastAsia="Arial" w:hAnsi="Arial"/>
          <w:sz w:val="19"/>
          <w:szCs w:val="19"/>
          <w:color w:val="auto"/>
        </w:rPr>
        <w:t xml:space="preserve">The Members are aware of the income tax consequences of the allocations made by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12.2(a)</w:t>
      </w:r>
      <w:r>
        <w:rPr>
          <w:rFonts w:ascii="Arial" w:cs="Arial" w:eastAsia="Arial" w:hAnsi="Arial"/>
          <w:sz w:val="19"/>
          <w:szCs w:val="19"/>
          <w:color w:val="auto"/>
        </w:rPr>
        <w:t xml:space="preserve"> and hereby agree to be bound by the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by </w:t>
      </w:r>
      <w:r>
        <w:rPr>
          <w:rFonts w:ascii="Arial" w:cs="Arial" w:eastAsia="Arial" w:hAnsi="Arial"/>
          <w:sz w:val="19"/>
          <w:szCs w:val="19"/>
          <w:u w:val="single" w:color="auto"/>
          <w:color w:val="auto"/>
        </w:rPr>
        <w:t>Section 12.2(a)</w:t>
      </w:r>
      <w:r>
        <w:rPr>
          <w:rFonts w:ascii="Arial" w:cs="Arial" w:eastAsia="Arial" w:hAnsi="Arial"/>
          <w:sz w:val="19"/>
          <w:szCs w:val="19"/>
          <w:color w:val="auto"/>
        </w:rPr>
        <w:t xml:space="preserve"> in reporting their distributive shares of Company Items for income tax purposes, unless otherwise required by applicable Law. If the respective Membership Interests or allocation ratios described in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the existing Members in the Company change or if a Membership Interest is Transferred in compliance with this Agreement to any other Person, then, for the Taxable Year in which the change or Transfer occurs, all Company Items resulting from the operations of the Company shall be allocated, as between the Members for the Taxable Year in which the change occurs or between the Transferring Member and the Transferee, by taking into account their varying interests using the interim closing of the books method permitted by Treasury Regulations Section 1.706</w:t>
      </w:r>
      <w:r>
        <w:rPr>
          <w:rFonts w:ascii="MS PGothic" w:cs="MS PGothic" w:eastAsia="MS PGothic" w:hAnsi="MS PGothic"/>
          <w:sz w:val="19"/>
          <w:szCs w:val="19"/>
          <w:color w:val="auto"/>
        </w:rPr>
        <w:t>‑</w:t>
      </w:r>
      <w:r>
        <w:rPr>
          <w:rFonts w:ascii="Arial" w:cs="Arial" w:eastAsia="Arial" w:hAnsi="Arial"/>
          <w:sz w:val="19"/>
          <w:szCs w:val="19"/>
          <w:color w:val="auto"/>
        </w:rPr>
        <w:t>1(c)</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(2)(ii), unless otherwise agreed in writing by all the Members.</w:t>
      </w:r>
    </w:p>
    <w:p>
      <w:pPr>
        <w:spacing w:after="0" w:line="201" w:lineRule="exact"/>
        <w:rPr>
          <w:rFonts w:ascii="Arial" w:cs="Arial" w:eastAsia="Arial" w:hAnsi="Arial"/>
          <w:sz w:val="19"/>
          <w:szCs w:val="19"/>
          <w:color w:val="auto"/>
        </w:rPr>
      </w:pPr>
    </w:p>
    <w:p>
      <w:pPr>
        <w:jc w:val="both"/>
        <w:ind w:firstLine="1305"/>
        <w:spacing w:after="0" w:line="267" w:lineRule="exact"/>
        <w:tabs>
          <w:tab w:leader="none" w:pos="1823" w:val="left"/>
        </w:tabs>
        <w:numPr>
          <w:ilvl w:val="0"/>
          <w:numId w:val="231"/>
        </w:numPr>
        <w:rPr>
          <w:rFonts w:ascii="Arial" w:cs="Arial" w:eastAsia="Arial" w:hAnsi="Arial"/>
          <w:sz w:val="19"/>
          <w:szCs w:val="19"/>
          <w:color w:val="auto"/>
        </w:rPr>
      </w:pPr>
      <w:r>
        <w:rPr>
          <w:rFonts w:ascii="Arial" w:cs="Arial" w:eastAsia="Arial" w:hAnsi="Arial"/>
          <w:sz w:val="19"/>
          <w:szCs w:val="19"/>
          <w:color w:val="auto"/>
        </w:rPr>
        <w:t>The Members agree that solely for purposes of determining a Member’s proportionate share of the “excess nonrecourse liabilities” of the Company within the meaning of Treasury Regulations Section 1.752</w:t>
      </w:r>
      <w:r>
        <w:rPr>
          <w:rFonts w:ascii="MS PGothic" w:cs="MS PGothic" w:eastAsia="MS PGothic" w:hAnsi="MS PGothic"/>
          <w:sz w:val="19"/>
          <w:szCs w:val="19"/>
          <w:color w:val="auto"/>
        </w:rPr>
        <w:t>‑</w:t>
      </w:r>
      <w:r>
        <w:rPr>
          <w:rFonts w:ascii="Arial" w:cs="Arial" w:eastAsia="Arial" w:hAnsi="Arial"/>
          <w:sz w:val="19"/>
          <w:szCs w:val="19"/>
          <w:color w:val="auto"/>
        </w:rPr>
        <w:t xml:space="preserve">3(a)(3), the Members’ interests in Company profits are in accordance with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as in effect at the time the excess nonrecourse liability arises.</w:t>
      </w:r>
    </w:p>
    <w:p>
      <w:pPr>
        <w:spacing w:after="0" w:line="199" w:lineRule="exact"/>
        <w:rPr>
          <w:rFonts w:ascii="Arial" w:cs="Arial" w:eastAsia="Arial" w:hAnsi="Arial"/>
          <w:sz w:val="19"/>
          <w:szCs w:val="19"/>
          <w:color w:val="auto"/>
        </w:rPr>
      </w:pPr>
    </w:p>
    <w:p>
      <w:pPr>
        <w:jc w:val="both"/>
        <w:ind w:firstLine="1305"/>
        <w:spacing w:after="0" w:line="267" w:lineRule="exact"/>
        <w:tabs>
          <w:tab w:leader="none" w:pos="1811" w:val="left"/>
        </w:tabs>
        <w:numPr>
          <w:ilvl w:val="0"/>
          <w:numId w:val="231"/>
        </w:numPr>
        <w:rPr>
          <w:rFonts w:ascii="Arial" w:cs="Arial" w:eastAsia="Arial" w:hAnsi="Arial"/>
          <w:sz w:val="22"/>
          <w:szCs w:val="22"/>
          <w:color w:val="auto"/>
        </w:rPr>
      </w:pPr>
      <w:r>
        <w:rPr>
          <w:rFonts w:ascii="Arial" w:cs="Arial" w:eastAsia="Arial" w:hAnsi="Arial"/>
          <w:sz w:val="22"/>
          <w:szCs w:val="22"/>
          <w:color w:val="auto"/>
        </w:rPr>
        <w:t>Each Member agrees to provide the Company with information in connection with a transaction subject to Sections 734 and 743 of the Code and the elections permitted and provisions required thereunder, including Treasury Regulations Section 1.743</w:t>
      </w:r>
      <w:r>
        <w:rPr>
          <w:rFonts w:ascii="MS PGothic" w:cs="MS PGothic" w:eastAsia="MS PGothic" w:hAnsi="MS PGothic"/>
          <w:sz w:val="22"/>
          <w:szCs w:val="22"/>
          <w:color w:val="auto"/>
        </w:rPr>
        <w:t>‑</w:t>
      </w:r>
      <w:r>
        <w:rPr>
          <w:rFonts w:ascii="Arial" w:cs="Arial" w:eastAsia="Arial" w:hAnsi="Arial"/>
          <w:sz w:val="22"/>
          <w:szCs w:val="22"/>
          <w:color w:val="auto"/>
        </w:rPr>
        <w:t>1.</w:t>
      </w:r>
    </w:p>
    <w:p>
      <w:pPr>
        <w:spacing w:after="0" w:line="193"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DISTRIBUTIONS</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5.1</w:t>
      </w:r>
      <w:r>
        <w:rPr>
          <w:sz w:val="20"/>
          <w:szCs w:val="20"/>
          <w:color w:val="auto"/>
        </w:rPr>
        <w:tab/>
      </w:r>
      <w:r>
        <w:rPr>
          <w:rFonts w:ascii="Arial" w:cs="Arial" w:eastAsia="Arial" w:hAnsi="Arial"/>
          <w:sz w:val="19"/>
          <w:szCs w:val="19"/>
          <w:b w:val="1"/>
          <w:bCs w:val="1"/>
          <w:u w:val="single" w:color="auto"/>
          <w:color w:val="auto"/>
        </w:rPr>
        <w:t>Distributions of Available Cash Flow.</w:t>
      </w:r>
    </w:p>
    <w:p>
      <w:pPr>
        <w:spacing w:after="0" w:line="239" w:lineRule="exact"/>
        <w:rPr>
          <w:sz w:val="20"/>
          <w:szCs w:val="20"/>
          <w:color w:val="auto"/>
        </w:rPr>
      </w:pPr>
    </w:p>
    <w:p>
      <w:pPr>
        <w:jc w:val="both"/>
        <w:ind w:firstLine="1305"/>
        <w:spacing w:after="0" w:line="254" w:lineRule="auto"/>
        <w:tabs>
          <w:tab w:leader="none" w:pos="1716" w:val="left"/>
        </w:tabs>
        <w:numPr>
          <w:ilvl w:val="0"/>
          <w:numId w:val="23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5.1(b)</w:t>
      </w:r>
      <w:r>
        <w:rPr>
          <w:rFonts w:ascii="Arial" w:cs="Arial" w:eastAsia="Arial" w:hAnsi="Arial"/>
          <w:sz w:val="22"/>
          <w:szCs w:val="22"/>
          <w:color w:val="auto"/>
        </w:rPr>
        <w:t>-</w:t>
      </w:r>
      <w:r>
        <w:rPr>
          <w:rFonts w:ascii="Arial" w:cs="Arial" w:eastAsia="Arial" w:hAnsi="Arial"/>
          <w:sz w:val="22"/>
          <w:szCs w:val="22"/>
          <w:u w:val="single" w:color="auto"/>
          <w:color w:val="auto"/>
        </w:rPr>
        <w:t>(d)</w:t>
      </w:r>
      <w:r>
        <w:rPr>
          <w:rFonts w:ascii="Arial" w:cs="Arial" w:eastAsia="Arial" w:hAnsi="Arial"/>
          <w:sz w:val="22"/>
          <w:szCs w:val="22"/>
          <w:color w:val="auto"/>
        </w:rPr>
        <w:t xml:space="preserve">, from and after the Effective Date, Available Cash Flow shall be distributed to the Members on each Distribution Date on which the Company has Available Cash Flow, ninety- nine percent (99%) to the Class A Members,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their Class A Units, and one percent (1%) to the Class B Members,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their Class B Units.</w:t>
      </w:r>
    </w:p>
    <w:p>
      <w:pPr>
        <w:spacing w:after="0" w:line="185" w:lineRule="exact"/>
        <w:rPr>
          <w:rFonts w:ascii="Arial" w:cs="Arial" w:eastAsia="Arial" w:hAnsi="Arial"/>
          <w:sz w:val="22"/>
          <w:szCs w:val="22"/>
          <w:color w:val="auto"/>
        </w:rPr>
      </w:pPr>
    </w:p>
    <w:p>
      <w:pPr>
        <w:jc w:val="both"/>
        <w:ind w:firstLine="1305"/>
        <w:spacing w:after="0" w:line="254" w:lineRule="auto"/>
        <w:tabs>
          <w:tab w:leader="none" w:pos="1756" w:val="left"/>
        </w:tabs>
        <w:numPr>
          <w:ilvl w:val="0"/>
          <w:numId w:val="232"/>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on any Distribution Date on which there is an unpaid balance on any Member Loan made by a Member in accordance with </w:t>
      </w:r>
      <w:r>
        <w:rPr>
          <w:rFonts w:ascii="Arial" w:cs="Arial" w:eastAsia="Arial" w:hAnsi="Arial"/>
          <w:sz w:val="22"/>
          <w:szCs w:val="22"/>
          <w:u w:val="single" w:color="auto"/>
          <w:color w:val="auto"/>
        </w:rPr>
        <w:t>Section 3.4</w:t>
      </w:r>
      <w:r>
        <w:rPr>
          <w:rFonts w:ascii="Arial" w:cs="Arial" w:eastAsia="Arial" w:hAnsi="Arial"/>
          <w:sz w:val="22"/>
          <w:szCs w:val="22"/>
          <w:color w:val="auto"/>
        </w:rPr>
        <w:t>, Available Cash Flow shall first be distributed to the Members participating in such Member Loan on such Distribution Date in an amount not to exceed the outstanding balance of such Member Loan.</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743" w:val="left"/>
        </w:tabs>
        <w:numPr>
          <w:ilvl w:val="0"/>
          <w:numId w:val="232"/>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Section 5.1(a)</w:t>
      </w:r>
      <w:r>
        <w:rPr>
          <w:rFonts w:ascii="Arial" w:cs="Arial" w:eastAsia="Arial" w:hAnsi="Arial"/>
          <w:sz w:val="22"/>
          <w:szCs w:val="22"/>
          <w:color w:val="auto"/>
        </w:rPr>
        <w:t>, to the extent that any Class A Capital Contribution Amount is in excess of the corresponding Capital Call Amount, the amount of such excess shall be specially distributed 100% to the Class B Member and shall reduce the Class B Member’s Capital Account accordingly.</w:t>
      </w:r>
    </w:p>
    <w:p>
      <w:pPr>
        <w:spacing w:after="0" w:line="177" w:lineRule="exact"/>
        <w:rPr>
          <w:rFonts w:ascii="Arial" w:cs="Arial" w:eastAsia="Arial" w:hAnsi="Arial"/>
          <w:sz w:val="22"/>
          <w:szCs w:val="22"/>
          <w:color w:val="auto"/>
        </w:rPr>
      </w:pPr>
    </w:p>
    <w:p>
      <w:pPr>
        <w:jc w:val="both"/>
        <w:ind w:firstLine="1305"/>
        <w:spacing w:after="0" w:line="250" w:lineRule="auto"/>
        <w:tabs>
          <w:tab w:leader="none" w:pos="1769" w:val="left"/>
        </w:tabs>
        <w:numPr>
          <w:ilvl w:val="0"/>
          <w:numId w:val="232"/>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Section 5.1(a)</w:t>
      </w:r>
      <w:r>
        <w:rPr>
          <w:rFonts w:ascii="Arial" w:cs="Arial" w:eastAsia="Arial" w:hAnsi="Arial"/>
          <w:sz w:val="22"/>
          <w:szCs w:val="22"/>
          <w:color w:val="auto"/>
        </w:rPr>
        <w:t>, all cash receipts from Indebtedness (but not a refinancing of Indebtedness) of an Intermediate Company that are received by the Company in connection with the Credit Agreement dated as of July 31, 2017 among NRG Chestnut Borrower LLC, Deutsche Bank Trust Company Americas, as administrative agent and collateral agent, Deutsche Bank AG, New York Branch, as issuing bank, and the lenders from time to time party thereto, as amended from time to time, shall be specially distributed 100% to the Class B Member and shall reduce the Class B Member’s Capital Account accordingly.</w:t>
      </w:r>
    </w:p>
    <w:p>
      <w:pPr>
        <w:spacing w:after="0" w:line="182"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5.2</w:t>
      </w:r>
      <w:r>
        <w:rPr>
          <w:sz w:val="20"/>
          <w:szCs w:val="20"/>
          <w:color w:val="auto"/>
        </w:rPr>
        <w:tab/>
      </w:r>
      <w:r>
        <w:rPr>
          <w:rFonts w:ascii="Arial" w:cs="Arial" w:eastAsia="Arial" w:hAnsi="Arial"/>
          <w:sz w:val="19"/>
          <w:szCs w:val="19"/>
          <w:b w:val="1"/>
          <w:bCs w:val="1"/>
          <w:u w:val="single" w:color="auto"/>
          <w:color w:val="auto"/>
        </w:rPr>
        <w:t>Limitation.</w:t>
      </w:r>
    </w:p>
    <w:p>
      <w:pPr>
        <w:spacing w:after="0" w:line="239"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The distributions described in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shall be made only from Available Cash Flow and only to the extent that there shall be sufficient Available Cash Flow to enable the Manager to make payments in accordance with the terms hereof. Notwithstanding any provision to the contrary contained in this Agreement, the Company shall not make a distribution to a Member on account of its Membership Interest if such distribution (including a return of Capital Contributions) would violate the Act or any other applicable Law.</w:t>
      </w:r>
    </w:p>
    <w:p>
      <w:pPr>
        <w:spacing w:after="0" w:line="186"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5.3</w:t>
      </w:r>
      <w:r>
        <w:rPr>
          <w:sz w:val="20"/>
          <w:szCs w:val="20"/>
          <w:color w:val="auto"/>
        </w:rPr>
        <w:tab/>
      </w:r>
      <w:r>
        <w:rPr>
          <w:rFonts w:ascii="Arial" w:cs="Arial" w:eastAsia="Arial" w:hAnsi="Arial"/>
          <w:sz w:val="19"/>
          <w:szCs w:val="19"/>
          <w:b w:val="1"/>
          <w:bCs w:val="1"/>
          <w:u w:val="single" w:color="auto"/>
          <w:color w:val="auto"/>
        </w:rPr>
        <w:t>Withholding.</w:t>
      </w:r>
    </w:p>
    <w:p>
      <w:pPr>
        <w:spacing w:after="0" w:line="23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Notwithstanding any other provision of this Agreement, the Company shall comply with any withholding requirements under any Law and shall remit amounts withheld to, and file required forms with, applicable taxing authorities. To the extent that the Company is required to withhold and pay over any amounts to any taxing authority with respect to distributions or allocations to any Member, the amount withheld shall be treated as a distribution of cash to such Member in the amount of such withholding. The Company shall notify the Member and permit the Member, if permitted by applicable Law, to contest the applicability of the underlying Tax prior to making such withholding,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 incur any interest, penalties or additions to tax (unless the contesting Member shall have agreed to indemnify and hold harmless the Company for any such additional liabilities). If an amount required to be withheld was not withheld from an actual distribution, the Company may reduce subsequent distributions by the amount of such required withholding and any penalties or interest thereon. Each Member</w:t>
      </w:r>
    </w:p>
    <w:p>
      <w:pPr>
        <w:sectPr>
          <w:pgSz w:w="11900" w:h="16838" w:orient="portrait"/>
          <w:cols w:equalWidth="0" w:num="1">
            <w:col w:w="11420"/>
          </w:cols>
          <w:pgMar w:left="240" w:top="193" w:right="239" w:bottom="0" w:gutter="0" w:footer="0" w:header="0"/>
        </w:sectPr>
      </w:pPr>
    </w:p>
    <w:bookmarkStart w:id="244" w:name="page245"/>
    <w:bookmarkEnd w:id="244"/>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agrees to furnish to the Company such forms or other documentation as is reasonably necessary to assist the Company in determining the extent of, and in fulfilling, its withholding obligations.</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MANAGEMENT</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6.1</w:t>
      </w:r>
      <w:r>
        <w:rPr>
          <w:sz w:val="20"/>
          <w:szCs w:val="20"/>
          <w:color w:val="auto"/>
        </w:rPr>
        <w:tab/>
      </w:r>
      <w:r>
        <w:rPr>
          <w:rFonts w:ascii="Arial" w:cs="Arial" w:eastAsia="Arial" w:hAnsi="Arial"/>
          <w:sz w:val="19"/>
          <w:szCs w:val="19"/>
          <w:b w:val="1"/>
          <w:bCs w:val="1"/>
          <w:u w:val="single" w:color="auto"/>
          <w:color w:val="auto"/>
        </w:rPr>
        <w:t>Manager.</w:t>
      </w:r>
    </w:p>
    <w:p>
      <w:pPr>
        <w:spacing w:after="0" w:line="239" w:lineRule="exact"/>
        <w:rPr>
          <w:sz w:val="20"/>
          <w:szCs w:val="20"/>
          <w:color w:val="auto"/>
        </w:rPr>
      </w:pPr>
    </w:p>
    <w:p>
      <w:pPr>
        <w:jc w:val="both"/>
        <w:ind w:firstLine="1305"/>
        <w:spacing w:after="0" w:line="287" w:lineRule="auto"/>
        <w:tabs>
          <w:tab w:leader="none" w:pos="1716"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The Initial Class B Member is hereby appointed by the Members as the initial Manager of the Company. Except as provided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or as otherwise expressly provided in this Agreement, the Manager shall conduct, direct and exercise control over all activities of the Company, and shall have full power and authority on behalf of the Company to manage and administer the business and affairs of the Company and to do or cause to be done any and all acts reasonably considered by the Manager to be necessary or appropriate to conduct the business of the Company (including, without limitation, taking all necessary actions to cause the Company to cause each Subject Company to perform its obligations and enforce its rights under the Project Documents to which it is a party and to otherwise carry out its purposes) without the need for approval by or any other consent from any Member, including the authority to bind the Company in making contracts and incurring obligations in the Company’s name in the course of the Company’s business. The Manager may delegate its management duties and obligations to third parties, including the Management Services Provider, or Officers but such delegation shall not relieve the Manager of its primary obligation with respect to such duties and obligations. Except to the extent that a Member is also the Manager or authority is delegated from the Manager, no Member shall have any authority to bind the Company. Without limiting the generality of the foregoing, the Manager shall (provided that, in each case as it relates to any Subject Company, only to the extent that the Company has (directly or indirectly) the authority to control the management of such Subject Company):</w:t>
      </w:r>
    </w:p>
    <w:p>
      <w:pPr>
        <w:spacing w:after="0" w:line="164" w:lineRule="exact"/>
        <w:rPr>
          <w:rFonts w:ascii="Arial" w:cs="Arial" w:eastAsia="Arial" w:hAnsi="Arial"/>
          <w:sz w:val="19"/>
          <w:szCs w:val="19"/>
          <w:color w:val="auto"/>
        </w:rPr>
      </w:pPr>
    </w:p>
    <w:p>
      <w:pPr>
        <w:jc w:val="both"/>
        <w:ind w:left="660" w:firstLine="1293"/>
        <w:spacing w:after="0" w:line="260" w:lineRule="auto"/>
        <w:tabs>
          <w:tab w:leader="none" w:pos="2381" w:val="left"/>
        </w:tabs>
        <w:numPr>
          <w:ilvl w:val="1"/>
          <w:numId w:val="233"/>
        </w:numPr>
        <w:rPr>
          <w:rFonts w:ascii="Arial" w:cs="Arial" w:eastAsia="Arial" w:hAnsi="Arial"/>
          <w:sz w:val="22"/>
          <w:szCs w:val="22"/>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hereof, keep and maintain books of account that are true and correct in all material respects and prepare and timely file all necessary tax returns and make all necessary or desirable tax elections for the Company and each Subject Company;</w:t>
      </w:r>
    </w:p>
    <w:p>
      <w:pPr>
        <w:spacing w:after="0" w:line="177" w:lineRule="exact"/>
        <w:rPr>
          <w:rFonts w:ascii="Arial" w:cs="Arial" w:eastAsia="Arial" w:hAnsi="Arial"/>
          <w:sz w:val="22"/>
          <w:szCs w:val="22"/>
          <w:color w:val="auto"/>
        </w:rPr>
      </w:pPr>
    </w:p>
    <w:p>
      <w:pPr>
        <w:jc w:val="both"/>
        <w:ind w:left="660" w:firstLine="1293"/>
        <w:spacing w:after="0" w:line="260" w:lineRule="auto"/>
        <w:tabs>
          <w:tab w:leader="none" w:pos="2495" w:val="left"/>
        </w:tabs>
        <w:numPr>
          <w:ilvl w:val="1"/>
          <w:numId w:val="233"/>
        </w:numPr>
        <w:rPr>
          <w:rFonts w:ascii="Arial" w:cs="Arial" w:eastAsia="Arial" w:hAnsi="Arial"/>
          <w:sz w:val="22"/>
          <w:szCs w:val="22"/>
          <w:color w:val="auto"/>
        </w:rPr>
      </w:pPr>
      <w:r>
        <w:rPr>
          <w:rFonts w:ascii="Arial" w:cs="Arial" w:eastAsia="Arial" w:hAnsi="Arial"/>
          <w:sz w:val="22"/>
          <w:szCs w:val="22"/>
          <w:color w:val="auto"/>
        </w:rPr>
        <w:t>prepare and submit all filings of any nature that are required to be made by the Company and each Subject Company under any laws, regulations, ordinances or otherwise applicable to the Company, the Subject Companies or the Projects;</w:t>
      </w:r>
    </w:p>
    <w:p>
      <w:pPr>
        <w:spacing w:after="0" w:line="177" w:lineRule="exact"/>
        <w:rPr>
          <w:rFonts w:ascii="Arial" w:cs="Arial" w:eastAsia="Arial" w:hAnsi="Arial"/>
          <w:sz w:val="22"/>
          <w:szCs w:val="22"/>
          <w:color w:val="auto"/>
        </w:rPr>
      </w:pPr>
    </w:p>
    <w:p>
      <w:pPr>
        <w:ind w:left="2580" w:hanging="627"/>
        <w:spacing w:after="0"/>
        <w:tabs>
          <w:tab w:leader="none" w:pos="2580" w:val="left"/>
        </w:tabs>
        <w:numPr>
          <w:ilvl w:val="1"/>
          <w:numId w:val="233"/>
        </w:numPr>
        <w:rPr>
          <w:rFonts w:ascii="Arial" w:cs="Arial" w:eastAsia="Arial" w:hAnsi="Arial"/>
          <w:sz w:val="19"/>
          <w:szCs w:val="19"/>
          <w:color w:val="auto"/>
        </w:rPr>
      </w:pPr>
      <w:r>
        <w:rPr>
          <w:rFonts w:ascii="Arial" w:cs="Arial" w:eastAsia="Arial" w:hAnsi="Arial"/>
          <w:sz w:val="19"/>
          <w:szCs w:val="19"/>
          <w:color w:val="auto"/>
        </w:rPr>
        <w:t>procure and maintain all Licenses and Permits (if any) required for the Company and the Subject</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Companies;</w:t>
      </w:r>
    </w:p>
    <w:p>
      <w:pPr>
        <w:spacing w:after="0" w:line="215" w:lineRule="exact"/>
        <w:rPr>
          <w:rFonts w:ascii="Arial" w:cs="Arial" w:eastAsia="Arial" w:hAnsi="Arial"/>
          <w:sz w:val="19"/>
          <w:szCs w:val="19"/>
          <w:color w:val="auto"/>
        </w:rPr>
      </w:pPr>
    </w:p>
    <w:p>
      <w:pPr>
        <w:ind w:left="660" w:firstLine="1293"/>
        <w:spacing w:after="0" w:line="276" w:lineRule="auto"/>
        <w:tabs>
          <w:tab w:leader="none" w:pos="2597" w:val="left"/>
        </w:tabs>
        <w:numPr>
          <w:ilvl w:val="1"/>
          <w:numId w:val="233"/>
        </w:numPr>
        <w:rPr>
          <w:rFonts w:ascii="Arial" w:cs="Arial" w:eastAsia="Arial" w:hAnsi="Arial"/>
          <w:sz w:val="22"/>
          <w:szCs w:val="22"/>
          <w:color w:val="auto"/>
        </w:rPr>
      </w:pPr>
      <w:r>
        <w:rPr>
          <w:rFonts w:ascii="Arial" w:cs="Arial" w:eastAsia="Arial" w:hAnsi="Arial"/>
          <w:sz w:val="22"/>
          <w:szCs w:val="22"/>
          <w:color w:val="auto"/>
        </w:rPr>
        <w:t>comply with the terms and conditions of the Investment Documents, the Project Documents, the Licenses and Permits and applicable Law;</w:t>
      </w:r>
    </w:p>
    <w:p>
      <w:pPr>
        <w:spacing w:after="0" w:line="160" w:lineRule="exact"/>
        <w:rPr>
          <w:rFonts w:ascii="Arial" w:cs="Arial" w:eastAsia="Arial" w:hAnsi="Arial"/>
          <w:sz w:val="22"/>
          <w:szCs w:val="22"/>
          <w:color w:val="auto"/>
        </w:rPr>
      </w:pPr>
    </w:p>
    <w:p>
      <w:pPr>
        <w:ind w:left="660" w:firstLine="1293"/>
        <w:spacing w:after="0" w:line="276" w:lineRule="auto"/>
        <w:tabs>
          <w:tab w:leader="none" w:pos="2429" w:val="left"/>
        </w:tabs>
        <w:numPr>
          <w:ilvl w:val="1"/>
          <w:numId w:val="233"/>
        </w:numPr>
        <w:rPr>
          <w:rFonts w:ascii="Arial" w:cs="Arial" w:eastAsia="Arial" w:hAnsi="Arial"/>
          <w:sz w:val="22"/>
          <w:szCs w:val="22"/>
          <w:color w:val="auto"/>
        </w:rPr>
      </w:pPr>
      <w:r>
        <w:rPr>
          <w:rFonts w:ascii="Arial" w:cs="Arial" w:eastAsia="Arial" w:hAnsi="Arial"/>
          <w:sz w:val="22"/>
          <w:szCs w:val="22"/>
          <w:color w:val="auto"/>
        </w:rPr>
        <w:t>procure and maintain, or cause to be procured and maintained, all insurance required to be maintained pursuant to the Project Documents;</w:t>
      </w:r>
    </w:p>
    <w:p>
      <w:pPr>
        <w:spacing w:after="0" w:line="160" w:lineRule="exact"/>
        <w:rPr>
          <w:rFonts w:ascii="Arial" w:cs="Arial" w:eastAsia="Arial" w:hAnsi="Arial"/>
          <w:sz w:val="22"/>
          <w:szCs w:val="22"/>
          <w:color w:val="auto"/>
        </w:rPr>
      </w:pPr>
    </w:p>
    <w:p>
      <w:pPr>
        <w:jc w:val="both"/>
        <w:ind w:left="660" w:firstLine="1293"/>
        <w:spacing w:after="0" w:line="264" w:lineRule="exact"/>
        <w:tabs>
          <w:tab w:leader="none" w:pos="2475" w:val="left"/>
        </w:tabs>
        <w:numPr>
          <w:ilvl w:val="1"/>
          <w:numId w:val="233"/>
        </w:numPr>
        <w:rPr>
          <w:rFonts w:ascii="Arial" w:cs="Arial" w:eastAsia="Arial" w:hAnsi="Arial"/>
          <w:sz w:val="22"/>
          <w:szCs w:val="22"/>
          <w:color w:val="auto"/>
        </w:rPr>
      </w:pPr>
      <w:r>
        <w:rPr>
          <w:rFonts w:ascii="Arial" w:cs="Arial" w:eastAsia="Arial" w:hAnsi="Arial"/>
          <w:sz w:val="22"/>
          <w:szCs w:val="22"/>
          <w:color w:val="auto"/>
        </w:rPr>
        <w:t>enforce the Company’s and the Subject Companies’ and any counterparty’s compliance with the terms and conditions of all Contracts under which the Company or any Subject Company has any obligations or rights, including this Agreement and the Project Documents and ensure compliance with applicable Laws, including Environmental Laws, Anti</w:t>
      </w:r>
      <w:r>
        <w:rPr>
          <w:rFonts w:ascii="MS PGothic" w:cs="MS PGothic" w:eastAsia="MS PGothic" w:hAnsi="MS PGothic"/>
          <w:sz w:val="22"/>
          <w:szCs w:val="22"/>
          <w:color w:val="auto"/>
        </w:rPr>
        <w:t>‑</w:t>
      </w:r>
      <w:r>
        <w:rPr>
          <w:rFonts w:ascii="Arial" w:cs="Arial" w:eastAsia="Arial" w:hAnsi="Arial"/>
          <w:sz w:val="22"/>
          <w:szCs w:val="22"/>
          <w:color w:val="auto"/>
        </w:rPr>
        <w:t>Corruption Laws and Laws relating to Sanctions;</w:t>
      </w:r>
    </w:p>
    <w:p>
      <w:pPr>
        <w:spacing w:after="0" w:line="201" w:lineRule="exact"/>
        <w:rPr>
          <w:rFonts w:ascii="Arial" w:cs="Arial" w:eastAsia="Arial" w:hAnsi="Arial"/>
          <w:sz w:val="22"/>
          <w:szCs w:val="22"/>
          <w:color w:val="auto"/>
        </w:rPr>
      </w:pPr>
    </w:p>
    <w:p>
      <w:pPr>
        <w:jc w:val="both"/>
        <w:ind w:left="660" w:firstLine="1293"/>
        <w:spacing w:after="0" w:line="254" w:lineRule="auto"/>
        <w:tabs>
          <w:tab w:leader="none" w:pos="2536" w:val="left"/>
        </w:tabs>
        <w:numPr>
          <w:ilvl w:val="1"/>
          <w:numId w:val="233"/>
        </w:numPr>
        <w:rPr>
          <w:rFonts w:ascii="Arial" w:cs="Arial" w:eastAsia="Arial" w:hAnsi="Arial"/>
          <w:sz w:val="22"/>
          <w:szCs w:val="22"/>
          <w:color w:val="auto"/>
        </w:rPr>
      </w:pPr>
      <w:r>
        <w:rPr>
          <w:rFonts w:ascii="Arial" w:cs="Arial" w:eastAsia="Arial" w:hAnsi="Arial"/>
          <w:sz w:val="22"/>
          <w:szCs w:val="22"/>
          <w:color w:val="auto"/>
        </w:rPr>
        <w:t xml:space="preserve">manage the Company’s and the Subject Companies’ cash according to investment guidelines set forth in </w:t>
      </w:r>
      <w:r>
        <w:rPr>
          <w:rFonts w:ascii="Arial" w:cs="Arial" w:eastAsia="Arial" w:hAnsi="Arial"/>
          <w:sz w:val="22"/>
          <w:szCs w:val="22"/>
          <w:u w:val="single" w:color="auto"/>
          <w:color w:val="auto"/>
        </w:rPr>
        <w:t>Section 8.5</w:t>
      </w:r>
      <w:r>
        <w:rPr>
          <w:rFonts w:ascii="Arial" w:cs="Arial" w:eastAsia="Arial" w:hAnsi="Arial"/>
          <w:sz w:val="22"/>
          <w:szCs w:val="22"/>
          <w:color w:val="auto"/>
        </w:rPr>
        <w:t xml:space="preserve"> and make distributions out of available cash as provided under the relevant provisions of this Agreement, the Fund Documents and the Subject Companies’ organizational documents, including the prompt distribution of cash from the Subject Companies to the Company;</w:t>
      </w:r>
    </w:p>
    <w:p>
      <w:pPr>
        <w:spacing w:after="0" w:line="185" w:lineRule="exact"/>
        <w:rPr>
          <w:rFonts w:ascii="Arial" w:cs="Arial" w:eastAsia="Arial" w:hAnsi="Arial"/>
          <w:sz w:val="22"/>
          <w:szCs w:val="22"/>
          <w:color w:val="auto"/>
        </w:rPr>
      </w:pPr>
    </w:p>
    <w:p>
      <w:pPr>
        <w:ind w:left="2560" w:hanging="607"/>
        <w:spacing w:after="0"/>
        <w:tabs>
          <w:tab w:leader="none" w:pos="256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 xml:space="preserve">prepare and deliver all of the reports and other information set forth in </w:t>
      </w:r>
      <w:r>
        <w:rPr>
          <w:rFonts w:ascii="Arial" w:cs="Arial" w:eastAsia="Arial" w:hAnsi="Arial"/>
          <w:sz w:val="22"/>
          <w:szCs w:val="22"/>
          <w:u w:val="single" w:color="auto"/>
          <w:color w:val="auto"/>
        </w:rPr>
        <w:t>Section 8.4</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left="2480" w:hanging="527"/>
        <w:spacing w:after="0"/>
        <w:tabs>
          <w:tab w:leader="none" w:pos="2480" w:val="left"/>
        </w:tabs>
        <w:numPr>
          <w:ilvl w:val="1"/>
          <w:numId w:val="233"/>
        </w:numPr>
        <w:rPr>
          <w:rFonts w:ascii="Arial" w:cs="Arial" w:eastAsia="Arial" w:hAnsi="Arial"/>
          <w:sz w:val="19"/>
          <w:szCs w:val="19"/>
          <w:color w:val="auto"/>
        </w:rPr>
      </w:pPr>
      <w:r>
        <w:rPr>
          <w:rFonts w:ascii="Arial" w:cs="Arial" w:eastAsia="Arial" w:hAnsi="Arial"/>
          <w:sz w:val="19"/>
          <w:szCs w:val="19"/>
          <w:color w:val="auto"/>
        </w:rPr>
        <w:t>create and maintain the Register, including to reflect any Encumbrance on or Transfer of Membership</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Interests.</w:t>
      </w:r>
    </w:p>
    <w:p>
      <w:pPr>
        <w:spacing w:after="0" w:line="215" w:lineRule="exact"/>
        <w:rPr>
          <w:rFonts w:ascii="Arial" w:cs="Arial" w:eastAsia="Arial" w:hAnsi="Arial"/>
          <w:sz w:val="19"/>
          <w:szCs w:val="19"/>
          <w:color w:val="auto"/>
        </w:rPr>
      </w:pPr>
    </w:p>
    <w:p>
      <w:pPr>
        <w:jc w:val="both"/>
        <w:ind w:firstLine="1305"/>
        <w:spacing w:after="0" w:line="254" w:lineRule="auto"/>
        <w:tabs>
          <w:tab w:leader="none" w:pos="1728" w:val="left"/>
        </w:tabs>
        <w:numPr>
          <w:ilvl w:val="0"/>
          <w:numId w:val="233"/>
        </w:numPr>
        <w:rPr>
          <w:rFonts w:ascii="Arial" w:cs="Arial" w:eastAsia="Arial" w:hAnsi="Arial"/>
          <w:sz w:val="22"/>
          <w:szCs w:val="22"/>
          <w:color w:val="auto"/>
        </w:rPr>
      </w:pPr>
      <w:r>
        <w:rPr>
          <w:rFonts w:ascii="Arial" w:cs="Arial" w:eastAsia="Arial" w:hAnsi="Arial"/>
          <w:sz w:val="22"/>
          <w:szCs w:val="22"/>
          <w:color w:val="auto"/>
        </w:rPr>
        <w:t xml:space="preserve">In addition to the actions required pursuant to </w:t>
      </w:r>
      <w:r>
        <w:rPr>
          <w:rFonts w:ascii="Arial" w:cs="Arial" w:eastAsia="Arial" w:hAnsi="Arial"/>
          <w:sz w:val="22"/>
          <w:szCs w:val="22"/>
          <w:u w:val="single" w:color="auto"/>
          <w:color w:val="auto"/>
        </w:rPr>
        <w:t>Section 6.1(a)</w:t>
      </w:r>
      <w:r>
        <w:rPr>
          <w:rFonts w:ascii="Arial" w:cs="Arial" w:eastAsia="Arial" w:hAnsi="Arial"/>
          <w:sz w:val="22"/>
          <w:szCs w:val="22"/>
          <w:color w:val="auto"/>
        </w:rPr>
        <w:t>, and in no event in limitation thereof, the Manager shall provide the following services to the Company and the Subject Companies, as applicable (provided that, in each case as it relates to any Subject Company, only to the extent that the Company has (directly or indirectly) the authority to control the management of such Subject Company):</w:t>
      </w:r>
    </w:p>
    <w:p>
      <w:pPr>
        <w:spacing w:after="0" w:line="185" w:lineRule="exact"/>
        <w:rPr>
          <w:rFonts w:ascii="Arial" w:cs="Arial" w:eastAsia="Arial" w:hAnsi="Arial"/>
          <w:sz w:val="22"/>
          <w:szCs w:val="22"/>
          <w:color w:val="auto"/>
        </w:rPr>
      </w:pPr>
    </w:p>
    <w:p>
      <w:pPr>
        <w:jc w:val="both"/>
        <w:ind w:left="660" w:firstLine="1293"/>
        <w:spacing w:after="0" w:line="260" w:lineRule="auto"/>
        <w:tabs>
          <w:tab w:leader="none" w:pos="2448" w:val="left"/>
        </w:tabs>
        <w:numPr>
          <w:ilvl w:val="1"/>
          <w:numId w:val="233"/>
        </w:numPr>
        <w:rPr>
          <w:rFonts w:ascii="Arial" w:cs="Arial" w:eastAsia="Arial" w:hAnsi="Arial"/>
          <w:sz w:val="22"/>
          <w:szCs w:val="22"/>
          <w:color w:val="auto"/>
        </w:rPr>
      </w:pPr>
      <w:r>
        <w:rPr>
          <w:rFonts w:ascii="Arial" w:cs="Arial" w:eastAsia="Arial" w:hAnsi="Arial"/>
          <w:sz w:val="22"/>
          <w:szCs w:val="22"/>
          <w:u w:val="single" w:color="auto"/>
          <w:color w:val="auto"/>
        </w:rPr>
        <w:t>Accounting Services</w:t>
      </w:r>
      <w:r>
        <w:rPr>
          <w:rFonts w:ascii="Arial" w:cs="Arial" w:eastAsia="Arial" w:hAnsi="Arial"/>
          <w:sz w:val="22"/>
          <w:szCs w:val="22"/>
          <w:color w:val="auto"/>
        </w:rPr>
        <w:t>. The Manager shall and/or shall cause the Master Services Provider to provide accounting and administrative support for all operations, including the following accounting services, to the Company and the Subject Companies, as applicable:</w:t>
      </w:r>
    </w:p>
    <w:p>
      <w:pPr>
        <w:spacing w:after="0" w:line="177" w:lineRule="exact"/>
        <w:rPr>
          <w:rFonts w:ascii="Arial" w:cs="Arial" w:eastAsia="Arial" w:hAnsi="Arial"/>
          <w:sz w:val="22"/>
          <w:szCs w:val="22"/>
          <w:color w:val="auto"/>
        </w:rPr>
      </w:pPr>
    </w:p>
    <w:p>
      <w:pPr>
        <w:jc w:val="both"/>
        <w:ind w:left="1300" w:firstLine="1301"/>
        <w:spacing w:after="0" w:line="358" w:lineRule="auto"/>
        <w:tabs>
          <w:tab w:leader="none" w:pos="3211" w:val="left"/>
        </w:tabs>
        <w:numPr>
          <w:ilvl w:val="2"/>
          <w:numId w:val="233"/>
        </w:numPr>
        <w:rPr>
          <w:rFonts w:ascii="Arial" w:cs="Arial" w:eastAsia="Arial" w:hAnsi="Arial"/>
          <w:sz w:val="19"/>
          <w:szCs w:val="19"/>
          <w:color w:val="auto"/>
        </w:rPr>
      </w:pPr>
      <w:r>
        <w:rPr>
          <w:rFonts w:ascii="Arial" w:cs="Arial" w:eastAsia="Arial" w:hAnsi="Arial"/>
          <w:sz w:val="19"/>
          <w:szCs w:val="19"/>
          <w:color w:val="auto"/>
        </w:rPr>
        <w:t>preparation, filing, storage and dissemination of all necessary documentation of each such Person’s actions and transactions as required by law, by the applicable Fund Documents (including all reporting</w:t>
      </w:r>
    </w:p>
    <w:p>
      <w:pPr>
        <w:sectPr>
          <w:pgSz w:w="11900" w:h="16988" w:orient="portrait"/>
          <w:cols w:equalWidth="0" w:num="1">
            <w:col w:w="11420"/>
          </w:cols>
          <w:pgMar w:left="240" w:top="132" w:right="239" w:bottom="0" w:gutter="0" w:footer="0" w:header="0"/>
        </w:sectPr>
      </w:pPr>
    </w:p>
    <w:bookmarkStart w:id="245" w:name="page246"/>
    <w:bookmarkEnd w:id="245"/>
    <w:p>
      <w:pPr>
        <w:ind w:left="100"/>
        <w:spacing w:after="0"/>
        <w:rPr>
          <w:sz w:val="20"/>
          <w:szCs w:val="20"/>
          <w:color w:val="auto"/>
        </w:rPr>
      </w:pPr>
      <w:r>
        <w:rPr>
          <w:rFonts w:ascii="Arial" w:cs="Arial" w:eastAsia="Arial" w:hAnsi="Arial"/>
          <w:sz w:val="19"/>
          <w:szCs w:val="19"/>
          <w:color w:val="auto"/>
        </w:rPr>
        <w:t>required thereunder) and of all documentation reasonably deemed necessary or appropriate by the Manager;</w:t>
      </w:r>
    </w:p>
    <w:p>
      <w:pPr>
        <w:spacing w:after="0" w:line="254" w:lineRule="exact"/>
        <w:rPr>
          <w:sz w:val="20"/>
          <w:szCs w:val="20"/>
          <w:color w:val="auto"/>
        </w:rPr>
      </w:pPr>
    </w:p>
    <w:p>
      <w:pPr>
        <w:ind w:left="100" w:firstLine="1301"/>
        <w:spacing w:after="0" w:line="301" w:lineRule="auto"/>
        <w:tabs>
          <w:tab w:leader="none" w:pos="1959" w:val="left"/>
        </w:tabs>
        <w:numPr>
          <w:ilvl w:val="1"/>
          <w:numId w:val="234"/>
        </w:numPr>
        <w:rPr>
          <w:rFonts w:ascii="Arial" w:cs="Arial" w:eastAsia="Arial" w:hAnsi="Arial"/>
          <w:sz w:val="21"/>
          <w:szCs w:val="21"/>
          <w:color w:val="auto"/>
        </w:rPr>
      </w:pPr>
      <w:r>
        <w:rPr>
          <w:rFonts w:ascii="Arial" w:cs="Arial" w:eastAsia="Arial" w:hAnsi="Arial"/>
          <w:sz w:val="21"/>
          <w:szCs w:val="21"/>
          <w:color w:val="auto"/>
        </w:rPr>
        <w:t>maintenance of accounting and tax records of each such Person’s transactions in accordance with the accounting standards set forth in the applicable Fund Documents and this Agreement;</w:t>
      </w:r>
    </w:p>
    <w:p>
      <w:pPr>
        <w:spacing w:after="0" w:line="137" w:lineRule="exact"/>
        <w:rPr>
          <w:rFonts w:ascii="Arial" w:cs="Arial" w:eastAsia="Arial" w:hAnsi="Arial"/>
          <w:sz w:val="21"/>
          <w:szCs w:val="21"/>
          <w:color w:val="auto"/>
        </w:rPr>
      </w:pPr>
    </w:p>
    <w:p>
      <w:pPr>
        <w:jc w:val="both"/>
        <w:ind w:left="100" w:firstLine="1301"/>
        <w:spacing w:after="0" w:line="320" w:lineRule="auto"/>
        <w:tabs>
          <w:tab w:leader="none" w:pos="1905" w:val="left"/>
        </w:tabs>
        <w:numPr>
          <w:ilvl w:val="1"/>
          <w:numId w:val="234"/>
        </w:numPr>
        <w:rPr>
          <w:rFonts w:ascii="Arial" w:cs="Arial" w:eastAsia="Arial" w:hAnsi="Arial"/>
          <w:sz w:val="19"/>
          <w:szCs w:val="19"/>
          <w:color w:val="auto"/>
        </w:rPr>
      </w:pPr>
      <w:r>
        <w:rPr>
          <w:rFonts w:ascii="Arial" w:cs="Arial" w:eastAsia="Arial" w:hAnsi="Arial"/>
          <w:sz w:val="19"/>
          <w:szCs w:val="19"/>
          <w:color w:val="auto"/>
        </w:rPr>
        <w:t>facilitation of payment by the Company and each Subject Company of all reasonable expenses of the Company and such Subject Company in accordance with the applicable Fund Documents and this Agreement, as reflected in the annual budget for the Company and such Subject Company, or reasonably related thereto;</w:t>
      </w:r>
    </w:p>
    <w:p>
      <w:pPr>
        <w:spacing w:after="0" w:line="125" w:lineRule="exact"/>
        <w:rPr>
          <w:rFonts w:ascii="Arial" w:cs="Arial" w:eastAsia="Arial" w:hAnsi="Arial"/>
          <w:sz w:val="19"/>
          <w:szCs w:val="19"/>
          <w:color w:val="auto"/>
        </w:rPr>
      </w:pPr>
    </w:p>
    <w:p>
      <w:pPr>
        <w:ind w:left="100" w:right="20" w:firstLine="1301"/>
        <w:spacing w:after="0" w:line="276" w:lineRule="auto"/>
        <w:tabs>
          <w:tab w:leader="none" w:pos="2187" w:val="left"/>
        </w:tabs>
        <w:numPr>
          <w:ilvl w:val="1"/>
          <w:numId w:val="234"/>
        </w:numPr>
        <w:rPr>
          <w:rFonts w:ascii="Arial" w:cs="Arial" w:eastAsia="Arial" w:hAnsi="Arial"/>
          <w:sz w:val="22"/>
          <w:szCs w:val="22"/>
          <w:color w:val="auto"/>
        </w:rPr>
      </w:pPr>
      <w:r>
        <w:rPr>
          <w:rFonts w:ascii="Arial" w:cs="Arial" w:eastAsia="Arial" w:hAnsi="Arial"/>
          <w:sz w:val="22"/>
          <w:szCs w:val="22"/>
          <w:color w:val="auto"/>
        </w:rPr>
        <w:t>preparation and distribution of all applicable financial reports, financial models and accompanying certificates in accordance with the applicable Fund Documents and this Agreement;</w:t>
      </w:r>
    </w:p>
    <w:p>
      <w:pPr>
        <w:spacing w:after="0" w:line="160" w:lineRule="exact"/>
        <w:rPr>
          <w:rFonts w:ascii="Arial" w:cs="Arial" w:eastAsia="Arial" w:hAnsi="Arial"/>
          <w:sz w:val="22"/>
          <w:szCs w:val="22"/>
          <w:color w:val="auto"/>
        </w:rPr>
      </w:pPr>
    </w:p>
    <w:p>
      <w:pPr>
        <w:ind w:left="100" w:firstLine="1301"/>
        <w:spacing w:after="0" w:line="276" w:lineRule="auto"/>
        <w:tabs>
          <w:tab w:leader="none" w:pos="1974" w:val="left"/>
        </w:tabs>
        <w:numPr>
          <w:ilvl w:val="1"/>
          <w:numId w:val="234"/>
        </w:numPr>
        <w:rPr>
          <w:rFonts w:ascii="Arial" w:cs="Arial" w:eastAsia="Arial" w:hAnsi="Arial"/>
          <w:sz w:val="22"/>
          <w:szCs w:val="22"/>
          <w:color w:val="auto"/>
        </w:rPr>
      </w:pPr>
      <w:r>
        <w:rPr>
          <w:rFonts w:ascii="Arial" w:cs="Arial" w:eastAsia="Arial" w:hAnsi="Arial"/>
          <w:sz w:val="22"/>
          <w:szCs w:val="22"/>
          <w:color w:val="auto"/>
        </w:rPr>
        <w:t xml:space="preserve">preparation and distribution of an annual budget for the Subject Companies and as may be required by the Fund Documents and this Agreement (including </w:t>
      </w:r>
      <w:r>
        <w:rPr>
          <w:rFonts w:ascii="Arial" w:cs="Arial" w:eastAsia="Arial" w:hAnsi="Arial"/>
          <w:sz w:val="22"/>
          <w:szCs w:val="22"/>
          <w:u w:val="single" w:color="auto"/>
          <w:color w:val="auto"/>
        </w:rPr>
        <w:t>Section 6.8</w:t>
      </w:r>
      <w:r>
        <w:rPr>
          <w:rFonts w:ascii="Arial" w:cs="Arial" w:eastAsia="Arial" w:hAnsi="Arial"/>
          <w:sz w:val="22"/>
          <w:szCs w:val="22"/>
          <w:color w:val="auto"/>
        </w:rPr>
        <w:t xml:space="preserve"> hereof);</w:t>
      </w:r>
    </w:p>
    <w:p>
      <w:pPr>
        <w:spacing w:after="0" w:line="160" w:lineRule="exact"/>
        <w:rPr>
          <w:rFonts w:ascii="Arial" w:cs="Arial" w:eastAsia="Arial" w:hAnsi="Arial"/>
          <w:sz w:val="22"/>
          <w:szCs w:val="22"/>
          <w:color w:val="auto"/>
        </w:rPr>
      </w:pPr>
    </w:p>
    <w:p>
      <w:pPr>
        <w:ind w:left="100" w:right="20" w:firstLine="1301"/>
        <w:spacing w:after="0" w:line="276" w:lineRule="auto"/>
        <w:tabs>
          <w:tab w:leader="none" w:pos="1854" w:val="left"/>
        </w:tabs>
        <w:numPr>
          <w:ilvl w:val="1"/>
          <w:numId w:val="234"/>
        </w:numPr>
        <w:rPr>
          <w:rFonts w:ascii="Arial" w:cs="Arial" w:eastAsia="Arial" w:hAnsi="Arial"/>
          <w:sz w:val="22"/>
          <w:szCs w:val="22"/>
          <w:color w:val="auto"/>
        </w:rPr>
      </w:pPr>
      <w:r>
        <w:rPr>
          <w:rFonts w:ascii="Arial" w:cs="Arial" w:eastAsia="Arial" w:hAnsi="Arial"/>
          <w:sz w:val="22"/>
          <w:szCs w:val="22"/>
          <w:color w:val="auto"/>
        </w:rPr>
        <w:t>negotiation and administration of an engagement letter with the Certified Public Accountant for annual audit (if required) and tax return review services; and</w:t>
      </w:r>
    </w:p>
    <w:p>
      <w:pPr>
        <w:spacing w:after="0" w:line="160" w:lineRule="exact"/>
        <w:rPr>
          <w:rFonts w:ascii="Arial" w:cs="Arial" w:eastAsia="Arial" w:hAnsi="Arial"/>
          <w:sz w:val="22"/>
          <w:szCs w:val="22"/>
          <w:color w:val="auto"/>
        </w:rPr>
      </w:pPr>
    </w:p>
    <w:p>
      <w:pPr>
        <w:ind w:left="100" w:right="20" w:firstLine="1301"/>
        <w:spacing w:after="0" w:line="276" w:lineRule="auto"/>
        <w:tabs>
          <w:tab w:leader="none" w:pos="1971" w:val="left"/>
        </w:tabs>
        <w:numPr>
          <w:ilvl w:val="1"/>
          <w:numId w:val="234"/>
        </w:numPr>
        <w:rPr>
          <w:rFonts w:ascii="Arial" w:cs="Arial" w:eastAsia="Arial" w:hAnsi="Arial"/>
          <w:sz w:val="22"/>
          <w:szCs w:val="22"/>
          <w:color w:val="auto"/>
        </w:rPr>
      </w:pPr>
      <w:r>
        <w:rPr>
          <w:rFonts w:ascii="Arial" w:cs="Arial" w:eastAsia="Arial" w:hAnsi="Arial"/>
          <w:sz w:val="22"/>
          <w:szCs w:val="22"/>
          <w:color w:val="auto"/>
        </w:rPr>
        <w:t>preparation, facilitation and / or distribution of all other reports, certificates, or transactional information or analysis as reasonably required by the Subject Companies.</w:t>
      </w:r>
    </w:p>
    <w:p>
      <w:pPr>
        <w:spacing w:after="0" w:line="160" w:lineRule="exact"/>
        <w:rPr>
          <w:rFonts w:ascii="Arial" w:cs="Arial" w:eastAsia="Arial" w:hAnsi="Arial"/>
          <w:sz w:val="22"/>
          <w:szCs w:val="22"/>
          <w:color w:val="auto"/>
        </w:rPr>
      </w:pPr>
    </w:p>
    <w:p>
      <w:pPr>
        <w:jc w:val="both"/>
        <w:ind w:left="-540" w:firstLine="1293"/>
        <w:spacing w:after="0" w:line="300" w:lineRule="auto"/>
        <w:tabs>
          <w:tab w:leader="none" w:pos="1295"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and other more specific provisions of this Agreement and the related provisions contained in the Fund Documents, the Manager shall provide, or cause to be provided, the following tax services to the Company and the Subject Companies in accordance with its obligations required by the Fund Documents, as applicable (provided that, in each case as it relates to any Subject Company, only to the extent that the Company has (directly or indirectly) the authority to control the management of such Subject Company):</w:t>
      </w:r>
    </w:p>
    <w:p>
      <w:pPr>
        <w:spacing w:after="0" w:line="147" w:lineRule="exact"/>
        <w:rPr>
          <w:rFonts w:ascii="Arial" w:cs="Arial" w:eastAsia="Arial" w:hAnsi="Arial"/>
          <w:sz w:val="19"/>
          <w:szCs w:val="19"/>
          <w:color w:val="auto"/>
        </w:rPr>
      </w:pPr>
    </w:p>
    <w:p>
      <w:pPr>
        <w:jc w:val="both"/>
        <w:ind w:left="100" w:firstLine="1301"/>
        <w:spacing w:after="0" w:line="254" w:lineRule="auto"/>
        <w:tabs>
          <w:tab w:leader="none" w:pos="1957" w:val="left"/>
        </w:tabs>
        <w:numPr>
          <w:ilvl w:val="1"/>
          <w:numId w:val="235"/>
        </w:numPr>
        <w:rPr>
          <w:rFonts w:ascii="Arial" w:cs="Arial" w:eastAsia="Arial" w:hAnsi="Arial"/>
          <w:sz w:val="22"/>
          <w:szCs w:val="22"/>
          <w:color w:val="auto"/>
        </w:rPr>
      </w:pPr>
      <w:r>
        <w:rPr>
          <w:rFonts w:ascii="Arial" w:cs="Arial" w:eastAsia="Arial" w:hAnsi="Arial"/>
          <w:sz w:val="22"/>
          <w:szCs w:val="22"/>
          <w:color w:val="auto"/>
        </w:rPr>
        <w:t>preparation and timely filing of all applicable federal, state, local and / or other Tax returns, including income, franchise, excise, gross receipts, sales and use tax returns and / or reports in accordance with the terms and conditions of the Fund Documents and this Agreement, including the performance or coordination of any tax law research to support such filing;</w:t>
      </w:r>
    </w:p>
    <w:p>
      <w:pPr>
        <w:spacing w:after="0" w:line="185" w:lineRule="exact"/>
        <w:rPr>
          <w:rFonts w:ascii="Arial" w:cs="Arial" w:eastAsia="Arial" w:hAnsi="Arial"/>
          <w:sz w:val="22"/>
          <w:szCs w:val="22"/>
          <w:color w:val="auto"/>
        </w:rPr>
      </w:pPr>
    </w:p>
    <w:p>
      <w:pPr>
        <w:jc w:val="both"/>
        <w:ind w:left="100" w:firstLine="1301"/>
        <w:spacing w:after="0" w:line="320" w:lineRule="auto"/>
        <w:tabs>
          <w:tab w:leader="none" w:pos="2067" w:val="left"/>
        </w:tabs>
        <w:numPr>
          <w:ilvl w:val="1"/>
          <w:numId w:val="235"/>
        </w:numPr>
        <w:rPr>
          <w:rFonts w:ascii="Arial" w:cs="Arial" w:eastAsia="Arial" w:hAnsi="Arial"/>
          <w:sz w:val="19"/>
          <w:szCs w:val="19"/>
          <w:color w:val="auto"/>
        </w:rPr>
      </w:pPr>
      <w:r>
        <w:rPr>
          <w:rFonts w:ascii="Arial" w:cs="Arial" w:eastAsia="Arial" w:hAnsi="Arial"/>
          <w:sz w:val="19"/>
          <w:szCs w:val="19"/>
          <w:color w:val="auto"/>
        </w:rPr>
        <w:t>administration, invoicing and coordination of property taxes including preparation of all applicable business property tax returns; the review of any property tax assessment on the Projects; the review and timely payment of property tax bills; and administration of any property tax agreement, if applicable; and</w:t>
      </w:r>
    </w:p>
    <w:p>
      <w:pPr>
        <w:spacing w:after="0" w:line="125" w:lineRule="exact"/>
        <w:rPr>
          <w:rFonts w:ascii="Arial" w:cs="Arial" w:eastAsia="Arial" w:hAnsi="Arial"/>
          <w:sz w:val="19"/>
          <w:szCs w:val="19"/>
          <w:color w:val="auto"/>
        </w:rPr>
      </w:pPr>
    </w:p>
    <w:p>
      <w:pPr>
        <w:jc w:val="both"/>
        <w:ind w:left="100" w:firstLine="1301"/>
        <w:spacing w:after="0" w:line="270" w:lineRule="auto"/>
        <w:tabs>
          <w:tab w:leader="none" w:pos="1891" w:val="left"/>
        </w:tabs>
        <w:numPr>
          <w:ilvl w:val="1"/>
          <w:numId w:val="235"/>
        </w:numPr>
        <w:rPr>
          <w:rFonts w:ascii="Arial" w:cs="Arial" w:eastAsia="Arial" w:hAnsi="Arial"/>
          <w:sz w:val="21"/>
          <w:szCs w:val="21"/>
          <w:color w:val="auto"/>
        </w:rPr>
      </w:pPr>
      <w:r>
        <w:rPr>
          <w:rFonts w:ascii="Arial" w:cs="Arial" w:eastAsia="Arial" w:hAnsi="Arial"/>
          <w:sz w:val="21"/>
          <w:szCs w:val="21"/>
          <w:color w:val="auto"/>
        </w:rPr>
        <w:t>cause the Tax Matters Member to represent the Company, and cause the tax matters member of each Subject Company to represent such Subject Company, in any audit, examination, or review conducted by an appropriate taxing authority of any of the Company’s or such Subject Company’s federal, state, provincial, or local income, franchise, gross receipts, sales and use, or property tax filings.</w:t>
      </w:r>
    </w:p>
    <w:p>
      <w:pPr>
        <w:spacing w:after="0" w:line="169" w:lineRule="exact"/>
        <w:rPr>
          <w:rFonts w:ascii="Arial" w:cs="Arial" w:eastAsia="Arial" w:hAnsi="Arial"/>
          <w:sz w:val="21"/>
          <w:szCs w:val="21"/>
          <w:color w:val="auto"/>
        </w:rPr>
      </w:pPr>
    </w:p>
    <w:p>
      <w:pPr>
        <w:jc w:val="both"/>
        <w:ind w:left="-540" w:firstLine="1293"/>
        <w:spacing w:after="0" w:line="254" w:lineRule="auto"/>
        <w:tabs>
          <w:tab w:leader="none" w:pos="1261"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Treasury Services</w:t>
      </w:r>
      <w:r>
        <w:rPr>
          <w:rFonts w:ascii="Arial" w:cs="Arial" w:eastAsia="Arial" w:hAnsi="Arial"/>
          <w:sz w:val="22"/>
          <w:szCs w:val="22"/>
          <w:color w:val="auto"/>
        </w:rPr>
        <w:t>. The Manager shall provide, or cause to be provided, the following treasury services, to the extent necessary, to the Company and the Subject Companies, as applicable (provided that, in each case as it relates to any Subject Company, only to the extent that the Company has (directly or indirectly) the authority to control the management of such Subject Company):</w:t>
      </w:r>
    </w:p>
    <w:p>
      <w:pPr>
        <w:spacing w:after="0" w:line="185" w:lineRule="exact"/>
        <w:rPr>
          <w:rFonts w:ascii="Arial" w:cs="Arial" w:eastAsia="Arial" w:hAnsi="Arial"/>
          <w:sz w:val="22"/>
          <w:szCs w:val="22"/>
          <w:color w:val="auto"/>
        </w:rPr>
      </w:pPr>
    </w:p>
    <w:p>
      <w:pPr>
        <w:jc w:val="both"/>
        <w:ind w:left="100" w:firstLine="1301"/>
        <w:spacing w:after="0" w:line="254" w:lineRule="auto"/>
        <w:tabs>
          <w:tab w:leader="none" w:pos="1944" w:val="left"/>
        </w:tabs>
        <w:numPr>
          <w:ilvl w:val="1"/>
          <w:numId w:val="235"/>
        </w:numPr>
        <w:rPr>
          <w:rFonts w:ascii="Arial" w:cs="Arial" w:eastAsia="Arial" w:hAnsi="Arial"/>
          <w:sz w:val="22"/>
          <w:szCs w:val="22"/>
          <w:color w:val="auto"/>
        </w:rPr>
      </w:pPr>
      <w:r>
        <w:rPr>
          <w:rFonts w:ascii="Arial" w:cs="Arial" w:eastAsia="Arial" w:hAnsi="Arial"/>
          <w:sz w:val="22"/>
          <w:szCs w:val="22"/>
          <w:color w:val="auto"/>
        </w:rPr>
        <w:t>establishment, maintenance, and administration of one or more bank accounts in the name of the Company and the Subject Companies (with respect to the Subject Companies, if and as required) in which to deposit the Company’s or the Subject Companies’ receipts, and from which to draw upon for the payment of all reasonable expenses of the Company or the Subject Companies;</w:t>
      </w:r>
    </w:p>
    <w:p>
      <w:pPr>
        <w:spacing w:after="0" w:line="185" w:lineRule="exact"/>
        <w:rPr>
          <w:rFonts w:ascii="Arial" w:cs="Arial" w:eastAsia="Arial" w:hAnsi="Arial"/>
          <w:sz w:val="22"/>
          <w:szCs w:val="22"/>
          <w:color w:val="auto"/>
        </w:rPr>
      </w:pPr>
    </w:p>
    <w:p>
      <w:pPr>
        <w:jc w:val="both"/>
        <w:ind w:left="100" w:firstLine="1301"/>
        <w:spacing w:after="0" w:line="278" w:lineRule="auto"/>
        <w:tabs>
          <w:tab w:leader="none" w:pos="1932" w:val="left"/>
        </w:tabs>
        <w:numPr>
          <w:ilvl w:val="1"/>
          <w:numId w:val="235"/>
        </w:numPr>
        <w:rPr>
          <w:rFonts w:ascii="Arial" w:cs="Arial" w:eastAsia="Arial" w:hAnsi="Arial"/>
          <w:sz w:val="21"/>
          <w:szCs w:val="21"/>
          <w:color w:val="auto"/>
        </w:rPr>
      </w:pPr>
      <w:r>
        <w:rPr>
          <w:rFonts w:ascii="Arial" w:cs="Arial" w:eastAsia="Arial" w:hAnsi="Arial"/>
          <w:sz w:val="21"/>
          <w:szCs w:val="21"/>
          <w:color w:val="auto"/>
        </w:rPr>
        <w:t>investment and distribution of the Company and the Subject Companies’ funds in association with reasonable and customary cash forecast and cash management practices and in accordance with the terms, conditions, and limitations of all applicable Fund Documents and this Agreement;</w:t>
      </w:r>
    </w:p>
    <w:p>
      <w:pPr>
        <w:spacing w:after="0" w:line="160" w:lineRule="exact"/>
        <w:rPr>
          <w:rFonts w:ascii="Arial" w:cs="Arial" w:eastAsia="Arial" w:hAnsi="Arial"/>
          <w:sz w:val="21"/>
          <w:szCs w:val="21"/>
          <w:color w:val="auto"/>
        </w:rPr>
      </w:pPr>
    </w:p>
    <w:p>
      <w:pPr>
        <w:ind w:left="100" w:firstLine="1301"/>
        <w:spacing w:after="0" w:line="358" w:lineRule="auto"/>
        <w:tabs>
          <w:tab w:leader="none" w:pos="1864" w:val="left"/>
        </w:tabs>
        <w:numPr>
          <w:ilvl w:val="1"/>
          <w:numId w:val="235"/>
        </w:numPr>
        <w:rPr>
          <w:rFonts w:ascii="Arial" w:cs="Arial" w:eastAsia="Arial" w:hAnsi="Arial"/>
          <w:sz w:val="19"/>
          <w:szCs w:val="19"/>
          <w:color w:val="auto"/>
        </w:rPr>
      </w:pPr>
      <w:r>
        <w:rPr>
          <w:rFonts w:ascii="Arial" w:cs="Arial" w:eastAsia="Arial" w:hAnsi="Arial"/>
          <w:sz w:val="19"/>
          <w:szCs w:val="19"/>
          <w:color w:val="auto"/>
        </w:rPr>
        <w:t>maintenance and administration of any revolving lines of credit available to the Company or the Subject Companies subject to the terms and conditions of all applicable Fund Documents and this Agreement;</w:t>
      </w:r>
    </w:p>
    <w:p>
      <w:pPr>
        <w:spacing w:after="0" w:line="90" w:lineRule="exact"/>
        <w:rPr>
          <w:rFonts w:ascii="Arial" w:cs="Arial" w:eastAsia="Arial" w:hAnsi="Arial"/>
          <w:sz w:val="19"/>
          <w:szCs w:val="19"/>
          <w:color w:val="auto"/>
        </w:rPr>
      </w:pPr>
    </w:p>
    <w:p>
      <w:pPr>
        <w:jc w:val="both"/>
        <w:ind w:left="100" w:firstLine="1301"/>
        <w:spacing w:after="0" w:line="260" w:lineRule="auto"/>
        <w:tabs>
          <w:tab w:leader="none" w:pos="1876" w:val="left"/>
        </w:tabs>
        <w:numPr>
          <w:ilvl w:val="1"/>
          <w:numId w:val="235"/>
        </w:numPr>
        <w:rPr>
          <w:rFonts w:ascii="Arial" w:cs="Arial" w:eastAsia="Arial" w:hAnsi="Arial"/>
          <w:sz w:val="22"/>
          <w:szCs w:val="22"/>
          <w:color w:val="auto"/>
        </w:rPr>
      </w:pPr>
      <w:r>
        <w:rPr>
          <w:rFonts w:ascii="Arial" w:cs="Arial" w:eastAsia="Arial" w:hAnsi="Arial"/>
          <w:sz w:val="22"/>
          <w:szCs w:val="22"/>
          <w:color w:val="auto"/>
        </w:rPr>
        <w:t>maintenance and administration of any letters of credit issued by, on behalf of, or for the benefit of the Company or any Subject Company subject to the terms and conditions of all applicable Fund Documents and this Agreement;</w:t>
      </w:r>
    </w:p>
    <w:p>
      <w:pPr>
        <w:spacing w:after="0" w:line="177" w:lineRule="exact"/>
        <w:rPr>
          <w:rFonts w:ascii="Arial" w:cs="Arial" w:eastAsia="Arial" w:hAnsi="Arial"/>
          <w:sz w:val="22"/>
          <w:szCs w:val="22"/>
          <w:color w:val="auto"/>
        </w:rPr>
      </w:pPr>
    </w:p>
    <w:p>
      <w:pPr>
        <w:ind w:left="100" w:firstLine="1301"/>
        <w:spacing w:after="0" w:line="358" w:lineRule="auto"/>
        <w:tabs>
          <w:tab w:leader="none" w:pos="1893" w:val="left"/>
        </w:tabs>
        <w:numPr>
          <w:ilvl w:val="1"/>
          <w:numId w:val="235"/>
        </w:numPr>
        <w:rPr>
          <w:rFonts w:ascii="Arial" w:cs="Arial" w:eastAsia="Arial" w:hAnsi="Arial"/>
          <w:sz w:val="19"/>
          <w:szCs w:val="19"/>
          <w:color w:val="auto"/>
        </w:rPr>
      </w:pPr>
      <w:r>
        <w:rPr>
          <w:rFonts w:ascii="Arial" w:cs="Arial" w:eastAsia="Arial" w:hAnsi="Arial"/>
          <w:sz w:val="19"/>
          <w:szCs w:val="19"/>
          <w:color w:val="auto"/>
        </w:rPr>
        <w:t>maintenance by the Manager of the Company’s and the Subject Companies’ relationships with its banks, bondholders, rating agencies and / or other financial institutions, and their respective legal counsels; and</w:t>
      </w:r>
    </w:p>
    <w:p>
      <w:pPr>
        <w:spacing w:after="0" w:line="90" w:lineRule="exact"/>
        <w:rPr>
          <w:rFonts w:ascii="Arial" w:cs="Arial" w:eastAsia="Arial" w:hAnsi="Arial"/>
          <w:sz w:val="19"/>
          <w:szCs w:val="19"/>
          <w:color w:val="auto"/>
        </w:rPr>
      </w:pPr>
    </w:p>
    <w:p>
      <w:pPr>
        <w:ind w:left="1840" w:hanging="439"/>
        <w:spacing w:after="0"/>
        <w:tabs>
          <w:tab w:leader="none" w:pos="184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periodic maintenance and analysis of the Projects’ long-term economic projections.</w:t>
      </w:r>
    </w:p>
    <w:p>
      <w:pPr>
        <w:sectPr>
          <w:pgSz w:w="11900" w:h="16838" w:orient="portrait"/>
          <w:cols w:equalWidth="0" w:num="1">
            <w:col w:w="10220"/>
          </w:cols>
          <w:pgMar w:left="1440" w:top="132" w:right="239" w:bottom="0" w:gutter="0" w:footer="0" w:header="0"/>
        </w:sectPr>
      </w:pPr>
    </w:p>
    <w:bookmarkStart w:id="246" w:name="page247"/>
    <w:bookmarkEnd w:id="246"/>
    <w:p>
      <w:pPr>
        <w:jc w:val="both"/>
        <w:ind w:left="660" w:firstLine="1293"/>
        <w:spacing w:after="0" w:line="250" w:lineRule="auto"/>
        <w:tabs>
          <w:tab w:leader="none" w:pos="2475"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Legal</w:t>
      </w:r>
      <w:r>
        <w:rPr>
          <w:rFonts w:ascii="Arial" w:cs="Arial" w:eastAsia="Arial" w:hAnsi="Arial"/>
          <w:sz w:val="22"/>
          <w:szCs w:val="22"/>
          <w:color w:val="auto"/>
        </w:rPr>
        <w:t>. The Manager shall coordinate legal services, in the name of and on behalf of the Company and the Subject Companies for whom the Company has (directly or indirectly) management authority, as it deems necessary to ensure the proper administration and management of the Projects. In coordinating these legal services, the Manager will determine whether such legal services are to be performed by in-house legal staff (if at the time such legal services are performed during the term of this Agreement the Manager has in its employ any in-house legal staff), outside legal counsel, or any combination thereof.</w:t>
      </w:r>
    </w:p>
    <w:p>
      <w:pPr>
        <w:spacing w:after="0" w:line="188" w:lineRule="exact"/>
        <w:rPr>
          <w:rFonts w:ascii="Arial" w:cs="Arial" w:eastAsia="Arial" w:hAnsi="Arial"/>
          <w:sz w:val="22"/>
          <w:szCs w:val="22"/>
          <w:color w:val="auto"/>
        </w:rPr>
      </w:pPr>
    </w:p>
    <w:p>
      <w:pPr>
        <w:jc w:val="both"/>
        <w:ind w:left="660" w:firstLine="1293"/>
        <w:spacing w:after="0" w:line="262" w:lineRule="auto"/>
        <w:tabs>
          <w:tab w:leader="none" w:pos="2429"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If required under the Fund Documents or any of the other Project Documents, the Manager shall procure insurance coverage for, and in the name of, the Company and (to the extent the Company has (directly or indirectly) management authority for any Subject Company) shall cause the Subject Companies to procure, at the Company’s or the Subject Companies’ expense, as applicable, and shall enforce its rights to such insurance coverage, defense and indemnification;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any such insurance (after consultation with ta reputable insurance broker) is not available on commercially reasonable terms only such insurance shall then be required to be carried pursuant to this Agreement as is then available on commercially reasonable terms.</w:t>
      </w:r>
    </w:p>
    <w:p>
      <w:pPr>
        <w:spacing w:after="0" w:line="180" w:lineRule="exact"/>
        <w:rPr>
          <w:rFonts w:ascii="Arial" w:cs="Arial" w:eastAsia="Arial" w:hAnsi="Arial"/>
          <w:sz w:val="21"/>
          <w:szCs w:val="21"/>
          <w:color w:val="auto"/>
        </w:rPr>
      </w:pPr>
    </w:p>
    <w:p>
      <w:pPr>
        <w:jc w:val="both"/>
        <w:ind w:left="660" w:firstLine="1293"/>
        <w:spacing w:after="0" w:line="262" w:lineRule="auto"/>
        <w:tabs>
          <w:tab w:leader="none" w:pos="2516"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Insurance Claims</w:t>
      </w:r>
      <w:r>
        <w:rPr>
          <w:rFonts w:ascii="Arial" w:cs="Arial" w:eastAsia="Arial" w:hAnsi="Arial"/>
          <w:sz w:val="21"/>
          <w:szCs w:val="21"/>
          <w:color w:val="auto"/>
        </w:rPr>
        <w:t>. The Manager shall adjust insurance claims of the Company and (to the extent the Company has (directly or indirectly) management authority for any Subject Company) the Subject Companies with insurance carriers, as applicable, to ensure equitable recovery for property damage and business interruption claims. Adjustment of such a claim shall include: (A) filing proof of loss with all applicable supporting documentation, (B) site inspection, (C) negotiations with insurance carriers, and (D) ensuring that insurance proceeds be deposited and distributed in accordance with the terms and conditions of this Agreement and the Project Documents. In the event of a liability claim, the Manager shall oversee the defense of the claim.</w:t>
      </w:r>
    </w:p>
    <w:p>
      <w:pPr>
        <w:spacing w:after="0" w:line="180" w:lineRule="exact"/>
        <w:rPr>
          <w:rFonts w:ascii="Arial" w:cs="Arial" w:eastAsia="Arial" w:hAnsi="Arial"/>
          <w:sz w:val="21"/>
          <w:szCs w:val="21"/>
          <w:color w:val="auto"/>
        </w:rPr>
      </w:pPr>
    </w:p>
    <w:p>
      <w:pPr>
        <w:jc w:val="both"/>
        <w:ind w:left="660" w:firstLine="1293"/>
        <w:spacing w:after="0" w:line="278" w:lineRule="auto"/>
        <w:tabs>
          <w:tab w:leader="none" w:pos="2576"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Indebtedness</w:t>
      </w:r>
      <w:r>
        <w:rPr>
          <w:rFonts w:ascii="Arial" w:cs="Arial" w:eastAsia="Arial" w:hAnsi="Arial"/>
          <w:sz w:val="21"/>
          <w:szCs w:val="21"/>
          <w:color w:val="auto"/>
        </w:rPr>
        <w:t>. During any such time during which any Company or (to the extent the Company has (directly or indirectly) management authority for any Subject Company) Subject Company Indebtedness remains outstanding, the Manager shall cause the Company and the applicable Subject Companies to:</w:t>
      </w:r>
    </w:p>
    <w:p>
      <w:pPr>
        <w:spacing w:after="0" w:line="160" w:lineRule="exact"/>
        <w:rPr>
          <w:rFonts w:ascii="Arial" w:cs="Arial" w:eastAsia="Arial" w:hAnsi="Arial"/>
          <w:sz w:val="21"/>
          <w:szCs w:val="21"/>
          <w:color w:val="auto"/>
        </w:rPr>
      </w:pPr>
    </w:p>
    <w:p>
      <w:pPr>
        <w:ind w:left="1300" w:firstLine="1301"/>
        <w:spacing w:after="0" w:line="301" w:lineRule="auto"/>
        <w:tabs>
          <w:tab w:leader="none" w:pos="3184" w:val="left"/>
        </w:tabs>
        <w:numPr>
          <w:ilvl w:val="1"/>
          <w:numId w:val="236"/>
        </w:numPr>
        <w:rPr>
          <w:rFonts w:ascii="Arial" w:cs="Arial" w:eastAsia="Arial" w:hAnsi="Arial"/>
          <w:sz w:val="21"/>
          <w:szCs w:val="21"/>
          <w:color w:val="auto"/>
        </w:rPr>
      </w:pPr>
      <w:r>
        <w:rPr>
          <w:rFonts w:ascii="Arial" w:cs="Arial" w:eastAsia="Arial" w:hAnsi="Arial"/>
          <w:sz w:val="21"/>
          <w:szCs w:val="21"/>
          <w:color w:val="auto"/>
        </w:rPr>
        <w:t>comply with the applicable financing documents, including, without limitation, by repaying such Indebtedness in the amounts and at the times required under such financing documents; and</w:t>
      </w:r>
    </w:p>
    <w:p>
      <w:pPr>
        <w:spacing w:after="0" w:line="137" w:lineRule="exact"/>
        <w:rPr>
          <w:rFonts w:ascii="Arial" w:cs="Arial" w:eastAsia="Arial" w:hAnsi="Arial"/>
          <w:sz w:val="21"/>
          <w:szCs w:val="21"/>
          <w:color w:val="auto"/>
        </w:rPr>
      </w:pPr>
    </w:p>
    <w:p>
      <w:pPr>
        <w:jc w:val="both"/>
        <w:ind w:left="1300" w:firstLine="1301"/>
        <w:spacing w:after="0" w:line="294" w:lineRule="auto"/>
        <w:tabs>
          <w:tab w:leader="none" w:pos="3105" w:val="left"/>
        </w:tabs>
        <w:numPr>
          <w:ilvl w:val="1"/>
          <w:numId w:val="236"/>
        </w:numPr>
        <w:rPr>
          <w:rFonts w:ascii="Arial" w:cs="Arial" w:eastAsia="Arial" w:hAnsi="Arial"/>
          <w:sz w:val="19"/>
          <w:szCs w:val="19"/>
          <w:color w:val="auto"/>
        </w:rPr>
      </w:pPr>
      <w:r>
        <w:rPr>
          <w:rFonts w:ascii="Arial" w:cs="Arial" w:eastAsia="Arial" w:hAnsi="Arial"/>
          <w:sz w:val="19"/>
          <w:szCs w:val="19"/>
          <w:color w:val="auto"/>
        </w:rPr>
        <w:t xml:space="preserve">as soon as practicable following the occurrence or existence of a default or an event of default under any financing documents, use cash or reserves of the applicable Subject Company or, if such Subject Company does not have sufficient cash or reserves, cash or reserves of the Company, to effect (or make commercially reasonable efforts to effect) a cure (or request a waiver) of such a default or an event of default in accordance with the applicable financing documents. For the avoidance of doubt, any cash used by the Company to cure (or attempt to cure or waive) such default or event of default shall be an expense of the Company and shall not be Available Cash Flow available for distribution to the Members pursuant to </w:t>
      </w:r>
      <w:r>
        <w:rPr>
          <w:rFonts w:ascii="Arial" w:cs="Arial" w:eastAsia="Arial" w:hAnsi="Arial"/>
          <w:sz w:val="19"/>
          <w:szCs w:val="19"/>
          <w:u w:val="single" w:color="auto"/>
          <w:color w:val="auto"/>
        </w:rPr>
        <w:t>Article V</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left="660" w:firstLine="1293"/>
        <w:spacing w:after="0" w:line="260" w:lineRule="exact"/>
        <w:tabs>
          <w:tab w:leader="none" w:pos="2569" w:val="left"/>
        </w:tabs>
        <w:numPr>
          <w:ilvl w:val="0"/>
          <w:numId w:val="236"/>
        </w:numPr>
        <w:rPr>
          <w:rFonts w:ascii="Arial" w:cs="Arial" w:eastAsia="Arial" w:hAnsi="Arial"/>
          <w:sz w:val="19"/>
          <w:szCs w:val="19"/>
          <w:color w:val="auto"/>
        </w:rPr>
      </w:pP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The Manager shall cause the Company to maintain in effect and enforce policies and procedures designed to ensure compliance by the Company and the Subject Companies, and their respective directors, officers, employees and agents, with Anti</w:t>
      </w:r>
      <w:r>
        <w:rPr>
          <w:rFonts w:ascii="MS PGothic" w:cs="MS PGothic" w:eastAsia="MS PGothic" w:hAnsi="MS PGothic"/>
          <w:sz w:val="19"/>
          <w:szCs w:val="19"/>
          <w:color w:val="auto"/>
        </w:rPr>
        <w:t>‑</w:t>
      </w:r>
      <w:r>
        <w:rPr>
          <w:rFonts w:ascii="Arial" w:cs="Arial" w:eastAsia="Arial" w:hAnsi="Arial"/>
          <w:sz w:val="19"/>
          <w:szCs w:val="19"/>
          <w:color w:val="auto"/>
        </w:rPr>
        <w:t>Corruption Laws and applicable Sanctions. The Manager shall cause the Company and (to the extent the Company has (directly or indirectly) management authority for any Subject Company) the Subject Companies, and their respective directors, officers, employees and agents, not to use any Company or Subject Company funds (A) in furtherance of an offer, payment, promise to pay, or authorization of the payment or giving of money, or anything else of value, to any Person in violation of any Anti</w:t>
      </w:r>
      <w:r>
        <w:rPr>
          <w:rFonts w:ascii="MS PGothic" w:cs="MS PGothic" w:eastAsia="MS PGothic" w:hAnsi="MS PGothic"/>
          <w:sz w:val="19"/>
          <w:szCs w:val="19"/>
          <w:color w:val="auto"/>
        </w:rPr>
        <w:t>‑</w:t>
      </w:r>
      <w:r>
        <w:rPr>
          <w:rFonts w:ascii="Arial" w:cs="Arial" w:eastAsia="Arial" w:hAnsi="Arial"/>
          <w:sz w:val="19"/>
          <w:szCs w:val="19"/>
          <w:color w:val="auto"/>
        </w:rPr>
        <w:t>Corruption Laws, (B) for the purpose of funding, financing or facilitating any activities, business or transaction of or with any Sanctioned Person or in any Sanctioned Country or (C) in any manner that would result in the violation of any Sanctions.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For the avoidance of doubt, all services required to be performed by the Manager pursuant to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shall be provided by the Manager at no cost or expense to the Company, except to the extent otherwise provided in this Agreement or the Approved Budget, including fees and expenses incurred pursuant to any subcontract entered into for the provision of such services in accordance with this Agreement.</w:t>
      </w:r>
    </w:p>
    <w:p>
      <w:pPr>
        <w:spacing w:after="0" w:line="188" w:lineRule="exact"/>
        <w:rPr>
          <w:sz w:val="20"/>
          <w:szCs w:val="20"/>
          <w:color w:val="auto"/>
        </w:rPr>
      </w:pPr>
    </w:p>
    <w:p>
      <w:pPr>
        <w:ind w:right="20" w:firstLine="1305"/>
        <w:spacing w:after="0" w:line="358" w:lineRule="auto"/>
        <w:tabs>
          <w:tab w:leader="none" w:pos="1716" w:val="left"/>
        </w:tabs>
        <w:numPr>
          <w:ilvl w:val="0"/>
          <w:numId w:val="237"/>
        </w:numPr>
        <w:rPr>
          <w:rFonts w:ascii="Arial" w:cs="Arial" w:eastAsia="Arial" w:hAnsi="Arial"/>
          <w:sz w:val="19"/>
          <w:szCs w:val="19"/>
          <w:color w:val="auto"/>
        </w:rPr>
      </w:pPr>
      <w:r>
        <w:rPr>
          <w:rFonts w:ascii="Arial" w:cs="Arial" w:eastAsia="Arial" w:hAnsi="Arial"/>
          <w:sz w:val="19"/>
          <w:szCs w:val="19"/>
          <w:color w:val="auto"/>
        </w:rPr>
        <w:t>A Member shall not be deemed to be participating in the control of the business of the Company by virtue of its possessing or exercising any rights set forth in this Agreement or the Act or any other Contract relating to the Company.</w:t>
      </w:r>
    </w:p>
    <w:p>
      <w:pPr>
        <w:spacing w:after="0" w:line="85"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6.2</w:t>
      </w:r>
      <w:r>
        <w:rPr>
          <w:sz w:val="20"/>
          <w:szCs w:val="20"/>
          <w:color w:val="auto"/>
        </w:rPr>
        <w:tab/>
      </w:r>
      <w:r>
        <w:rPr>
          <w:rFonts w:ascii="Arial" w:cs="Arial" w:eastAsia="Arial" w:hAnsi="Arial"/>
          <w:sz w:val="19"/>
          <w:szCs w:val="19"/>
          <w:b w:val="1"/>
          <w:bCs w:val="1"/>
          <w:u w:val="single" w:color="auto"/>
          <w:color w:val="auto"/>
        </w:rPr>
        <w:t>Standard of Care; Required Consents.</w:t>
      </w:r>
    </w:p>
    <w:p>
      <w:pPr>
        <w:spacing w:after="0" w:line="239" w:lineRule="exact"/>
        <w:rPr>
          <w:sz w:val="20"/>
          <w:szCs w:val="20"/>
          <w:color w:val="auto"/>
        </w:rPr>
      </w:pPr>
    </w:p>
    <w:p>
      <w:pPr>
        <w:jc w:val="both"/>
        <w:ind w:firstLine="1305"/>
        <w:spacing w:after="0" w:line="260" w:lineRule="auto"/>
        <w:tabs>
          <w:tab w:leader="none" w:pos="1838" w:val="left"/>
        </w:tabs>
        <w:numPr>
          <w:ilvl w:val="0"/>
          <w:numId w:val="238"/>
        </w:numPr>
        <w:rPr>
          <w:rFonts w:ascii="Arial" w:cs="Arial" w:eastAsia="Arial" w:hAnsi="Arial"/>
          <w:sz w:val="22"/>
          <w:szCs w:val="22"/>
          <w:color w:val="auto"/>
        </w:rPr>
      </w:pPr>
      <w:r>
        <w:rPr>
          <w:rFonts w:ascii="Arial" w:cs="Arial" w:eastAsia="Arial" w:hAnsi="Arial"/>
          <w:sz w:val="22"/>
          <w:szCs w:val="22"/>
          <w:color w:val="auto"/>
        </w:rPr>
        <w:t xml:space="preserve">In carrying out its duties hereunder, the Manager shall perform its duties and obligations hereunder in all material respects in accordance with the Project Documents, Licenses and Permits, applicable Laws, the purposes set forth in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and in accordance with the Good Management Standard.</w:t>
      </w:r>
    </w:p>
    <w:p>
      <w:pPr>
        <w:spacing w:after="0" w:line="177" w:lineRule="exact"/>
        <w:rPr>
          <w:rFonts w:ascii="Arial" w:cs="Arial" w:eastAsia="Arial" w:hAnsi="Arial"/>
          <w:sz w:val="22"/>
          <w:szCs w:val="22"/>
          <w:color w:val="auto"/>
        </w:rPr>
      </w:pPr>
    </w:p>
    <w:p>
      <w:pPr>
        <w:jc w:val="both"/>
        <w:ind w:firstLine="1305"/>
        <w:spacing w:after="0" w:line="358" w:lineRule="auto"/>
        <w:tabs>
          <w:tab w:leader="none" w:pos="1756" w:val="left"/>
        </w:tabs>
        <w:numPr>
          <w:ilvl w:val="0"/>
          <w:numId w:val="238"/>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the Manager may not take, or cause or permit the Company or (to the extent the Company has (directly or indirectly) management authority for any Subject Company)</w:t>
      </w:r>
    </w:p>
    <w:p>
      <w:pPr>
        <w:sectPr>
          <w:pgSz w:w="11900" w:h="16838" w:orient="portrait"/>
          <w:cols w:equalWidth="0" w:num="1">
            <w:col w:w="11420"/>
          </w:cols>
          <w:pgMar w:left="240" w:top="253" w:right="239" w:bottom="0" w:gutter="0" w:footer="0" w:header="0"/>
        </w:sectPr>
      </w:pPr>
    </w:p>
    <w:bookmarkStart w:id="247" w:name="page248"/>
    <w:bookmarkEnd w:id="247"/>
    <w:p>
      <w:pPr>
        <w:spacing w:after="0" w:line="263" w:lineRule="auto"/>
        <w:rPr>
          <w:sz w:val="20"/>
          <w:szCs w:val="20"/>
          <w:color w:val="auto"/>
        </w:rPr>
      </w:pPr>
      <w:r>
        <w:rPr>
          <w:rFonts w:ascii="Arial" w:cs="Arial" w:eastAsia="Arial" w:hAnsi="Arial"/>
          <w:sz w:val="22"/>
          <w:szCs w:val="22"/>
          <w:color w:val="auto"/>
        </w:rPr>
        <w:t>any Subject Company to take, any of the following actions without having first obtained the Consent of the Members, taking into account the best interests of the Company and the mutual benefit of its Members:</w:t>
      </w:r>
    </w:p>
    <w:p>
      <w:pPr>
        <w:spacing w:after="0" w:line="175" w:lineRule="exact"/>
        <w:rPr>
          <w:sz w:val="20"/>
          <w:szCs w:val="20"/>
          <w:color w:val="auto"/>
        </w:rPr>
      </w:pPr>
    </w:p>
    <w:p>
      <w:pPr>
        <w:ind w:left="660" w:firstLine="1293"/>
        <w:spacing w:after="0" w:line="276" w:lineRule="auto"/>
        <w:tabs>
          <w:tab w:leader="none" w:pos="2394" w:val="left"/>
        </w:tabs>
        <w:numPr>
          <w:ilvl w:val="1"/>
          <w:numId w:val="239"/>
        </w:numPr>
        <w:rPr>
          <w:rFonts w:ascii="Arial" w:cs="Arial" w:eastAsia="Arial" w:hAnsi="Arial"/>
          <w:sz w:val="22"/>
          <w:szCs w:val="22"/>
          <w:color w:val="auto"/>
        </w:rPr>
      </w:pPr>
      <w:r>
        <w:rPr>
          <w:rFonts w:ascii="Arial" w:cs="Arial" w:eastAsia="Arial" w:hAnsi="Arial"/>
          <w:sz w:val="22"/>
          <w:szCs w:val="22"/>
          <w:color w:val="auto"/>
        </w:rPr>
        <w:t>Do any act in contravention of this Agreement or of the organizational documents of the Company or any Subject Company;</w:t>
      </w:r>
    </w:p>
    <w:p>
      <w:pPr>
        <w:spacing w:after="0" w:line="160" w:lineRule="exact"/>
        <w:rPr>
          <w:rFonts w:ascii="Arial" w:cs="Arial" w:eastAsia="Arial" w:hAnsi="Arial"/>
          <w:sz w:val="22"/>
          <w:szCs w:val="22"/>
          <w:color w:val="auto"/>
        </w:rPr>
      </w:pPr>
    </w:p>
    <w:p>
      <w:pPr>
        <w:jc w:val="both"/>
        <w:ind w:left="660" w:firstLine="1293"/>
        <w:spacing w:after="0" w:line="320" w:lineRule="auto"/>
        <w:tabs>
          <w:tab w:leader="none" w:pos="2401" w:val="left"/>
        </w:tabs>
        <w:numPr>
          <w:ilvl w:val="1"/>
          <w:numId w:val="239"/>
        </w:numPr>
        <w:rPr>
          <w:rFonts w:ascii="Arial" w:cs="Arial" w:eastAsia="Arial" w:hAnsi="Arial"/>
          <w:sz w:val="19"/>
          <w:szCs w:val="19"/>
          <w:color w:val="auto"/>
        </w:rPr>
      </w:pPr>
      <w:r>
        <w:rPr>
          <w:rFonts w:ascii="Arial" w:cs="Arial" w:eastAsia="Arial" w:hAnsi="Arial"/>
          <w:sz w:val="19"/>
          <w:szCs w:val="19"/>
          <w:color w:val="auto"/>
        </w:rPr>
        <w:t xml:space="preserve">With respect to (A) the Company, engage in any business or activity that is not within the purpose of the Company, as set forth in </w:t>
      </w:r>
      <w:r>
        <w:rPr>
          <w:rFonts w:ascii="Arial" w:cs="Arial" w:eastAsia="Arial" w:hAnsi="Arial"/>
          <w:sz w:val="19"/>
          <w:szCs w:val="19"/>
          <w:u w:val="single" w:color="auto"/>
          <w:color w:val="auto"/>
        </w:rPr>
        <w:t>Section 2.5</w:t>
      </w:r>
      <w:r>
        <w:rPr>
          <w:rFonts w:ascii="Arial" w:cs="Arial" w:eastAsia="Arial" w:hAnsi="Arial"/>
          <w:sz w:val="19"/>
          <w:szCs w:val="19"/>
          <w:color w:val="auto"/>
        </w:rPr>
        <w:t>, or to change such purpose, and (B) any Subject Company, engage in any business or activity that is not within the purpose of such Subject Company’s organizational documents, or to change such purpose;</w:t>
      </w:r>
    </w:p>
    <w:p>
      <w:pPr>
        <w:spacing w:after="0" w:line="125" w:lineRule="exact"/>
        <w:rPr>
          <w:rFonts w:ascii="Arial" w:cs="Arial" w:eastAsia="Arial" w:hAnsi="Arial"/>
          <w:sz w:val="19"/>
          <w:szCs w:val="19"/>
          <w:color w:val="auto"/>
        </w:rPr>
      </w:pPr>
    </w:p>
    <w:p>
      <w:pPr>
        <w:jc w:val="both"/>
        <w:ind w:left="660" w:firstLine="1293"/>
        <w:spacing w:after="0" w:line="267" w:lineRule="exact"/>
        <w:tabs>
          <w:tab w:leader="none" w:pos="2542" w:val="left"/>
        </w:tabs>
        <w:numPr>
          <w:ilvl w:val="1"/>
          <w:numId w:val="239"/>
        </w:numPr>
        <w:rPr>
          <w:rFonts w:ascii="Arial" w:cs="Arial" w:eastAsia="Arial" w:hAnsi="Arial"/>
          <w:sz w:val="19"/>
          <w:szCs w:val="19"/>
          <w:color w:val="auto"/>
        </w:rPr>
      </w:pPr>
      <w:r>
        <w:rPr>
          <w:rFonts w:ascii="Arial" w:cs="Arial" w:eastAsia="Arial" w:hAnsi="Arial"/>
          <w:sz w:val="19"/>
          <w:szCs w:val="19"/>
          <w:color w:val="auto"/>
        </w:rPr>
        <w:t>Cause the Company to be treated other than as a partnership for tax purposes or cause any Subject Company listed to be treated other than as set forth in its Fund Documents, in each case for United States federal income tax purposes (including by electing under Treasury Regulations Section 301.7701</w:t>
      </w:r>
      <w:r>
        <w:rPr>
          <w:rFonts w:ascii="MS PGothic" w:cs="MS PGothic" w:eastAsia="MS PGothic" w:hAnsi="MS PGothic"/>
          <w:sz w:val="19"/>
          <w:szCs w:val="19"/>
          <w:color w:val="auto"/>
        </w:rPr>
        <w:t>‑</w:t>
      </w:r>
      <w:r>
        <w:rPr>
          <w:rFonts w:ascii="Arial" w:cs="Arial" w:eastAsia="Arial" w:hAnsi="Arial"/>
          <w:sz w:val="19"/>
          <w:szCs w:val="19"/>
          <w:color w:val="auto"/>
        </w:rPr>
        <w:t>3 to be classified as an association);</w:t>
      </w:r>
    </w:p>
    <w:p>
      <w:pPr>
        <w:spacing w:after="0" w:line="199" w:lineRule="exact"/>
        <w:rPr>
          <w:rFonts w:ascii="Arial" w:cs="Arial" w:eastAsia="Arial" w:hAnsi="Arial"/>
          <w:sz w:val="19"/>
          <w:szCs w:val="19"/>
          <w:color w:val="auto"/>
        </w:rPr>
      </w:pPr>
    </w:p>
    <w:p>
      <w:pPr>
        <w:jc w:val="both"/>
        <w:ind w:left="660" w:firstLine="1293"/>
        <w:spacing w:after="0" w:line="250" w:lineRule="auto"/>
        <w:tabs>
          <w:tab w:leader="none" w:pos="2503" w:val="left"/>
        </w:tabs>
        <w:numPr>
          <w:ilvl w:val="1"/>
          <w:numId w:val="239"/>
        </w:numPr>
        <w:rPr>
          <w:rFonts w:ascii="Arial" w:cs="Arial" w:eastAsia="Arial" w:hAnsi="Arial"/>
          <w:sz w:val="22"/>
          <w:szCs w:val="22"/>
          <w:color w:val="auto"/>
        </w:rPr>
      </w:pPr>
      <w:r>
        <w:rPr>
          <w:rFonts w:ascii="Arial" w:cs="Arial" w:eastAsia="Arial" w:hAnsi="Arial"/>
          <w:sz w:val="22"/>
          <w:szCs w:val="22"/>
          <w:color w:val="auto"/>
        </w:rPr>
        <w:t>Permit (A) possession of property of the Company or any Subject Company by any Member (unless such action is taken pursuant to the express terms of any Fund Document), (B) the assignment, transfer, Encumbrance or pledge of rights of the Company or any Subject Company in specific property of the Company or any Subject Company for other than a Company or Subject Company purpose, as applicable, or other than for the benefit of the Company or such Subject Company, or (C) any commingling of the funds of the Company or any Subject Company with the funds of any other Person;</w:t>
      </w:r>
    </w:p>
    <w:p>
      <w:pPr>
        <w:spacing w:after="0" w:line="188" w:lineRule="exact"/>
        <w:rPr>
          <w:rFonts w:ascii="Arial" w:cs="Arial" w:eastAsia="Arial" w:hAnsi="Arial"/>
          <w:sz w:val="22"/>
          <w:szCs w:val="22"/>
          <w:color w:val="auto"/>
        </w:rPr>
      </w:pPr>
    </w:p>
    <w:p>
      <w:pPr>
        <w:ind w:left="660" w:firstLine="1293"/>
        <w:spacing w:after="0" w:line="358" w:lineRule="auto"/>
        <w:tabs>
          <w:tab w:leader="none" w:pos="2497" w:val="left"/>
        </w:tabs>
        <w:numPr>
          <w:ilvl w:val="1"/>
          <w:numId w:val="239"/>
        </w:numPr>
        <w:rPr>
          <w:rFonts w:ascii="Arial" w:cs="Arial" w:eastAsia="Arial" w:hAnsi="Arial"/>
          <w:sz w:val="19"/>
          <w:szCs w:val="19"/>
          <w:color w:val="auto"/>
        </w:rPr>
      </w:pPr>
      <w:r>
        <w:rPr>
          <w:rFonts w:ascii="Arial" w:cs="Arial" w:eastAsia="Arial" w:hAnsi="Arial"/>
          <w:sz w:val="19"/>
          <w:szCs w:val="19"/>
          <w:color w:val="auto"/>
        </w:rPr>
        <w:t>Amend the Delaware Certificate or the certificate of formation, certificate of incorporation or other formation document, as applicable, of any Subject Company, in any way that would be materially adverse to any Member;</w:t>
      </w:r>
    </w:p>
    <w:p>
      <w:pPr>
        <w:spacing w:after="0" w:line="90" w:lineRule="exact"/>
        <w:rPr>
          <w:rFonts w:ascii="Arial" w:cs="Arial" w:eastAsia="Arial" w:hAnsi="Arial"/>
          <w:sz w:val="19"/>
          <w:szCs w:val="19"/>
          <w:color w:val="auto"/>
        </w:rPr>
      </w:pPr>
    </w:p>
    <w:p>
      <w:pPr>
        <w:jc w:val="both"/>
        <w:ind w:left="660" w:firstLine="1293"/>
        <w:spacing w:after="0" w:line="251" w:lineRule="auto"/>
        <w:tabs>
          <w:tab w:leader="none" w:pos="253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Cause the Company or any Subject Company to be deemed Bankrupt, serve as one of the three (3) petitioning creditors in connection with an involuntary bankruptcy petition against the Company or any Subject Company, cooperate with creditors in an effort to commence an involuntary bankruptcy petition, guarantee such creditors’ claims, or take any action to encourage or assist in any way with the commencement of an involuntary bankruptcy petition against the Company or any Subject Company;</w:t>
      </w:r>
    </w:p>
    <w:p>
      <w:pPr>
        <w:spacing w:after="0" w:line="189" w:lineRule="exact"/>
        <w:rPr>
          <w:rFonts w:ascii="Arial" w:cs="Arial" w:eastAsia="Arial" w:hAnsi="Arial"/>
          <w:sz w:val="22"/>
          <w:szCs w:val="22"/>
          <w:color w:val="auto"/>
        </w:rPr>
      </w:pPr>
    </w:p>
    <w:p>
      <w:pPr>
        <w:ind w:left="2500" w:hanging="547"/>
        <w:spacing w:after="0"/>
        <w:tabs>
          <w:tab w:leader="none" w:pos="250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Make any distribution to any Member, except as specified in this Agreement;</w:t>
      </w:r>
    </w:p>
    <w:p>
      <w:pPr>
        <w:spacing w:after="0" w:line="233" w:lineRule="exact"/>
        <w:rPr>
          <w:rFonts w:ascii="Arial" w:cs="Arial" w:eastAsia="Arial" w:hAnsi="Arial"/>
          <w:sz w:val="22"/>
          <w:szCs w:val="22"/>
          <w:color w:val="auto"/>
        </w:rPr>
      </w:pPr>
    </w:p>
    <w:p>
      <w:pPr>
        <w:ind w:left="2560" w:hanging="607"/>
        <w:spacing w:after="0"/>
        <w:tabs>
          <w:tab w:leader="none" w:pos="2560" w:val="left"/>
        </w:tabs>
        <w:numPr>
          <w:ilvl w:val="1"/>
          <w:numId w:val="239"/>
        </w:numPr>
        <w:rPr>
          <w:rFonts w:ascii="Arial" w:cs="Arial" w:eastAsia="Arial" w:hAnsi="Arial"/>
          <w:sz w:val="19"/>
          <w:szCs w:val="19"/>
          <w:color w:val="auto"/>
        </w:rPr>
      </w:pPr>
      <w:r>
        <w:rPr>
          <w:rFonts w:ascii="Arial" w:cs="Arial" w:eastAsia="Arial" w:hAnsi="Arial"/>
          <w:sz w:val="19"/>
          <w:szCs w:val="19"/>
          <w:color w:val="auto"/>
        </w:rPr>
        <w:t>Repurchase, redeem or convert any membership interests in, or other securities of, the Company;</w:t>
      </w:r>
    </w:p>
    <w:p>
      <w:pPr>
        <w:spacing w:after="0" w:line="267" w:lineRule="exact"/>
        <w:rPr>
          <w:rFonts w:ascii="Arial" w:cs="Arial" w:eastAsia="Arial" w:hAnsi="Arial"/>
          <w:sz w:val="19"/>
          <w:szCs w:val="19"/>
          <w:color w:val="auto"/>
        </w:rPr>
      </w:pPr>
    </w:p>
    <w:p>
      <w:pPr>
        <w:jc w:val="both"/>
        <w:ind w:left="660" w:firstLine="1293"/>
        <w:spacing w:after="0" w:line="260" w:lineRule="auto"/>
        <w:tabs>
          <w:tab w:leader="none" w:pos="2448" w:val="left"/>
        </w:tabs>
        <w:numPr>
          <w:ilvl w:val="1"/>
          <w:numId w:val="239"/>
        </w:numPr>
        <w:rPr>
          <w:rFonts w:ascii="Arial" w:cs="Arial" w:eastAsia="Arial" w:hAnsi="Arial"/>
          <w:sz w:val="22"/>
          <w:szCs w:val="22"/>
          <w:color w:val="auto"/>
        </w:rPr>
      </w:pPr>
      <w:r>
        <w:rPr>
          <w:rFonts w:ascii="Arial" w:cs="Arial" w:eastAsia="Arial" w:hAnsi="Arial"/>
          <w:sz w:val="22"/>
          <w:szCs w:val="22"/>
          <w:color w:val="auto"/>
        </w:rPr>
        <w:t>Enter into any loan, contract or agreement with any Affiliate of the Manager other than as permitted by this Agreement or to loan any funds of the Company or any Subject Company to any Person or make any advance payments of compensation or other consideration to the Manager or any of its Affiliates;</w:t>
      </w:r>
    </w:p>
    <w:p>
      <w:pPr>
        <w:spacing w:after="0" w:line="177" w:lineRule="exact"/>
        <w:rPr>
          <w:rFonts w:ascii="Arial" w:cs="Arial" w:eastAsia="Arial" w:hAnsi="Arial"/>
          <w:sz w:val="22"/>
          <w:szCs w:val="22"/>
          <w:color w:val="auto"/>
        </w:rPr>
      </w:pPr>
    </w:p>
    <w:p>
      <w:pPr>
        <w:jc w:val="both"/>
        <w:ind w:left="660" w:firstLine="1293"/>
        <w:spacing w:after="0" w:line="297" w:lineRule="auto"/>
        <w:tabs>
          <w:tab w:leader="none" w:pos="2389" w:val="left"/>
        </w:tabs>
        <w:numPr>
          <w:ilvl w:val="1"/>
          <w:numId w:val="239"/>
        </w:numPr>
        <w:rPr>
          <w:rFonts w:ascii="Arial" w:cs="Arial" w:eastAsia="Arial" w:hAnsi="Arial"/>
          <w:sz w:val="19"/>
          <w:szCs w:val="19"/>
          <w:color w:val="auto"/>
        </w:rPr>
      </w:pPr>
      <w:r>
        <w:rPr>
          <w:rFonts w:ascii="Arial" w:cs="Arial" w:eastAsia="Arial" w:hAnsi="Arial"/>
          <w:sz w:val="19"/>
          <w:szCs w:val="19"/>
          <w:color w:val="auto"/>
        </w:rPr>
        <w:t>Borrow any money in the name or on behalf of the Company or any Subject Company, as applicable, in excess of $1,000,000 in the aggregate, or execute and issue promissory notes and other negotiable or non-negotiable instruments and evidences of indebtedness in excess of $1,000,000 in the aggregate, except the Manager may borrow, or cause the Company or any Subject Company to borrow money in the name and on behalf of the Company or such Subject Company, as applicable, in such amounts as the Manager shall reasonably determine are necessary: to preserve and protect the Company’s or such Subject Company’s property upon the occurrence of an accident, catastrophe or similar event;</w:t>
      </w:r>
    </w:p>
    <w:p>
      <w:pPr>
        <w:spacing w:after="0" w:line="146" w:lineRule="exact"/>
        <w:rPr>
          <w:rFonts w:ascii="Arial" w:cs="Arial" w:eastAsia="Arial" w:hAnsi="Arial"/>
          <w:sz w:val="19"/>
          <w:szCs w:val="19"/>
          <w:color w:val="auto"/>
        </w:rPr>
      </w:pPr>
    </w:p>
    <w:p>
      <w:pPr>
        <w:jc w:val="both"/>
        <w:ind w:left="660" w:firstLine="1293"/>
        <w:spacing w:after="0" w:line="290" w:lineRule="auto"/>
        <w:tabs>
          <w:tab w:leader="none" w:pos="2489" w:val="left"/>
        </w:tabs>
        <w:numPr>
          <w:ilvl w:val="1"/>
          <w:numId w:val="239"/>
        </w:numPr>
        <w:rPr>
          <w:rFonts w:ascii="Arial" w:cs="Arial" w:eastAsia="Arial" w:hAnsi="Arial"/>
          <w:sz w:val="19"/>
          <w:szCs w:val="19"/>
          <w:color w:val="auto"/>
        </w:rPr>
      </w:pPr>
      <w:r>
        <w:rPr>
          <w:rFonts w:ascii="Arial" w:cs="Arial" w:eastAsia="Arial" w:hAnsi="Arial"/>
          <w:sz w:val="19"/>
          <w:szCs w:val="19"/>
          <w:color w:val="auto"/>
        </w:rPr>
        <w:t xml:space="preserve">Mortgage, pledge, assign in trust or otherwise encumber any Company or Subject Company property, or assign any monies owing or to be owing to the Company or any Subject Company except: (A) to secure the payment of any borrowing permitted hereunder, (B) for customary liens contained in or arising under any operating agreements, construction contracts and similar agreements executed by or binding on the Company or such Subject Company with respect to amounts not yet due or not yet delinquent (or, if delinquent, that are being contested by the Manager, the Company or such Subject Company in good faith and for which adequate reserves have been set aside in accordance with GAAP), or (C) for statutory liens for amounts not yet due or not yet delinquent (or, if delinquent, that are being contested by the Manager, the Company or such Subject Company in good faith and for which adequate reserves have been set aside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that in no event shall the Manager mortgage, pledge, assign in trust or otherwise encumber the Company’s right to receive Capital Contributions from the Members;</w:t>
      </w:r>
    </w:p>
    <w:p>
      <w:pPr>
        <w:spacing w:after="0" w:line="155" w:lineRule="exact"/>
        <w:rPr>
          <w:rFonts w:ascii="Arial" w:cs="Arial" w:eastAsia="Arial" w:hAnsi="Arial"/>
          <w:sz w:val="19"/>
          <w:szCs w:val="19"/>
          <w:color w:val="auto"/>
        </w:rPr>
      </w:pPr>
    </w:p>
    <w:p>
      <w:pPr>
        <w:ind w:left="2580" w:hanging="627"/>
        <w:spacing w:after="0"/>
        <w:tabs>
          <w:tab w:leader="none" w:pos="2580" w:val="left"/>
        </w:tabs>
        <w:numPr>
          <w:ilvl w:val="1"/>
          <w:numId w:val="239"/>
        </w:numPr>
        <w:rPr>
          <w:rFonts w:ascii="Arial" w:cs="Arial" w:eastAsia="Arial" w:hAnsi="Arial"/>
          <w:sz w:val="19"/>
          <w:szCs w:val="19"/>
          <w:color w:val="auto"/>
        </w:rPr>
      </w:pPr>
      <w:r>
        <w:rPr>
          <w:rFonts w:ascii="Arial" w:cs="Arial" w:eastAsia="Arial" w:hAnsi="Arial"/>
          <w:sz w:val="19"/>
          <w:szCs w:val="19"/>
          <w:color w:val="auto"/>
        </w:rPr>
        <w:t>Sell, lease, transfer, assign or distribute any interest in (A) any Subject Company or any Project or</w:t>
      </w:r>
    </w:p>
    <w:p>
      <w:pPr>
        <w:spacing w:after="0" w:line="56" w:lineRule="exact"/>
        <w:rPr>
          <w:rFonts w:ascii="Arial" w:cs="Arial" w:eastAsia="Arial" w:hAnsi="Arial"/>
          <w:sz w:val="19"/>
          <w:szCs w:val="19"/>
          <w:color w:val="auto"/>
        </w:rPr>
      </w:pPr>
    </w:p>
    <w:p>
      <w:pPr>
        <w:jc w:val="both"/>
        <w:ind w:left="660" w:hanging="4"/>
        <w:spacing w:after="0" w:line="300" w:lineRule="auto"/>
        <w:tabs>
          <w:tab w:leader="none" w:pos="1004" w:val="left"/>
        </w:tabs>
        <w:numPr>
          <w:ilvl w:val="0"/>
          <w:numId w:val="240"/>
        </w:numPr>
        <w:rPr>
          <w:rFonts w:ascii="Arial" w:cs="Arial" w:eastAsia="Arial" w:hAnsi="Arial"/>
          <w:sz w:val="19"/>
          <w:szCs w:val="19"/>
          <w:color w:val="auto"/>
        </w:rPr>
      </w:pPr>
      <w:r>
        <w:rPr>
          <w:rFonts w:ascii="Arial" w:cs="Arial" w:eastAsia="Arial" w:hAnsi="Arial"/>
          <w:sz w:val="19"/>
          <w:szCs w:val="19"/>
          <w:color w:val="auto"/>
        </w:rPr>
        <w:t xml:space="preserve">any Asset or related group of Assets with a fair market value in excess of $2,000,000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and $10,000,000 in the aggregate in one or a related series of transactions, except for (1) the sale of energy, (2) the sale of RECs (3) otherwise in the ordinary course of the Subject Companies’ business and in accordance with the applicable Project Documents, or (4) as required under any security agreement in connection with a borrowing permitted hereunder;</w:t>
      </w:r>
    </w:p>
    <w:p>
      <w:pPr>
        <w:spacing w:after="0" w:line="145" w:lineRule="exact"/>
        <w:rPr>
          <w:rFonts w:ascii="Arial" w:cs="Arial" w:eastAsia="Arial" w:hAnsi="Arial"/>
          <w:sz w:val="19"/>
          <w:szCs w:val="19"/>
          <w:color w:val="auto"/>
        </w:rPr>
      </w:pPr>
    </w:p>
    <w:p>
      <w:pPr>
        <w:jc w:val="both"/>
        <w:ind w:left="660" w:firstLine="1293"/>
        <w:spacing w:after="0" w:line="320" w:lineRule="auto"/>
        <w:tabs>
          <w:tab w:leader="none" w:pos="2582" w:val="left"/>
        </w:tabs>
        <w:numPr>
          <w:ilvl w:val="1"/>
          <w:numId w:val="240"/>
        </w:numPr>
        <w:rPr>
          <w:rFonts w:ascii="Arial" w:cs="Arial" w:eastAsia="Arial" w:hAnsi="Arial"/>
          <w:sz w:val="19"/>
          <w:szCs w:val="19"/>
          <w:color w:val="auto"/>
        </w:rPr>
      </w:pPr>
      <w:r>
        <w:rPr>
          <w:rFonts w:ascii="Arial" w:cs="Arial" w:eastAsia="Arial" w:hAnsi="Arial"/>
          <w:sz w:val="19"/>
          <w:szCs w:val="19"/>
          <w:color w:val="auto"/>
        </w:rPr>
        <w:t>Guarantee in the name or on behalf of the Company or any Subject Company, the payment of money or the performance of any contract or other obligation of any Person except, (a) with respect to the Fund Documents, for responsibilities customarily assumed under operating agreements considered standard in the solar power industry and (b)</w:t>
      </w:r>
    </w:p>
    <w:p>
      <w:pPr>
        <w:sectPr>
          <w:pgSz w:w="11900" w:h="16838" w:orient="portrait"/>
          <w:cols w:equalWidth="0" w:num="1">
            <w:col w:w="11420"/>
          </w:cols>
          <w:pgMar w:left="240" w:top="132" w:right="239" w:bottom="0" w:gutter="0" w:footer="0" w:header="0"/>
        </w:sectPr>
      </w:pPr>
    </w:p>
    <w:bookmarkStart w:id="248" w:name="page249"/>
    <w:bookmarkEnd w:id="248"/>
    <w:p>
      <w:pPr>
        <w:spacing w:after="0" w:line="263" w:lineRule="auto"/>
        <w:rPr>
          <w:sz w:val="20"/>
          <w:szCs w:val="20"/>
          <w:color w:val="auto"/>
        </w:rPr>
      </w:pPr>
      <w:r>
        <w:rPr>
          <w:rFonts w:ascii="Arial" w:cs="Arial" w:eastAsia="Arial" w:hAnsi="Arial"/>
          <w:sz w:val="22"/>
          <w:szCs w:val="22"/>
          <w:color w:val="auto"/>
        </w:rPr>
        <w:t>guarantees made by any Subject Company for performance by the Company of its obligations under a borrowing permitted hereunder;</w:t>
      </w:r>
    </w:p>
    <w:p>
      <w:pPr>
        <w:spacing w:after="0" w:line="175" w:lineRule="exact"/>
        <w:rPr>
          <w:sz w:val="20"/>
          <w:szCs w:val="20"/>
          <w:color w:val="auto"/>
        </w:rPr>
      </w:pPr>
    </w:p>
    <w:p>
      <w:pPr>
        <w:jc w:val="both"/>
        <w:ind w:firstLine="1293"/>
        <w:spacing w:after="0" w:line="248" w:lineRule="auto"/>
        <w:tabs>
          <w:tab w:leader="none" w:pos="1991"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xml:space="preserve">Amend the Approved Budget to increase projected expenditures or expend funds in excess of the Approved Budget for any Fiscal Year, except for (A) amendments or expenditures that do not increase the aggregate spending under the Approved Budget above one hundred ten percent (110%) of the aggregate expense amount reflected in the Approved Budget for the Fiscal Year, (B) with respect to any Subject Company, expenditures that, after taking into account amounts theretofore paid in such Fiscal Year, do not exceed twenty percent (20%) of the amount budgeted to be expended in such Fiscal Year in the Approved Budget for such Subject Company, (C) expenditures required to be made under Fund Documents and (D) in connection with the Accepted Acquisition of a new Fund Company in accordance with </w:t>
      </w:r>
      <w:r>
        <w:rPr>
          <w:rFonts w:ascii="Arial" w:cs="Arial" w:eastAsia="Arial" w:hAnsi="Arial"/>
          <w:sz w:val="22"/>
          <w:szCs w:val="22"/>
          <w:u w:val="single" w:color="auto"/>
          <w:color w:val="auto"/>
        </w:rPr>
        <w:t>Section 6.3</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jc w:val="both"/>
        <w:ind w:firstLine="1293"/>
        <w:spacing w:after="0" w:line="270" w:lineRule="auto"/>
        <w:tabs>
          <w:tab w:leader="none" w:pos="1931" w:val="left"/>
        </w:tabs>
        <w:numPr>
          <w:ilvl w:val="0"/>
          <w:numId w:val="241"/>
        </w:numPr>
        <w:rPr>
          <w:rFonts w:ascii="Arial" w:cs="Arial" w:eastAsia="Arial" w:hAnsi="Arial"/>
          <w:sz w:val="21"/>
          <w:szCs w:val="21"/>
          <w:color w:val="auto"/>
        </w:rPr>
      </w:pPr>
      <w:r>
        <w:rPr>
          <w:rFonts w:ascii="Arial" w:cs="Arial" w:eastAsia="Arial" w:hAnsi="Arial"/>
          <w:sz w:val="21"/>
          <w:szCs w:val="21"/>
          <w:color w:val="auto"/>
        </w:rPr>
        <w:t xml:space="preserve">Merge or consolidate the Company or any Subject Company with any Member or other Person or entity, convert the Company or any Subject Company to a general partnership or other entity, or agree to an exchange of interests with any other Person, or acquire all or substantially all of the assets, stock or interests of any other Person other than the Accepted Acquisition of a new Fund Company in accordance with </w:t>
      </w:r>
      <w:r>
        <w:rPr>
          <w:rFonts w:ascii="Arial" w:cs="Arial" w:eastAsia="Arial" w:hAnsi="Arial"/>
          <w:sz w:val="21"/>
          <w:szCs w:val="21"/>
          <w:u w:val="single" w:color="auto"/>
          <w:color w:val="auto"/>
        </w:rPr>
        <w:t>Section 6.3</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firstLine="1293"/>
        <w:spacing w:after="0" w:line="320" w:lineRule="auto"/>
        <w:tabs>
          <w:tab w:leader="none" w:pos="2045" w:val="left"/>
        </w:tabs>
        <w:numPr>
          <w:ilvl w:val="0"/>
          <w:numId w:val="241"/>
        </w:numPr>
        <w:rPr>
          <w:rFonts w:ascii="Arial" w:cs="Arial" w:eastAsia="Arial" w:hAnsi="Arial"/>
          <w:sz w:val="19"/>
          <w:szCs w:val="19"/>
          <w:color w:val="auto"/>
        </w:rPr>
      </w:pPr>
      <w:r>
        <w:rPr>
          <w:rFonts w:ascii="Arial" w:cs="Arial" w:eastAsia="Arial" w:hAnsi="Arial"/>
          <w:sz w:val="19"/>
          <w:szCs w:val="19"/>
          <w:color w:val="auto"/>
        </w:rPr>
        <w:t>Compromise or settle any lawsuit, administrative matter or other dispute where the amount the Company or any Subject Company may recover or might be obligated to pay, as applicable, is in excess of $1,000,000 in the aggregate, or which includes consent to the award of an injunction, specific performance or other equitable relief;</w:t>
      </w:r>
    </w:p>
    <w:p>
      <w:pPr>
        <w:spacing w:after="0" w:line="125" w:lineRule="exact"/>
        <w:rPr>
          <w:rFonts w:ascii="Arial" w:cs="Arial" w:eastAsia="Arial" w:hAnsi="Arial"/>
          <w:sz w:val="19"/>
          <w:szCs w:val="19"/>
          <w:color w:val="auto"/>
        </w:rPr>
      </w:pPr>
    </w:p>
    <w:p>
      <w:pPr>
        <w:jc w:val="both"/>
        <w:ind w:firstLine="1293"/>
        <w:spacing w:after="0" w:line="264" w:lineRule="auto"/>
        <w:tabs>
          <w:tab w:leader="none" w:pos="2024" w:val="left"/>
        </w:tabs>
        <w:numPr>
          <w:ilvl w:val="0"/>
          <w:numId w:val="241"/>
        </w:numPr>
        <w:rPr>
          <w:rFonts w:ascii="Arial" w:cs="Arial" w:eastAsia="Arial" w:hAnsi="Arial"/>
          <w:sz w:val="21"/>
          <w:szCs w:val="21"/>
          <w:color w:val="auto"/>
        </w:rPr>
      </w:pPr>
      <w:r>
        <w:rPr>
          <w:rFonts w:ascii="Arial" w:cs="Arial" w:eastAsia="Arial" w:hAnsi="Arial"/>
          <w:sz w:val="21"/>
          <w:szCs w:val="21"/>
          <w:color w:val="auto"/>
        </w:rPr>
        <w:t xml:space="preserve">Admit any additional Member to the Company except as permitted under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hereof, cause any additional member to be admitted to any Subject Company except in accordance with such Subject Company’s operating agreement, or otherwise issue, or permit the issuance of, any additional membership interests in the Company or any Subject Company except in accordance with such Subject Company’s operating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Manager may not permit the issuance of additional Class A Units at any time during the term of this Agreement without having first obtained the Consent of the Class A Members;</w:t>
      </w:r>
    </w:p>
    <w:p>
      <w:pPr>
        <w:spacing w:after="0" w:line="175" w:lineRule="exact"/>
        <w:rPr>
          <w:rFonts w:ascii="Arial" w:cs="Arial" w:eastAsia="Arial" w:hAnsi="Arial"/>
          <w:sz w:val="21"/>
          <w:szCs w:val="21"/>
          <w:color w:val="auto"/>
        </w:rPr>
      </w:pPr>
    </w:p>
    <w:p>
      <w:pPr>
        <w:jc w:val="both"/>
        <w:ind w:firstLine="1293"/>
        <w:spacing w:after="0" w:line="266" w:lineRule="auto"/>
        <w:tabs>
          <w:tab w:leader="none" w:pos="2057" w:val="left"/>
        </w:tabs>
        <w:numPr>
          <w:ilvl w:val="0"/>
          <w:numId w:val="241"/>
        </w:numPr>
        <w:rPr>
          <w:rFonts w:ascii="Arial" w:cs="Arial" w:eastAsia="Arial" w:hAnsi="Arial"/>
          <w:sz w:val="21"/>
          <w:szCs w:val="21"/>
          <w:color w:val="auto"/>
        </w:rPr>
      </w:pPr>
      <w:r>
        <w:rPr>
          <w:rFonts w:ascii="Arial" w:cs="Arial" w:eastAsia="Arial" w:hAnsi="Arial"/>
          <w:sz w:val="21"/>
          <w:szCs w:val="21"/>
          <w:color w:val="auto"/>
        </w:rPr>
        <w:t>(A) Hire any employees, enter into or adopt any bonus, profit sharing, thrift, compensation, option, pension, retirement, savings, welfare, deferred compensation, employment, termination, severance or other employee benefit plan, agreement, trust, fund, policy or arrangement for the benefit or welfare of any directors, officers or employees of the Company or any Subject Company, as the case may be or (B) transfer any Company or Subject Company Assets to satisfy any liabilities of any Class B Member or its Affiliates arising from ERISA;</w:t>
      </w:r>
    </w:p>
    <w:p>
      <w:pPr>
        <w:spacing w:after="0" w:line="174" w:lineRule="exact"/>
        <w:rPr>
          <w:rFonts w:ascii="Arial" w:cs="Arial" w:eastAsia="Arial" w:hAnsi="Arial"/>
          <w:sz w:val="21"/>
          <w:szCs w:val="21"/>
          <w:color w:val="auto"/>
        </w:rPr>
      </w:pPr>
    </w:p>
    <w:p>
      <w:pPr>
        <w:jc w:val="both"/>
        <w:ind w:firstLine="1293"/>
        <w:spacing w:after="0" w:line="254" w:lineRule="auto"/>
        <w:tabs>
          <w:tab w:leader="none" w:pos="1897" w:val="left"/>
        </w:tabs>
        <w:numPr>
          <w:ilvl w:val="0"/>
          <w:numId w:val="241"/>
        </w:numPr>
        <w:rPr>
          <w:rFonts w:ascii="Arial" w:cs="Arial" w:eastAsia="Arial" w:hAnsi="Arial"/>
          <w:sz w:val="22"/>
          <w:szCs w:val="22"/>
          <w:color w:val="auto"/>
        </w:rPr>
      </w:pPr>
      <w:r>
        <w:rPr>
          <w:rFonts w:ascii="Arial" w:cs="Arial" w:eastAsia="Arial" w:hAnsi="Arial"/>
          <w:sz w:val="22"/>
          <w:szCs w:val="22"/>
          <w:color w:val="auto"/>
        </w:rPr>
        <w:t>Change the Company’s or any Subject Company’s methods of accounting as in effect on the Effective Date, except as required by GAAP, or take any action, other than reasonable and usual actions in the ordinary course of business or specifically contemplated under the Fund Documents to which it is a party, with respect to accounting policies or procedures, unless required by GAAP;</w:t>
      </w:r>
    </w:p>
    <w:p>
      <w:pPr>
        <w:spacing w:after="0" w:line="185" w:lineRule="exact"/>
        <w:rPr>
          <w:rFonts w:ascii="Arial" w:cs="Arial" w:eastAsia="Arial" w:hAnsi="Arial"/>
          <w:sz w:val="22"/>
          <w:szCs w:val="22"/>
          <w:color w:val="auto"/>
        </w:rPr>
      </w:pPr>
    </w:p>
    <w:p>
      <w:pPr>
        <w:jc w:val="both"/>
        <w:ind w:firstLine="1293"/>
        <w:spacing w:after="0" w:line="260" w:lineRule="auto"/>
        <w:tabs>
          <w:tab w:leader="none" w:pos="1877"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Take any action that would result in a material breach or an event of default, or that would permit or result in the acceleration of any obligation or termination of any right, under any Fund Document, which acceleration or termination would cause a Subject Company Material Adverse Effect.</w:t>
      </w:r>
    </w:p>
    <w:p>
      <w:pPr>
        <w:spacing w:after="0" w:line="177" w:lineRule="exact"/>
        <w:rPr>
          <w:rFonts w:ascii="Arial" w:cs="Arial" w:eastAsia="Arial" w:hAnsi="Arial"/>
          <w:sz w:val="22"/>
          <w:szCs w:val="22"/>
          <w:color w:val="auto"/>
        </w:rPr>
      </w:pPr>
    </w:p>
    <w:p>
      <w:pPr>
        <w:jc w:val="both"/>
        <w:ind w:firstLine="1293"/>
        <w:spacing w:after="0" w:line="248" w:lineRule="auto"/>
        <w:tabs>
          <w:tab w:leader="none" w:pos="2005" w:val="left"/>
        </w:tabs>
        <w:numPr>
          <w:ilvl w:val="0"/>
          <w:numId w:val="241"/>
        </w:numPr>
        <w:rPr>
          <w:rFonts w:ascii="Arial" w:cs="Arial" w:eastAsia="Arial" w:hAnsi="Arial"/>
          <w:sz w:val="22"/>
          <w:szCs w:val="22"/>
          <w:color w:val="auto"/>
        </w:rPr>
      </w:pPr>
      <w:r>
        <w:rPr>
          <w:rFonts w:ascii="Arial" w:cs="Arial" w:eastAsia="Arial" w:hAnsi="Arial"/>
          <w:sz w:val="22"/>
          <w:szCs w:val="22"/>
          <w:color w:val="auto"/>
        </w:rPr>
        <w:t>Enter into: (A) any amendment, modification, waiver or termination of a Fund Document or any Licenses or Permits that could reasonably be expected to have a Subject Company Material Adverse Effect, (B) any substitution or replacement of any Fund Document that could reasonably be expected to have a Subject Company Material Adverse Effect, (C) any Additional Project Document not contemplated by the then current Approved Budget or that could reasonably be expected to have a Subject Company Material Adverse Effect; or (D) any new agreement with an Affiliate other than in accordance with this Agreement or amend any economic provision or otherwise materially amend any existing contract with an Affiliate;</w:t>
      </w:r>
    </w:p>
    <w:p>
      <w:pPr>
        <w:spacing w:after="0" w:line="195" w:lineRule="exact"/>
        <w:rPr>
          <w:rFonts w:ascii="Arial" w:cs="Arial" w:eastAsia="Arial" w:hAnsi="Arial"/>
          <w:sz w:val="22"/>
          <w:szCs w:val="22"/>
          <w:color w:val="auto"/>
        </w:rPr>
      </w:pPr>
    </w:p>
    <w:p>
      <w:pPr>
        <w:jc w:val="both"/>
        <w:ind w:firstLine="1293"/>
        <w:spacing w:after="0" w:line="254" w:lineRule="auto"/>
        <w:tabs>
          <w:tab w:leader="none" w:pos="2051" w:val="left"/>
        </w:tabs>
        <w:numPr>
          <w:ilvl w:val="0"/>
          <w:numId w:val="241"/>
        </w:numPr>
        <w:rPr>
          <w:rFonts w:ascii="Arial" w:cs="Arial" w:eastAsia="Arial" w:hAnsi="Arial"/>
          <w:sz w:val="22"/>
          <w:szCs w:val="22"/>
          <w:color w:val="auto"/>
        </w:rPr>
      </w:pPr>
      <w:r>
        <w:rPr>
          <w:rFonts w:ascii="Arial" w:cs="Arial" w:eastAsia="Arial" w:hAnsi="Arial"/>
          <w:sz w:val="22"/>
          <w:szCs w:val="22"/>
          <w:color w:val="auto"/>
        </w:rPr>
        <w:t>Remove the Master Services Provider or appoint a new Person to act in a similar capacity to the Master Services Provider or consent to or allow the assignment by the Master Services Provider of the agreement pursuant to which the Master Services Provider provides services to the Company, or any of its rights or obligations thereunder, other than to an Affiliate;</w:t>
      </w:r>
    </w:p>
    <w:p>
      <w:pPr>
        <w:spacing w:after="0" w:line="185" w:lineRule="exact"/>
        <w:rPr>
          <w:rFonts w:ascii="Arial" w:cs="Arial" w:eastAsia="Arial" w:hAnsi="Arial"/>
          <w:sz w:val="22"/>
          <w:szCs w:val="22"/>
          <w:color w:val="auto"/>
        </w:rPr>
      </w:pPr>
    </w:p>
    <w:p>
      <w:pPr>
        <w:jc w:val="both"/>
        <w:ind w:firstLine="1293"/>
        <w:spacing w:after="0" w:line="260" w:lineRule="auto"/>
        <w:tabs>
          <w:tab w:leader="none" w:pos="2111" w:val="left"/>
        </w:tabs>
        <w:numPr>
          <w:ilvl w:val="0"/>
          <w:numId w:val="241"/>
        </w:numPr>
        <w:rPr>
          <w:rFonts w:ascii="Arial" w:cs="Arial" w:eastAsia="Arial" w:hAnsi="Arial"/>
          <w:sz w:val="22"/>
          <w:szCs w:val="22"/>
          <w:color w:val="auto"/>
        </w:rPr>
      </w:pPr>
      <w:r>
        <w:rPr>
          <w:rFonts w:ascii="Arial" w:cs="Arial" w:eastAsia="Arial" w:hAnsi="Arial"/>
          <w:sz w:val="22"/>
          <w:szCs w:val="22"/>
          <w:color w:val="auto"/>
        </w:rPr>
        <w:t>Cause an Intermediate Company to make a capital contribution to a Fund Company to purchase Projects unless any applicable Fund Investor has committed to fund its respective portion of such purchase price upon satisfaction or waiver of all of the conditions precedent in favor of such Fund Investor;</w:t>
      </w:r>
    </w:p>
    <w:p>
      <w:pPr>
        <w:spacing w:after="0" w:line="177" w:lineRule="exact"/>
        <w:rPr>
          <w:rFonts w:ascii="Arial" w:cs="Arial" w:eastAsia="Arial" w:hAnsi="Arial"/>
          <w:sz w:val="22"/>
          <w:szCs w:val="22"/>
          <w:color w:val="auto"/>
        </w:rPr>
      </w:pPr>
    </w:p>
    <w:p>
      <w:pPr>
        <w:ind w:firstLine="1293"/>
        <w:spacing w:after="0" w:line="276" w:lineRule="auto"/>
        <w:tabs>
          <w:tab w:leader="none" w:pos="2005"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6.3(e)</w:t>
      </w:r>
      <w:r>
        <w:rPr>
          <w:rFonts w:ascii="Arial" w:cs="Arial" w:eastAsia="Arial" w:hAnsi="Arial"/>
          <w:sz w:val="22"/>
          <w:szCs w:val="22"/>
          <w:color w:val="auto"/>
        </w:rPr>
        <w:t>, cause an Intermediate Company to exercise a purchase option pursuant to a Fund Company Call Event;</w:t>
      </w:r>
    </w:p>
    <w:p>
      <w:pPr>
        <w:spacing w:after="0" w:line="160" w:lineRule="exact"/>
        <w:rPr>
          <w:rFonts w:ascii="Arial" w:cs="Arial" w:eastAsia="Arial" w:hAnsi="Arial"/>
          <w:sz w:val="22"/>
          <w:szCs w:val="22"/>
          <w:color w:val="auto"/>
        </w:rPr>
      </w:pPr>
    </w:p>
    <w:p>
      <w:pPr>
        <w:jc w:val="both"/>
        <w:ind w:firstLine="1293"/>
        <w:spacing w:after="0" w:line="358" w:lineRule="auto"/>
        <w:tabs>
          <w:tab w:leader="none" w:pos="1999" w:val="left"/>
        </w:tabs>
        <w:numPr>
          <w:ilvl w:val="0"/>
          <w:numId w:val="241"/>
        </w:numPr>
        <w:rPr>
          <w:rFonts w:ascii="Arial" w:cs="Arial" w:eastAsia="Arial" w:hAnsi="Arial"/>
          <w:sz w:val="19"/>
          <w:szCs w:val="19"/>
          <w:color w:val="auto"/>
        </w:rPr>
      </w:pPr>
      <w:r>
        <w:rPr>
          <w:rFonts w:ascii="Arial" w:cs="Arial" w:eastAsia="Arial" w:hAnsi="Arial"/>
          <w:sz w:val="19"/>
          <w:szCs w:val="19"/>
          <w:color w:val="auto"/>
        </w:rPr>
        <w:t>Cause the Company or cause the Company to cause any Subject Company to change its respective legal form, recapitalize, liquidate, wind up or dissolve (other than in accordance with this Agreement), or declare itself</w:t>
      </w:r>
    </w:p>
    <w:p>
      <w:pPr>
        <w:sectPr>
          <w:pgSz w:w="11900" w:h="16838" w:orient="portrait"/>
          <w:cols w:equalWidth="0" w:num="1">
            <w:col w:w="10760"/>
          </w:cols>
          <w:pgMar w:left="900" w:top="132" w:right="239" w:bottom="0" w:gutter="0" w:footer="0" w:header="0"/>
        </w:sectPr>
      </w:pPr>
    </w:p>
    <w:bookmarkStart w:id="249" w:name="page250"/>
    <w:bookmarkEnd w:id="249"/>
    <w:p>
      <w:pPr>
        <w:ind w:left="652"/>
        <w:spacing w:after="0"/>
        <w:rPr>
          <w:sz w:val="20"/>
          <w:szCs w:val="20"/>
          <w:color w:val="auto"/>
        </w:rPr>
      </w:pPr>
      <w:r>
        <w:rPr>
          <w:rFonts w:ascii="Arial" w:cs="Arial" w:eastAsia="Arial" w:hAnsi="Arial"/>
          <w:sz w:val="22"/>
          <w:szCs w:val="22"/>
          <w:color w:val="auto"/>
        </w:rPr>
        <w:t>Bankrupt; or</w:t>
      </w:r>
    </w:p>
    <w:p>
      <w:pPr>
        <w:spacing w:after="0" w:line="220" w:lineRule="exact"/>
        <w:rPr>
          <w:sz w:val="20"/>
          <w:szCs w:val="20"/>
          <w:color w:val="auto"/>
        </w:rPr>
      </w:pPr>
    </w:p>
    <w:p>
      <w:pPr>
        <w:ind w:left="652" w:firstLine="1293"/>
        <w:spacing w:after="0" w:line="301" w:lineRule="auto"/>
        <w:tabs>
          <w:tab w:leader="none" w:pos="2670" w:val="left"/>
        </w:tabs>
        <w:numPr>
          <w:ilvl w:val="1"/>
          <w:numId w:val="242"/>
        </w:numPr>
        <w:rPr>
          <w:rFonts w:ascii="Arial" w:cs="Arial" w:eastAsia="Arial" w:hAnsi="Arial"/>
          <w:sz w:val="21"/>
          <w:szCs w:val="21"/>
          <w:color w:val="auto"/>
        </w:rPr>
      </w:pPr>
      <w:r>
        <w:rPr>
          <w:rFonts w:ascii="Arial" w:cs="Arial" w:eastAsia="Arial" w:hAnsi="Arial"/>
          <w:sz w:val="21"/>
          <w:szCs w:val="21"/>
          <w:color w:val="auto"/>
        </w:rPr>
        <w:t>Cause the Company or any Subject Company to hire legal advisors to act on such company’s behalf; provided that all legal advisors currently used by such company as of the Effective Date are approved.</w:t>
      </w:r>
    </w:p>
    <w:p>
      <w:pPr>
        <w:spacing w:after="0" w:line="137" w:lineRule="exact"/>
        <w:rPr>
          <w:rFonts w:ascii="Arial" w:cs="Arial" w:eastAsia="Arial" w:hAnsi="Arial"/>
          <w:sz w:val="21"/>
          <w:szCs w:val="21"/>
          <w:color w:val="auto"/>
        </w:rPr>
      </w:pPr>
    </w:p>
    <w:p>
      <w:pPr>
        <w:jc w:val="both"/>
        <w:ind w:left="-8" w:firstLine="1305"/>
        <w:spacing w:after="0" w:line="260" w:lineRule="auto"/>
        <w:tabs>
          <w:tab w:leader="none" w:pos="1722" w:val="left"/>
        </w:tabs>
        <w:numPr>
          <w:ilvl w:val="0"/>
          <w:numId w:val="243"/>
        </w:numPr>
        <w:rPr>
          <w:rFonts w:ascii="Arial" w:cs="Arial" w:eastAsia="Arial" w:hAnsi="Arial"/>
          <w:sz w:val="22"/>
          <w:szCs w:val="22"/>
          <w:color w:val="auto"/>
        </w:rPr>
      </w:pPr>
      <w:r>
        <w:rPr>
          <w:rFonts w:ascii="Arial" w:cs="Arial" w:eastAsia="Arial" w:hAnsi="Arial"/>
          <w:sz w:val="22"/>
          <w:szCs w:val="22"/>
          <w:color w:val="auto"/>
        </w:rPr>
        <w:t>Prior to the dissolution of the Company under the terms of this Agreement, the Manager shall devote such time and effort to the Company’s business as may be necessary to adequately promote the interests of the Company and the mutual interests of the Members.</w:t>
      </w:r>
    </w:p>
    <w:p>
      <w:pPr>
        <w:spacing w:after="0" w:line="177" w:lineRule="exact"/>
        <w:rPr>
          <w:rFonts w:ascii="Arial" w:cs="Arial" w:eastAsia="Arial" w:hAnsi="Arial"/>
          <w:sz w:val="22"/>
          <w:szCs w:val="22"/>
          <w:color w:val="auto"/>
        </w:rPr>
      </w:pPr>
    </w:p>
    <w:p>
      <w:pPr>
        <w:jc w:val="both"/>
        <w:ind w:left="-8" w:firstLine="1305"/>
        <w:spacing w:after="0" w:line="297" w:lineRule="auto"/>
        <w:tabs>
          <w:tab w:leader="none" w:pos="1775"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With respect to any actions described in this Agreement that require the Consent of the Members (including, without limitation, those actions set forth in this </w:t>
      </w:r>
      <w:r>
        <w:rPr>
          <w:rFonts w:ascii="Arial" w:cs="Arial" w:eastAsia="Arial" w:hAnsi="Arial"/>
          <w:sz w:val="19"/>
          <w:szCs w:val="19"/>
          <w:u w:val="single" w:color="auto"/>
          <w:color w:val="auto"/>
        </w:rPr>
        <w:t>Section 6.2</w:t>
      </w:r>
      <w:r>
        <w:rPr>
          <w:rFonts w:ascii="Arial" w:cs="Arial" w:eastAsia="Arial" w:hAnsi="Arial"/>
          <w:sz w:val="19"/>
          <w:szCs w:val="19"/>
          <w:color w:val="auto"/>
        </w:rPr>
        <w:t>), the Manager shall use commercially reasonable efforts to request such consent or approval from each Member no later than ten (10) Business Days prior to the proposed date for the taking of such action, and such request shall include, to the extent applicable, copies of all material documentation relating to the proposed action. The failure of any Member to deliver a response either approving or disapproving any action requiring the Consent of the Members within such ten (10) Business Day period shall be deemed such Member’s consent to the proposed action.</w:t>
      </w:r>
    </w:p>
    <w:p>
      <w:pPr>
        <w:spacing w:after="0" w:line="141" w:lineRule="exact"/>
        <w:rPr>
          <w:sz w:val="20"/>
          <w:szCs w:val="20"/>
          <w:color w:val="auto"/>
        </w:rPr>
      </w:pPr>
    </w:p>
    <w:p>
      <w:pPr>
        <w:ind w:left="1292"/>
        <w:spacing w:after="0"/>
        <w:tabs>
          <w:tab w:leader="none" w:pos="2452" w:val="left"/>
        </w:tabs>
        <w:rPr>
          <w:sz w:val="20"/>
          <w:szCs w:val="20"/>
          <w:color w:val="auto"/>
        </w:rPr>
      </w:pPr>
      <w:r>
        <w:rPr>
          <w:rFonts w:ascii="Arial" w:cs="Arial" w:eastAsia="Arial" w:hAnsi="Arial"/>
          <w:sz w:val="22"/>
          <w:szCs w:val="22"/>
          <w:b w:val="1"/>
          <w:bCs w:val="1"/>
          <w:color w:val="auto"/>
        </w:rPr>
        <w:t>Section 6.3</w:t>
      </w:r>
      <w:r>
        <w:rPr>
          <w:sz w:val="20"/>
          <w:szCs w:val="20"/>
          <w:color w:val="auto"/>
        </w:rPr>
        <w:tab/>
      </w:r>
      <w:r>
        <w:rPr>
          <w:rFonts w:ascii="Arial" w:cs="Arial" w:eastAsia="Arial" w:hAnsi="Arial"/>
          <w:sz w:val="19"/>
          <w:szCs w:val="19"/>
          <w:b w:val="1"/>
          <w:bCs w:val="1"/>
          <w:u w:val="single" w:color="auto"/>
          <w:color w:val="auto"/>
        </w:rPr>
        <w:t>Fund Company Acquisitions; Fund Company Call Events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8" w:firstLine="1305"/>
        <w:spacing w:after="0" w:line="250" w:lineRule="auto"/>
        <w:tabs>
          <w:tab w:leader="none" w:pos="1803" w:val="left"/>
        </w:tabs>
        <w:numPr>
          <w:ilvl w:val="1"/>
          <w:numId w:val="244"/>
        </w:numPr>
        <w:rPr>
          <w:rFonts w:ascii="Arial" w:cs="Arial" w:eastAsia="Arial" w:hAnsi="Arial"/>
          <w:sz w:val="22"/>
          <w:szCs w:val="22"/>
          <w:color w:val="auto"/>
        </w:rPr>
      </w:pPr>
      <w:r>
        <w:rPr>
          <w:rFonts w:ascii="Arial" w:cs="Arial" w:eastAsia="Arial" w:hAnsi="Arial"/>
          <w:sz w:val="22"/>
          <w:szCs w:val="22"/>
          <w:color w:val="auto"/>
        </w:rPr>
        <w:t xml:space="preserve">During the Investment Period, the Manager shall present each proposed Fund Company to the Members in accordance with </w:t>
      </w:r>
      <w:r>
        <w:rPr>
          <w:rFonts w:ascii="Arial" w:cs="Arial" w:eastAsia="Arial" w:hAnsi="Arial"/>
          <w:sz w:val="22"/>
          <w:szCs w:val="22"/>
          <w:u w:val="single" w:color="auto"/>
          <w:color w:val="auto"/>
        </w:rPr>
        <w:t>Section 6.3(b)</w:t>
      </w:r>
      <w:r>
        <w:rPr>
          <w:rFonts w:ascii="Arial" w:cs="Arial" w:eastAsia="Arial" w:hAnsi="Arial"/>
          <w:sz w:val="22"/>
          <w:szCs w:val="22"/>
          <w:color w:val="auto"/>
        </w:rPr>
        <w:t xml:space="preserve"> to obtain Consent of the Members to either (i) if such proposed Fund Company is a going concern and owns one or more Projects at the time of such acquisition, purchase such Fund Company or (ii) if such proposed Fund Company is a newly formed company that does not yet own any Projects at the time of such acquisition, cause the applicable Intermediate Company to acquire a membership interest in such Fund Company and enter into the Fund Documents with any applicable Fund Investor.</w:t>
      </w:r>
    </w:p>
    <w:p>
      <w:pPr>
        <w:spacing w:after="0" w:line="188" w:lineRule="exact"/>
        <w:rPr>
          <w:rFonts w:ascii="Arial" w:cs="Arial" w:eastAsia="Arial" w:hAnsi="Arial"/>
          <w:sz w:val="22"/>
          <w:szCs w:val="22"/>
          <w:color w:val="auto"/>
        </w:rPr>
      </w:pPr>
    </w:p>
    <w:p>
      <w:pPr>
        <w:jc w:val="both"/>
        <w:ind w:left="-8" w:firstLine="1305"/>
        <w:spacing w:after="0" w:line="292" w:lineRule="auto"/>
        <w:tabs>
          <w:tab w:leader="none" w:pos="1734" w:val="left"/>
        </w:tabs>
        <w:numPr>
          <w:ilvl w:val="1"/>
          <w:numId w:val="244"/>
        </w:numPr>
        <w:rPr>
          <w:rFonts w:ascii="Arial" w:cs="Arial" w:eastAsia="Arial" w:hAnsi="Arial"/>
          <w:sz w:val="19"/>
          <w:szCs w:val="19"/>
          <w:color w:val="auto"/>
        </w:rPr>
      </w:pPr>
      <w:r>
        <w:rPr>
          <w:rFonts w:ascii="Arial" w:cs="Arial" w:eastAsia="Arial" w:hAnsi="Arial"/>
          <w:sz w:val="19"/>
          <w:szCs w:val="19"/>
          <w:color w:val="auto"/>
        </w:rPr>
        <w:t xml:space="preserve">In order to initiate the Company’s investment in a proposed Fund Company through an Intermediate Company, the Manager shall deliver to the Members a Fund Company Presentation Package for their review; </w:t>
      </w:r>
      <w:r>
        <w:rPr>
          <w:rFonts w:ascii="Arial" w:cs="Arial" w:eastAsia="Arial" w:hAnsi="Arial"/>
          <w:sz w:val="19"/>
          <w:szCs w:val="19"/>
          <w:i w:val="1"/>
          <w:iCs w:val="1"/>
          <w:color w:val="auto"/>
        </w:rPr>
        <w:t>provided</w:t>
      </w:r>
      <w:r>
        <w:rPr>
          <w:rFonts w:ascii="Arial" w:cs="Arial" w:eastAsia="Arial" w:hAnsi="Arial"/>
          <w:sz w:val="19"/>
          <w:szCs w:val="19"/>
          <w:color w:val="auto"/>
        </w:rPr>
        <w:t>, that such delivery will be considered an informal delivery unless and until a formal notice is sent by the Manager to the Members (a “</w:t>
      </w:r>
      <w:r>
        <w:rPr>
          <w:rFonts w:ascii="Arial" w:cs="Arial" w:eastAsia="Arial" w:hAnsi="Arial"/>
          <w:sz w:val="19"/>
          <w:szCs w:val="19"/>
          <w:b w:val="1"/>
          <w:bCs w:val="1"/>
          <w:color w:val="auto"/>
        </w:rPr>
        <w:t>Fund Company</w:t>
      </w:r>
      <w:r>
        <w:rPr>
          <w:rFonts w:ascii="Arial" w:cs="Arial" w:eastAsia="Arial" w:hAnsi="Arial"/>
          <w:sz w:val="19"/>
          <w:szCs w:val="19"/>
          <w:color w:val="auto"/>
        </w:rPr>
        <w:t xml:space="preserve"> </w:t>
      </w:r>
      <w:r>
        <w:rPr>
          <w:rFonts w:ascii="Arial" w:cs="Arial" w:eastAsia="Arial" w:hAnsi="Arial"/>
          <w:sz w:val="19"/>
          <w:szCs w:val="19"/>
          <w:b w:val="1"/>
          <w:bCs w:val="1"/>
          <w:color w:val="auto"/>
        </w:rPr>
        <w:t>Presentation Notice</w:t>
      </w:r>
      <w:r>
        <w:rPr>
          <w:rFonts w:ascii="Arial" w:cs="Arial" w:eastAsia="Arial" w:hAnsi="Arial"/>
          <w:sz w:val="19"/>
          <w:szCs w:val="19"/>
          <w:color w:val="auto"/>
        </w:rPr>
        <w:t>”) indicating that such delivery is intended to commence the Review Period set forth below. Following receipt</w:t>
      </w:r>
      <w:r>
        <w:rPr>
          <w:rFonts w:ascii="Arial" w:cs="Arial" w:eastAsia="Arial" w:hAnsi="Arial"/>
          <w:sz w:val="19"/>
          <w:szCs w:val="19"/>
          <w:b w:val="1"/>
          <w:bCs w:val="1"/>
          <w:color w:val="auto"/>
        </w:rPr>
        <w:t xml:space="preserve"> </w:t>
      </w:r>
      <w:r>
        <w:rPr>
          <w:rFonts w:ascii="Arial" w:cs="Arial" w:eastAsia="Arial" w:hAnsi="Arial"/>
          <w:sz w:val="19"/>
          <w:szCs w:val="19"/>
          <w:color w:val="auto"/>
        </w:rPr>
        <w:t>of a Fund Company Presentation Notice, each Member shall respond in writing (each, an “</w:t>
      </w:r>
      <w:r>
        <w:rPr>
          <w:rFonts w:ascii="Arial" w:cs="Arial" w:eastAsia="Arial" w:hAnsi="Arial"/>
          <w:sz w:val="19"/>
          <w:szCs w:val="19"/>
          <w:b w:val="1"/>
          <w:bCs w:val="1"/>
          <w:color w:val="auto"/>
        </w:rPr>
        <w:t>Investment Response Notice</w:t>
      </w:r>
      <w:r>
        <w:rPr>
          <w:rFonts w:ascii="Arial" w:cs="Arial" w:eastAsia="Arial" w:hAnsi="Arial"/>
          <w:sz w:val="19"/>
          <w:szCs w:val="19"/>
          <w:color w:val="auto"/>
        </w:rPr>
        <w:t>”) within thirty (30) days (the “</w:t>
      </w:r>
      <w:r>
        <w:rPr>
          <w:rFonts w:ascii="Arial" w:cs="Arial" w:eastAsia="Arial" w:hAnsi="Arial"/>
          <w:sz w:val="19"/>
          <w:szCs w:val="19"/>
          <w:b w:val="1"/>
          <w:bCs w:val="1"/>
          <w:color w:val="auto"/>
        </w:rPr>
        <w:t>Review Period</w:t>
      </w:r>
      <w:r>
        <w:rPr>
          <w:rFonts w:ascii="Arial" w:cs="Arial" w:eastAsia="Arial" w:hAnsi="Arial"/>
          <w:sz w:val="19"/>
          <w:szCs w:val="19"/>
          <w:color w:val="auto"/>
        </w:rPr>
        <w:t>”) indicating whether it accepts (an “</w:t>
      </w:r>
      <w:r>
        <w:rPr>
          <w:rFonts w:ascii="Arial" w:cs="Arial" w:eastAsia="Arial" w:hAnsi="Arial"/>
          <w:sz w:val="19"/>
          <w:szCs w:val="19"/>
          <w:b w:val="1"/>
          <w:bCs w:val="1"/>
          <w:color w:val="auto"/>
        </w:rPr>
        <w:t>Accepted Acquisition</w:t>
      </w:r>
      <w:r>
        <w:rPr>
          <w:rFonts w:ascii="Arial" w:cs="Arial" w:eastAsia="Arial" w:hAnsi="Arial"/>
          <w:sz w:val="19"/>
          <w:szCs w:val="19"/>
          <w:color w:val="auto"/>
        </w:rPr>
        <w:t>”) or rejects (a “</w:t>
      </w:r>
      <w:r>
        <w:rPr>
          <w:rFonts w:ascii="Arial" w:cs="Arial" w:eastAsia="Arial" w:hAnsi="Arial"/>
          <w:sz w:val="19"/>
          <w:szCs w:val="19"/>
          <w:b w:val="1"/>
          <w:bCs w:val="1"/>
          <w:color w:val="auto"/>
        </w:rPr>
        <w:t>Rejected</w:t>
      </w:r>
      <w:r>
        <w:rPr>
          <w:rFonts w:ascii="Arial" w:cs="Arial" w:eastAsia="Arial" w:hAnsi="Arial"/>
          <w:sz w:val="19"/>
          <w:szCs w:val="19"/>
          <w:color w:val="auto"/>
        </w:rPr>
        <w:t xml:space="preserve"> </w:t>
      </w:r>
      <w:r>
        <w:rPr>
          <w:rFonts w:ascii="Arial" w:cs="Arial" w:eastAsia="Arial" w:hAnsi="Arial"/>
          <w:sz w:val="19"/>
          <w:szCs w:val="19"/>
          <w:b w:val="1"/>
          <w:bCs w:val="1"/>
          <w:color w:val="auto"/>
        </w:rPr>
        <w:t>Acquisition</w:t>
      </w:r>
      <w:r>
        <w:rPr>
          <w:rFonts w:ascii="Arial" w:cs="Arial" w:eastAsia="Arial" w:hAnsi="Arial"/>
          <w:sz w:val="19"/>
          <w:szCs w:val="19"/>
          <w:color w:val="auto"/>
        </w:rPr>
        <w:t>”) such investment opportunity. A proposed investment shall automatically be treated as a Rejected Acquisition unless</w:t>
      </w:r>
      <w:r>
        <w:rPr>
          <w:rFonts w:ascii="Arial" w:cs="Arial" w:eastAsia="Arial" w:hAnsi="Arial"/>
          <w:sz w:val="19"/>
          <w:szCs w:val="19"/>
          <w:b w:val="1"/>
          <w:bCs w:val="1"/>
          <w:color w:val="auto"/>
        </w:rPr>
        <w:t xml:space="preserve"> </w:t>
      </w:r>
      <w:r>
        <w:rPr>
          <w:rFonts w:ascii="Arial" w:cs="Arial" w:eastAsia="Arial" w:hAnsi="Arial"/>
          <w:sz w:val="19"/>
          <w:szCs w:val="19"/>
          <w:color w:val="auto"/>
        </w:rPr>
        <w:t>all Members deliver Investment Responses approving such acquisition prior to the expiration of the applicable Review Period.</w:t>
      </w:r>
    </w:p>
    <w:p>
      <w:pPr>
        <w:spacing w:after="0" w:line="155" w:lineRule="exact"/>
        <w:rPr>
          <w:rFonts w:ascii="Arial" w:cs="Arial" w:eastAsia="Arial" w:hAnsi="Arial"/>
          <w:sz w:val="19"/>
          <w:szCs w:val="19"/>
          <w:color w:val="auto"/>
        </w:rPr>
      </w:pPr>
    </w:p>
    <w:p>
      <w:pPr>
        <w:jc w:val="both"/>
        <w:ind w:left="-8" w:firstLine="1305"/>
        <w:spacing w:after="0" w:line="250" w:lineRule="auto"/>
        <w:tabs>
          <w:tab w:leader="none" w:pos="1776" w:val="left"/>
        </w:tabs>
        <w:numPr>
          <w:ilvl w:val="1"/>
          <w:numId w:val="244"/>
        </w:numPr>
        <w:rPr>
          <w:rFonts w:ascii="Arial" w:cs="Arial" w:eastAsia="Arial" w:hAnsi="Arial"/>
          <w:sz w:val="22"/>
          <w:szCs w:val="22"/>
          <w:color w:val="auto"/>
        </w:rPr>
      </w:pPr>
      <w:r>
        <w:rPr>
          <w:rFonts w:ascii="Arial" w:cs="Arial" w:eastAsia="Arial" w:hAnsi="Arial"/>
          <w:sz w:val="22"/>
          <w:szCs w:val="22"/>
          <w:color w:val="auto"/>
        </w:rPr>
        <w:t>In the case of each Accepted Acquisition, the Members shall be deemed to have consented to the applicable Fund Documents and the Manager will (i) cause the applicable Intermediate Company to enter into the applicable Fund Documents to acquire interests in such Fund Company, (ii) coordinate with each Member any documents required to be executed by such Member in connection with such Accepted Acquisition, if any, including any guarantees required in connection therewith, (iii) the Members shall execute a Fund Addendum and (iv) deliver such Capital Contribution Notices to the Members as are required to fund such acquisition.</w:t>
      </w:r>
    </w:p>
    <w:p>
      <w:pPr>
        <w:spacing w:after="0" w:line="188" w:lineRule="exact"/>
        <w:rPr>
          <w:rFonts w:ascii="Arial" w:cs="Arial" w:eastAsia="Arial" w:hAnsi="Arial"/>
          <w:sz w:val="22"/>
          <w:szCs w:val="22"/>
          <w:color w:val="auto"/>
        </w:rPr>
      </w:pPr>
    </w:p>
    <w:p>
      <w:pPr>
        <w:jc w:val="both"/>
        <w:ind w:left="-8" w:firstLine="1305"/>
        <w:spacing w:after="0" w:line="262" w:lineRule="auto"/>
        <w:tabs>
          <w:tab w:leader="none" w:pos="1869" w:val="left"/>
        </w:tabs>
        <w:numPr>
          <w:ilvl w:val="1"/>
          <w:numId w:val="244"/>
        </w:numPr>
        <w:rPr>
          <w:rFonts w:ascii="Arial" w:cs="Arial" w:eastAsia="Arial" w:hAnsi="Arial"/>
          <w:sz w:val="21"/>
          <w:szCs w:val="21"/>
          <w:color w:val="auto"/>
        </w:rPr>
      </w:pPr>
      <w:r>
        <w:rPr>
          <w:rFonts w:ascii="Arial" w:cs="Arial" w:eastAsia="Arial" w:hAnsi="Arial"/>
          <w:sz w:val="21"/>
          <w:szCs w:val="21"/>
          <w:color w:val="auto"/>
        </w:rPr>
        <w:t>If the proposed Cumulative Base Case Model, Fund Base Case Model and proposed amendments to the Approved Budget contained in the Fund Company Presentation Package in connection with a proposed acquisition of a Fund Company require an increase to the Class A Member Capital Contribution Commitment or, if applicable, the Class A Member Capital Contribution Commitment Accordion Amount in connection with such acquisition and such acquisition becomes an Accepted Acquisition, then the Class A Member Capital Contribution Commitment or, if applicable, the Class A Member Capital Contribution Commitment Accordion Amount shall be automatically increased as agreed to by the Members in connection with the modification of the Approved Budget in connection with such acquisition.</w:t>
      </w:r>
    </w:p>
    <w:p>
      <w:pPr>
        <w:spacing w:after="0" w:line="180" w:lineRule="exact"/>
        <w:rPr>
          <w:rFonts w:ascii="Arial" w:cs="Arial" w:eastAsia="Arial" w:hAnsi="Arial"/>
          <w:sz w:val="21"/>
          <w:szCs w:val="21"/>
          <w:color w:val="auto"/>
        </w:rPr>
      </w:pPr>
    </w:p>
    <w:p>
      <w:pPr>
        <w:jc w:val="both"/>
        <w:ind w:left="-8" w:firstLine="1305"/>
        <w:spacing w:after="0" w:line="285" w:lineRule="auto"/>
        <w:tabs>
          <w:tab w:leader="none" w:pos="1776" w:val="left"/>
        </w:tabs>
        <w:numPr>
          <w:ilvl w:val="1"/>
          <w:numId w:val="244"/>
        </w:numPr>
        <w:rPr>
          <w:rFonts w:ascii="Arial" w:cs="Arial" w:eastAsia="Arial" w:hAnsi="Arial"/>
          <w:sz w:val="19"/>
          <w:szCs w:val="19"/>
          <w:color w:val="auto"/>
        </w:rPr>
      </w:pPr>
      <w:r>
        <w:rPr>
          <w:rFonts w:ascii="Arial" w:cs="Arial" w:eastAsia="Arial" w:hAnsi="Arial"/>
          <w:sz w:val="19"/>
          <w:szCs w:val="19"/>
          <w:color w:val="auto"/>
        </w:rPr>
        <w:t>In the event that a Fund Company Call Event arises, the Manager shall send notice to the Members together with a detailed explanation of the mechanics for such event in the applicable Fund Documents. Within five (5) Business Days following receipt of such notice, the Members shall meet to determine whether the Company should cause the Intermediate Company to purchase the applicable Fund Investor’s membership interests (the “</w:t>
      </w:r>
      <w:r>
        <w:rPr>
          <w:rFonts w:ascii="Arial" w:cs="Arial" w:eastAsia="Arial" w:hAnsi="Arial"/>
          <w:sz w:val="19"/>
          <w:szCs w:val="19"/>
          <w:b w:val="1"/>
          <w:bCs w:val="1"/>
          <w:color w:val="auto"/>
        </w:rPr>
        <w:t>Fund Investor Interests</w:t>
      </w:r>
      <w:r>
        <w:rPr>
          <w:rFonts w:ascii="Arial" w:cs="Arial" w:eastAsia="Arial" w:hAnsi="Arial"/>
          <w:sz w:val="19"/>
          <w:szCs w:val="19"/>
          <w:color w:val="auto"/>
        </w:rPr>
        <w:t xml:space="preserve">”) in such Fund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decision is not required to be made under the Fund Documents until an appraisal of such Fund Investor Interests has been completed, then the Members may postpone such decision until such appraisal has been completed. If the Members agree to exercise the option pursuant to the Fund Company Call Event, then each Member’s respective Capital Contributions will be determined in accordance with </w:t>
      </w:r>
      <w:r>
        <w:rPr>
          <w:rFonts w:ascii="Arial" w:cs="Arial" w:eastAsia="Arial" w:hAnsi="Arial"/>
          <w:sz w:val="19"/>
          <w:szCs w:val="19"/>
          <w:u w:val="single" w:color="auto"/>
          <w:color w:val="auto"/>
        </w:rPr>
        <w:t>Section 3.3(e)</w:t>
      </w:r>
      <w:r>
        <w:rPr>
          <w:rFonts w:ascii="Arial" w:cs="Arial" w:eastAsia="Arial" w:hAnsi="Arial"/>
          <w:sz w:val="19"/>
          <w:szCs w:val="19"/>
          <w:color w:val="auto"/>
        </w:rPr>
        <w:t>. If the Class A Members and the Class B Members cannot reach agreement with respect to exercising such option within the number of days required for such decision contained in the notice from the Manager (to be determined reasonably by the Manager in each case based on the required response period in the underlying Fund Documents), then the Class B Members shall have the right (but not the obligation), to be exercised within three</w:t>
      </w:r>
    </w:p>
    <w:p>
      <w:pPr>
        <w:jc w:val="both"/>
        <w:ind w:left="-8" w:firstLine="8"/>
        <w:spacing w:after="0" w:line="292" w:lineRule="auto"/>
        <w:tabs>
          <w:tab w:leader="none" w:pos="321" w:val="left"/>
        </w:tabs>
        <w:numPr>
          <w:ilvl w:val="0"/>
          <w:numId w:val="245"/>
        </w:numPr>
        <w:rPr>
          <w:rFonts w:ascii="Arial" w:cs="Arial" w:eastAsia="Arial" w:hAnsi="Arial"/>
          <w:sz w:val="19"/>
          <w:szCs w:val="19"/>
          <w:color w:val="auto"/>
        </w:rPr>
      </w:pPr>
      <w:r>
        <w:rPr>
          <w:rFonts w:ascii="Arial" w:cs="Arial" w:eastAsia="Arial" w:hAnsi="Arial"/>
          <w:sz w:val="19"/>
          <w:szCs w:val="19"/>
          <w:color w:val="auto"/>
        </w:rPr>
        <w:t>days following the initial decision period contained in the Manager’s notice, to cause the Intermediate Company to exercise such option to purchase the Fund Investor Interests conditioned on the Class B Members funding one hundred percent (100%) of the Capital Contributions required to consummate such purchase. If the Class B Members decline the opportunity to fund one hundred percent (100%) of the Capital Contributions required to consummate such purchase, then the Class A Members shall have the right (but not the obligation), to be exercised within three (3) days following the receipt of the Class B Members’ response (or</w:t>
      </w:r>
    </w:p>
    <w:p>
      <w:pPr>
        <w:sectPr>
          <w:pgSz w:w="11900" w:h="16838" w:orient="portrait"/>
          <w:cols w:equalWidth="0" w:num="1">
            <w:col w:w="11412"/>
          </w:cols>
          <w:pgMar w:left="248" w:top="132" w:right="239" w:bottom="0" w:gutter="0" w:footer="0" w:header="0"/>
        </w:sectPr>
      </w:pPr>
    </w:p>
    <w:bookmarkStart w:id="250" w:name="page251"/>
    <w:bookmarkEnd w:id="250"/>
    <w:p>
      <w:pPr>
        <w:jc w:val="both"/>
        <w:spacing w:after="0" w:line="260" w:lineRule="auto"/>
        <w:rPr>
          <w:sz w:val="20"/>
          <w:szCs w:val="20"/>
          <w:color w:val="auto"/>
        </w:rPr>
      </w:pPr>
      <w:r>
        <w:rPr>
          <w:rFonts w:ascii="Arial" w:cs="Arial" w:eastAsia="Arial" w:hAnsi="Arial"/>
          <w:sz w:val="21"/>
          <w:szCs w:val="21"/>
          <w:color w:val="auto"/>
        </w:rPr>
        <w:t xml:space="preserve">deemed response), to cause the Intermediate Company to exercise such option to purchase the Fund Investor Interests conditioned on the Class A Members funding one hundred percent (100%) of the Capital Contributions required to consummate such purchase. The failure of any Member to respond within the time periods set forth in this </w:t>
      </w:r>
      <w:r>
        <w:rPr>
          <w:rFonts w:ascii="Arial" w:cs="Arial" w:eastAsia="Arial" w:hAnsi="Arial"/>
          <w:sz w:val="21"/>
          <w:szCs w:val="21"/>
          <w:u w:val="single" w:color="auto"/>
          <w:color w:val="auto"/>
        </w:rPr>
        <w:t>Section 6.3(e)</w:t>
      </w:r>
      <w:r>
        <w:rPr>
          <w:rFonts w:ascii="Arial" w:cs="Arial" w:eastAsia="Arial" w:hAnsi="Arial"/>
          <w:sz w:val="21"/>
          <w:szCs w:val="21"/>
          <w:color w:val="auto"/>
        </w:rPr>
        <w:t xml:space="preserve"> shall be deemed such Member’s rejection of such opportunity. Following any Member’s delivery of notice that it has elected to fund one hundred percent (100%) of the Capital Contributions required to consummate the purchase of the Fund Investor Interests, the Members shall work together in good faith to adjust to the allocations under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and the distributions under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to reflect such increased Capital Contributions made by the Class B Members.</w:t>
      </w:r>
    </w:p>
    <w:p>
      <w:pPr>
        <w:spacing w:after="0" w:line="175"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6.4</w:t>
      </w:r>
      <w:r>
        <w:rPr>
          <w:sz w:val="20"/>
          <w:szCs w:val="20"/>
          <w:color w:val="auto"/>
        </w:rPr>
        <w:tab/>
      </w:r>
      <w:r>
        <w:rPr>
          <w:rFonts w:ascii="Arial" w:cs="Arial" w:eastAsia="Arial" w:hAnsi="Arial"/>
          <w:sz w:val="19"/>
          <w:szCs w:val="19"/>
          <w:b w:val="1"/>
          <w:bCs w:val="1"/>
          <w:u w:val="single" w:color="auto"/>
          <w:color w:val="auto"/>
        </w:rPr>
        <w:t>Removal and Election of Manager.</w:t>
      </w:r>
    </w:p>
    <w:p>
      <w:pPr>
        <w:spacing w:after="0" w:line="239" w:lineRule="exact"/>
        <w:rPr>
          <w:sz w:val="20"/>
          <w:szCs w:val="20"/>
          <w:color w:val="auto"/>
        </w:rPr>
      </w:pPr>
    </w:p>
    <w:p>
      <w:pPr>
        <w:jc w:val="both"/>
        <w:ind w:firstLine="1305"/>
        <w:spacing w:after="0" w:line="251" w:lineRule="auto"/>
        <w:tabs>
          <w:tab w:leader="none" w:pos="1784" w:val="left"/>
        </w:tabs>
        <w:numPr>
          <w:ilvl w:val="1"/>
          <w:numId w:val="246"/>
        </w:numPr>
        <w:rPr>
          <w:rFonts w:ascii="Arial" w:cs="Arial" w:eastAsia="Arial" w:hAnsi="Arial"/>
          <w:sz w:val="22"/>
          <w:szCs w:val="22"/>
          <w:color w:val="auto"/>
        </w:rPr>
      </w:pPr>
      <w:r>
        <w:rPr>
          <w:rFonts w:ascii="Arial" w:cs="Arial" w:eastAsia="Arial" w:hAnsi="Arial"/>
          <w:sz w:val="22"/>
          <w:szCs w:val="22"/>
          <w:color w:val="auto"/>
        </w:rPr>
        <w:t xml:space="preserve">The Manager shall not have a right to resign unless and until a successor manager is elected or appointed as specified under this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and assumes the obligations of the Manager under this Agreement. If the Manager so resigns, the resigning Manager shall reasonably cooperate with the Members and the replacement Manager to effect an orderly transition of responsibilities and duties to the replacement Manager. Such replacement Manager shall be elected by a majority vote of the Class B Members, subject to subparagraph (b) below.</w:t>
      </w:r>
    </w:p>
    <w:p>
      <w:pPr>
        <w:spacing w:after="0" w:line="189" w:lineRule="exact"/>
        <w:rPr>
          <w:rFonts w:ascii="Arial" w:cs="Arial" w:eastAsia="Arial" w:hAnsi="Arial"/>
          <w:sz w:val="22"/>
          <w:szCs w:val="22"/>
          <w:color w:val="auto"/>
        </w:rPr>
      </w:pPr>
    </w:p>
    <w:p>
      <w:pPr>
        <w:jc w:val="both"/>
        <w:ind w:firstLine="1305"/>
        <w:spacing w:after="0" w:line="299" w:lineRule="auto"/>
        <w:tabs>
          <w:tab w:leader="none" w:pos="1756" w:val="left"/>
        </w:tabs>
        <w:numPr>
          <w:ilvl w:val="1"/>
          <w:numId w:val="246"/>
        </w:numPr>
        <w:rPr>
          <w:rFonts w:ascii="Arial" w:cs="Arial" w:eastAsia="Arial" w:hAnsi="Arial"/>
          <w:sz w:val="19"/>
          <w:szCs w:val="19"/>
          <w:color w:val="auto"/>
        </w:rPr>
      </w:pPr>
      <w:r>
        <w:rPr>
          <w:rFonts w:ascii="Arial" w:cs="Arial" w:eastAsia="Arial" w:hAnsi="Arial"/>
          <w:sz w:val="19"/>
          <w:szCs w:val="19"/>
          <w:color w:val="auto"/>
        </w:rPr>
        <w:t>The Manager will be subject to removal as Manager by Consent of the Members (excluding any Member who is the Manager or an Affiliate of the Manager), if the Manager (in its capacity as Manager or its capacity as Tax Matters Member )</w:t>
      </w:r>
    </w:p>
    <w:p>
      <w:pPr>
        <w:jc w:val="both"/>
        <w:ind w:firstLine="8"/>
        <w:spacing w:after="0" w:line="286" w:lineRule="auto"/>
        <w:tabs>
          <w:tab w:leader="none" w:pos="263" w:val="left"/>
        </w:tabs>
        <w:numPr>
          <w:ilvl w:val="0"/>
          <w:numId w:val="247"/>
        </w:numPr>
        <w:rPr>
          <w:rFonts w:ascii="Arial" w:cs="Arial" w:eastAsia="Arial" w:hAnsi="Arial"/>
          <w:sz w:val="19"/>
          <w:szCs w:val="19"/>
          <w:color w:val="auto"/>
        </w:rPr>
      </w:pPr>
      <w:r>
        <w:rPr>
          <w:rFonts w:ascii="Arial" w:cs="Arial" w:eastAsia="Arial" w:hAnsi="Arial"/>
          <w:sz w:val="19"/>
          <w:szCs w:val="19"/>
          <w:color w:val="auto"/>
        </w:rPr>
        <w:t xml:space="preserve">is proven to have engaged in gross negligence, willful misconduct or fraud or (ii) is proven to have performed any action that is in breach or violation of this Agreement and that has or is reasonably expected to have a Portfolio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in the case of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clause (ii)</w:t>
      </w:r>
      <w:r>
        <w:rPr>
          <w:rFonts w:ascii="Arial" w:cs="Arial" w:eastAsia="Arial" w:hAnsi="Arial"/>
          <w:sz w:val="19"/>
          <w:szCs w:val="19"/>
          <w:color w:val="auto"/>
        </w:rPr>
        <w:t>, for any breach or violation other than a failure to make a cash distribution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when due under this Agreement, the Manager shall have the opportunity to cure such breach or violation within thirty (30) days of receiving notice of such breach;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if such breach cannot be cured within such period, and the Manager is proceeding with diligence to cure such breach, the 30-day cure period shall be extended by an additional sixty (60) days, for a total cure period of ninety (90) days;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during such cure period the Manager may continue as the Manager (and Tax Matters Member). In addition, the Manager shall be removed automatically without further vote, action or notice by any Member in the event of a Bankruptcy of the Manager, the Tax Matters Member (if it is an Affiliate of the Manager) or any Member who is an Affiliate of the Manager, unless those Members who are not Affiliates of the Manager elect otherwise upon written notice.</w:t>
      </w:r>
    </w:p>
    <w:p>
      <w:pPr>
        <w:spacing w:after="0" w:line="160" w:lineRule="exact"/>
        <w:rPr>
          <w:rFonts w:ascii="Arial" w:cs="Arial" w:eastAsia="Arial" w:hAnsi="Arial"/>
          <w:sz w:val="19"/>
          <w:szCs w:val="19"/>
          <w:color w:val="auto"/>
        </w:rPr>
      </w:pPr>
    </w:p>
    <w:p>
      <w:pPr>
        <w:jc w:val="both"/>
        <w:ind w:firstLine="1305"/>
        <w:spacing w:after="0" w:line="297" w:lineRule="auto"/>
        <w:tabs>
          <w:tab w:leader="none" w:pos="1730" w:val="left"/>
        </w:tabs>
        <w:numPr>
          <w:ilvl w:val="1"/>
          <w:numId w:val="247"/>
        </w:numPr>
        <w:rPr>
          <w:rFonts w:ascii="Arial" w:cs="Arial" w:eastAsia="Arial" w:hAnsi="Arial"/>
          <w:sz w:val="19"/>
          <w:szCs w:val="19"/>
          <w:color w:val="auto"/>
        </w:rPr>
      </w:pPr>
      <w:r>
        <w:rPr>
          <w:rFonts w:ascii="Arial" w:cs="Arial" w:eastAsia="Arial" w:hAnsi="Arial"/>
          <w:sz w:val="19"/>
          <w:szCs w:val="19"/>
          <w:color w:val="auto"/>
        </w:rPr>
        <w:t>If the Manager is removed under subparagraph (b) above, the Consent of the Members (excluding any Member who is the Manager or an Affiliate of the Manager) shall be required to elect or appoint a successor Manager to succeed to all the rights, and to perform all of the obligations, set forth for the Manager hereunder. If the Manager is so removed, the removed Manager shall reasonably cooperate with the Members and the replacement Manager to effect an orderly transition of responsibilities and duties to the replacement Manager. The Person selected as the successor Manager shall be an entity that is experienced and reputable in operating solar facilities similar to the Projects and shall execute a counterpart to this Agreement.</w:t>
      </w:r>
    </w:p>
    <w:p>
      <w:pPr>
        <w:spacing w:after="0" w:line="141"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6.5</w:t>
      </w:r>
      <w:r>
        <w:rPr>
          <w:sz w:val="20"/>
          <w:szCs w:val="20"/>
          <w:color w:val="auto"/>
        </w:rPr>
        <w:tab/>
      </w:r>
      <w:r>
        <w:rPr>
          <w:rFonts w:ascii="Arial" w:cs="Arial" w:eastAsia="Arial" w:hAnsi="Arial"/>
          <w:sz w:val="19"/>
          <w:szCs w:val="19"/>
          <w:b w:val="1"/>
          <w:bCs w:val="1"/>
          <w:u w:val="single" w:color="auto"/>
          <w:color w:val="auto"/>
        </w:rPr>
        <w:t>Indemnification and Exculpation.</w:t>
      </w:r>
    </w:p>
    <w:p>
      <w:pPr>
        <w:spacing w:after="0" w:line="239" w:lineRule="exact"/>
        <w:rPr>
          <w:sz w:val="20"/>
          <w:szCs w:val="20"/>
          <w:color w:val="auto"/>
        </w:rPr>
      </w:pPr>
    </w:p>
    <w:p>
      <w:pPr>
        <w:jc w:val="both"/>
        <w:ind w:firstLine="1305"/>
        <w:spacing w:after="0" w:line="262" w:lineRule="auto"/>
        <w:tabs>
          <w:tab w:leader="none" w:pos="1730" w:val="left"/>
        </w:tabs>
        <w:numPr>
          <w:ilvl w:val="0"/>
          <w:numId w:val="248"/>
        </w:numPr>
        <w:rPr>
          <w:rFonts w:ascii="Arial" w:cs="Arial" w:eastAsia="Arial" w:hAnsi="Arial"/>
          <w:sz w:val="21"/>
          <w:szCs w:val="21"/>
          <w:color w:val="auto"/>
        </w:rPr>
      </w:pPr>
      <w:r>
        <w:rPr>
          <w:rFonts w:ascii="Arial" w:cs="Arial" w:eastAsia="Arial" w:hAnsi="Arial"/>
          <w:sz w:val="21"/>
          <w:szCs w:val="21"/>
          <w:color w:val="auto"/>
        </w:rPr>
        <w:t xml:space="preserve">To the fullest extent permitted by Law, the Manager and its respective officers, directors, employees and agents shall be exculpated from, and the Company shall indemnify, from Available Cash Flow, such Persons from and against, all Damages any of them incur by reason of any act or omission performed or omitted by such Person in a manner reasonably believed to be consistent with its rights and obligations under Law and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this indemnity does not apply to Damages that are attributable to the gross negligence, willful misconduct or fraud of such Person or a material breach by the Manager or any of its Affiliates of their respective covenants or representations set forth in any of the Investment Documents or any other Fund Document to which it is a party.</w:t>
      </w:r>
    </w:p>
    <w:p>
      <w:pPr>
        <w:spacing w:after="0" w:line="180" w:lineRule="exact"/>
        <w:rPr>
          <w:rFonts w:ascii="Arial" w:cs="Arial" w:eastAsia="Arial" w:hAnsi="Arial"/>
          <w:sz w:val="21"/>
          <w:szCs w:val="21"/>
          <w:color w:val="auto"/>
        </w:rPr>
      </w:pPr>
    </w:p>
    <w:p>
      <w:pPr>
        <w:jc w:val="both"/>
        <w:ind w:firstLine="1305"/>
        <w:spacing w:after="0" w:line="251" w:lineRule="auto"/>
        <w:tabs>
          <w:tab w:leader="none" w:pos="1756" w:val="left"/>
        </w:tabs>
        <w:numPr>
          <w:ilvl w:val="0"/>
          <w:numId w:val="248"/>
        </w:numPr>
        <w:rPr>
          <w:rFonts w:ascii="Arial" w:cs="Arial" w:eastAsia="Arial" w:hAnsi="Arial"/>
          <w:sz w:val="22"/>
          <w:szCs w:val="22"/>
          <w:color w:val="auto"/>
        </w:rPr>
      </w:pPr>
      <w:r>
        <w:rPr>
          <w:rFonts w:ascii="Arial" w:cs="Arial" w:eastAsia="Arial" w:hAnsi="Arial"/>
          <w:sz w:val="22"/>
          <w:szCs w:val="22"/>
          <w:color w:val="auto"/>
        </w:rPr>
        <w:t xml:space="preserve">To the fullest extent permitted by Law, reasonable and documented expenses to be incurred by an indemnified Person under this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shall, from time to time, be advanced by or on behalf of the Company, from Available Cash Flow, prior to the final disposition of any matter upon receipt by the Company of an undertaking from a Person with sufficient credit capacity to repay such amount if it shall be determined that the indemnified Person is not entitled to be indemnified under this Agreement.</w:t>
      </w:r>
    </w:p>
    <w:p>
      <w:pPr>
        <w:spacing w:after="0" w:line="189" w:lineRule="exact"/>
        <w:rPr>
          <w:rFonts w:ascii="Arial" w:cs="Arial" w:eastAsia="Arial" w:hAnsi="Arial"/>
          <w:sz w:val="22"/>
          <w:szCs w:val="22"/>
          <w:color w:val="auto"/>
        </w:rPr>
      </w:pPr>
    </w:p>
    <w:p>
      <w:pPr>
        <w:jc w:val="both"/>
        <w:ind w:firstLine="1305"/>
        <w:spacing w:after="0" w:line="307" w:lineRule="auto"/>
        <w:tabs>
          <w:tab w:leader="none" w:pos="1743" w:val="left"/>
        </w:tabs>
        <w:numPr>
          <w:ilvl w:val="0"/>
          <w:numId w:val="248"/>
        </w:numPr>
        <w:rPr>
          <w:rFonts w:ascii="Arial" w:cs="Arial" w:eastAsia="Arial" w:hAnsi="Arial"/>
          <w:sz w:val="19"/>
          <w:szCs w:val="19"/>
          <w:color w:val="auto"/>
        </w:rPr>
      </w:pPr>
      <w:r>
        <w:rPr>
          <w:rFonts w:ascii="Arial" w:cs="Arial" w:eastAsia="Arial" w:hAnsi="Arial"/>
          <w:sz w:val="19"/>
          <w:szCs w:val="19"/>
          <w:color w:val="auto"/>
        </w:rPr>
        <w:t xml:space="preserve">Provided that the same is reflected in the Approved Budget, the Company may purchase from the funds of the Company and maintain insurance on behalf of any Person who is or was an officer, employee, or agent of the Company, against any liability asserted against the Person and incurred by the Person in any capacity, or arising out of the Person’s status as such, whether or not the Company would have the power to indemnify the Person against the liability under the provisions of this </w:t>
      </w:r>
      <w:r>
        <w:rPr>
          <w:rFonts w:ascii="Arial" w:cs="Arial" w:eastAsia="Arial" w:hAnsi="Arial"/>
          <w:sz w:val="19"/>
          <w:szCs w:val="19"/>
          <w:u w:val="single" w:color="auto"/>
          <w:color w:val="auto"/>
        </w:rPr>
        <w:t>Section 6.5</w:t>
      </w:r>
      <w:r>
        <w:rPr>
          <w:rFonts w:ascii="Arial" w:cs="Arial" w:eastAsia="Arial" w:hAnsi="Arial"/>
          <w:sz w:val="19"/>
          <w:szCs w:val="19"/>
          <w:color w:val="auto"/>
        </w:rPr>
        <w:t>.</w:t>
      </w:r>
    </w:p>
    <w:p>
      <w:pPr>
        <w:spacing w:after="0" w:line="132"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6.6</w:t>
      </w:r>
      <w:r>
        <w:rPr>
          <w:sz w:val="20"/>
          <w:szCs w:val="20"/>
          <w:color w:val="auto"/>
        </w:rPr>
        <w:tab/>
      </w:r>
      <w:r>
        <w:rPr>
          <w:rFonts w:ascii="Arial" w:cs="Arial" w:eastAsia="Arial" w:hAnsi="Arial"/>
          <w:sz w:val="19"/>
          <w:szCs w:val="19"/>
          <w:b w:val="1"/>
          <w:bCs w:val="1"/>
          <w:u w:val="single" w:color="auto"/>
          <w:color w:val="auto"/>
        </w:rPr>
        <w:t>Company Reimbursement; Fund Formation Expenses.</w:t>
      </w:r>
    </w:p>
    <w:p>
      <w:pPr>
        <w:spacing w:after="0" w:line="23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The Company shall directly pay and reimburse the Manager for all Company Reimbursable Expenses incurred from time to time. Notwithstanding anything to the contrary in this Agreement, the Class A Members shall not be obligated to make Capital Contributions in connection with any legal or other fees and costs in connection with the negotiation and entry by the Intermediate Company or any other Person into any Fund Documents, which obligation shall be borne solely by the Class B Member as a Member Contribution Event, including the repayment of the Manager for any such expenses advanced by the Manger.</w:t>
      </w:r>
    </w:p>
    <w:p>
      <w:pPr>
        <w:sectPr>
          <w:pgSz w:w="11900" w:h="16838" w:orient="portrait"/>
          <w:cols w:equalWidth="0" w:num="1">
            <w:col w:w="11420"/>
          </w:cols>
          <w:pgMar w:left="240" w:top="132" w:right="239" w:bottom="0" w:gutter="0" w:footer="0" w:header="0"/>
        </w:sectPr>
      </w:pPr>
    </w:p>
    <w:bookmarkStart w:id="251" w:name="page252"/>
    <w:bookmarkEnd w:id="251"/>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6.7</w:t>
      </w:r>
      <w:r>
        <w:rPr>
          <w:sz w:val="20"/>
          <w:szCs w:val="20"/>
          <w:color w:val="auto"/>
        </w:rPr>
        <w:tab/>
      </w:r>
      <w:r>
        <w:rPr>
          <w:rFonts w:ascii="Arial" w:cs="Arial" w:eastAsia="Arial" w:hAnsi="Arial"/>
          <w:sz w:val="19"/>
          <w:szCs w:val="19"/>
          <w:b w:val="1"/>
          <w:bCs w:val="1"/>
          <w:u w:val="single" w:color="auto"/>
          <w:color w:val="auto"/>
        </w:rPr>
        <w:t>Officers.</w:t>
      </w:r>
    </w:p>
    <w:p>
      <w:pPr>
        <w:spacing w:after="0" w:line="239" w:lineRule="exact"/>
        <w:rPr>
          <w:sz w:val="20"/>
          <w:szCs w:val="20"/>
          <w:color w:val="auto"/>
        </w:rPr>
      </w:pPr>
    </w:p>
    <w:p>
      <w:pPr>
        <w:jc w:val="both"/>
        <w:ind w:firstLine="1305"/>
        <w:spacing w:after="0" w:line="299" w:lineRule="auto"/>
        <w:tabs>
          <w:tab w:leader="none" w:pos="1757" w:val="left"/>
        </w:tabs>
        <w:numPr>
          <w:ilvl w:val="1"/>
          <w:numId w:val="249"/>
        </w:numPr>
        <w:rPr>
          <w:rFonts w:ascii="Arial" w:cs="Arial" w:eastAsia="Arial" w:hAnsi="Arial"/>
          <w:sz w:val="19"/>
          <w:szCs w:val="19"/>
          <w:color w:val="auto"/>
        </w:rPr>
      </w:pPr>
      <w:r>
        <w:rPr>
          <w:rFonts w:ascii="Arial" w:cs="Arial" w:eastAsia="Arial" w:hAnsi="Arial"/>
          <w:sz w:val="19"/>
          <w:szCs w:val="19"/>
          <w:u w:val="single" w:color="auto"/>
          <w:color w:val="auto"/>
        </w:rPr>
        <w:t>Number</w:t>
      </w:r>
      <w:r>
        <w:rPr>
          <w:rFonts w:ascii="Arial" w:cs="Arial" w:eastAsia="Arial" w:hAnsi="Arial"/>
          <w:sz w:val="19"/>
          <w:szCs w:val="19"/>
          <w:color w:val="auto"/>
        </w:rPr>
        <w:t>. The officers of the Company shall be a President, a Secretary and any number of Vice Presidents or Assistant Secretaries or other officers (each an “</w:t>
      </w:r>
      <w:r>
        <w:rPr>
          <w:rFonts w:ascii="Arial" w:cs="Arial" w:eastAsia="Arial" w:hAnsi="Arial"/>
          <w:sz w:val="19"/>
          <w:szCs w:val="19"/>
          <w:b w:val="1"/>
          <w:bCs w:val="1"/>
          <w:color w:val="auto"/>
        </w:rPr>
        <w:t>Officer</w:t>
      </w:r>
      <w:r>
        <w:rPr>
          <w:rFonts w:ascii="Arial" w:cs="Arial" w:eastAsia="Arial" w:hAnsi="Arial"/>
          <w:sz w:val="19"/>
          <w:szCs w:val="19"/>
          <w:color w:val="auto"/>
        </w:rPr>
        <w:t>” and collectively “</w:t>
      </w:r>
      <w:r>
        <w:rPr>
          <w:rFonts w:ascii="Arial" w:cs="Arial" w:eastAsia="Arial" w:hAnsi="Arial"/>
          <w:sz w:val="19"/>
          <w:szCs w:val="19"/>
          <w:b w:val="1"/>
          <w:bCs w:val="1"/>
          <w:color w:val="auto"/>
        </w:rPr>
        <w:t>Officers</w:t>
      </w:r>
      <w:r>
        <w:rPr>
          <w:rFonts w:ascii="Arial" w:cs="Arial" w:eastAsia="Arial" w:hAnsi="Arial"/>
          <w:sz w:val="19"/>
          <w:szCs w:val="19"/>
          <w:color w:val="auto"/>
        </w:rPr>
        <w:t>”) as may be elected by the Manager. Any two</w:t>
      </w:r>
    </w:p>
    <w:p>
      <w:pPr>
        <w:ind w:left="320" w:hanging="312"/>
        <w:spacing w:after="0"/>
        <w:tabs>
          <w:tab w:leader="none" w:pos="32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or more offices may be held by the same person.</w:t>
      </w:r>
    </w:p>
    <w:p>
      <w:pPr>
        <w:spacing w:after="0" w:line="201" w:lineRule="exact"/>
        <w:rPr>
          <w:rFonts w:ascii="Arial" w:cs="Arial" w:eastAsia="Arial" w:hAnsi="Arial"/>
          <w:sz w:val="22"/>
          <w:szCs w:val="22"/>
          <w:color w:val="auto"/>
        </w:rPr>
      </w:pPr>
    </w:p>
    <w:p>
      <w:pPr>
        <w:jc w:val="both"/>
        <w:ind w:firstLine="1305"/>
        <w:spacing w:after="0" w:line="254" w:lineRule="auto"/>
        <w:tabs>
          <w:tab w:leader="none" w:pos="1837" w:val="left"/>
        </w:tabs>
        <w:numPr>
          <w:ilvl w:val="1"/>
          <w:numId w:val="250"/>
        </w:numPr>
        <w:rPr>
          <w:rFonts w:ascii="Arial" w:cs="Arial" w:eastAsia="Arial" w:hAnsi="Arial"/>
          <w:sz w:val="22"/>
          <w:szCs w:val="22"/>
          <w:color w:val="auto"/>
        </w:rPr>
      </w:pPr>
      <w:r>
        <w:rPr>
          <w:rFonts w:ascii="Arial" w:cs="Arial" w:eastAsia="Arial" w:hAnsi="Arial"/>
          <w:sz w:val="22"/>
          <w:szCs w:val="22"/>
          <w:u w:val="single" w:color="auto"/>
          <w:color w:val="auto"/>
        </w:rPr>
        <w:t>Election and Term of Office</w:t>
      </w:r>
      <w:r>
        <w:rPr>
          <w:rFonts w:ascii="Arial" w:cs="Arial" w:eastAsia="Arial" w:hAnsi="Arial"/>
          <w:sz w:val="22"/>
          <w:szCs w:val="22"/>
          <w:color w:val="auto"/>
        </w:rPr>
        <w:t>. The Officers of the Company shall be elected or appointed by the Manager. Vacancies may be filled or new offices created and filled by the Manager. Each Officer shall hold office until his successor shall have been duly elected or appointed or until his death or until he shall resign or shall have been removed in the manner hereinafter provided. Election of an Officer shall not of itself create contract rights.</w:t>
      </w:r>
    </w:p>
    <w:p>
      <w:pPr>
        <w:spacing w:after="0" w:line="185" w:lineRule="exact"/>
        <w:rPr>
          <w:rFonts w:ascii="Arial" w:cs="Arial" w:eastAsia="Arial" w:hAnsi="Arial"/>
          <w:sz w:val="22"/>
          <w:szCs w:val="22"/>
          <w:color w:val="auto"/>
        </w:rPr>
      </w:pPr>
    </w:p>
    <w:p>
      <w:pPr>
        <w:ind w:firstLine="1305"/>
        <w:spacing w:after="0" w:line="276" w:lineRule="auto"/>
        <w:tabs>
          <w:tab w:leader="none" w:pos="1757" w:val="left"/>
        </w:tabs>
        <w:numPr>
          <w:ilvl w:val="1"/>
          <w:numId w:val="250"/>
        </w:numPr>
        <w:rPr>
          <w:rFonts w:ascii="Arial" w:cs="Arial" w:eastAsia="Arial" w:hAnsi="Arial"/>
          <w:sz w:val="22"/>
          <w:szCs w:val="22"/>
          <w:color w:val="auto"/>
        </w:rPr>
      </w:pPr>
      <w:r>
        <w:rPr>
          <w:rFonts w:ascii="Arial" w:cs="Arial" w:eastAsia="Arial" w:hAnsi="Arial"/>
          <w:sz w:val="22"/>
          <w:szCs w:val="22"/>
          <w:u w:val="single" w:color="auto"/>
          <w:color w:val="auto"/>
        </w:rPr>
        <w:t>Vacancies</w:t>
      </w:r>
      <w:r>
        <w:rPr>
          <w:rFonts w:ascii="Arial" w:cs="Arial" w:eastAsia="Arial" w:hAnsi="Arial"/>
          <w:sz w:val="22"/>
          <w:szCs w:val="22"/>
          <w:color w:val="auto"/>
        </w:rPr>
        <w:t>. A vacancy in any office because of death, resignation, removal, disqualification or otherwise, may be filled by the Manager for the unexpired portion of the term.</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69" w:val="left"/>
        </w:tabs>
        <w:numPr>
          <w:ilvl w:val="1"/>
          <w:numId w:val="250"/>
        </w:numPr>
        <w:rPr>
          <w:rFonts w:ascii="Arial" w:cs="Arial" w:eastAsia="Arial" w:hAnsi="Arial"/>
          <w:sz w:val="22"/>
          <w:szCs w:val="22"/>
          <w:color w:val="auto"/>
        </w:rPr>
      </w:pPr>
      <w:r>
        <w:rPr>
          <w:rFonts w:ascii="Arial" w:cs="Arial" w:eastAsia="Arial" w:hAnsi="Arial"/>
          <w:sz w:val="22"/>
          <w:szCs w:val="22"/>
          <w:u w:val="single" w:color="auto"/>
          <w:color w:val="auto"/>
        </w:rPr>
        <w:t>Removal</w:t>
      </w:r>
      <w:r>
        <w:rPr>
          <w:rFonts w:ascii="Arial" w:cs="Arial" w:eastAsia="Arial" w:hAnsi="Arial"/>
          <w:sz w:val="22"/>
          <w:szCs w:val="22"/>
          <w:color w:val="auto"/>
        </w:rPr>
        <w:t>. Any Officer elected or appointed by the Manager may be removed by the Manager whenever in its judgment the best interests of the Company would be served thereby, but such removal shall be without prejudice to the contract rights, if any, of the person so removed.</w:t>
      </w:r>
    </w:p>
    <w:p>
      <w:pPr>
        <w:spacing w:after="0" w:line="177" w:lineRule="exact"/>
        <w:rPr>
          <w:rFonts w:ascii="Arial" w:cs="Arial" w:eastAsia="Arial" w:hAnsi="Arial"/>
          <w:sz w:val="22"/>
          <w:szCs w:val="22"/>
          <w:color w:val="auto"/>
        </w:rPr>
      </w:pPr>
    </w:p>
    <w:p>
      <w:pPr>
        <w:jc w:val="both"/>
        <w:ind w:firstLine="1305"/>
        <w:spacing w:after="0" w:line="307" w:lineRule="auto"/>
        <w:tabs>
          <w:tab w:leader="none" w:pos="1743" w:val="left"/>
        </w:tabs>
        <w:numPr>
          <w:ilvl w:val="1"/>
          <w:numId w:val="250"/>
        </w:numPr>
        <w:rPr>
          <w:rFonts w:ascii="Arial" w:cs="Arial" w:eastAsia="Arial" w:hAnsi="Arial"/>
          <w:sz w:val="19"/>
          <w:szCs w:val="19"/>
          <w:color w:val="auto"/>
        </w:rPr>
      </w:pPr>
      <w:r>
        <w:rPr>
          <w:rFonts w:ascii="Arial" w:cs="Arial" w:eastAsia="Arial" w:hAnsi="Arial"/>
          <w:sz w:val="19"/>
          <w:szCs w:val="19"/>
          <w:u w:val="single" w:color="auto"/>
          <w:color w:val="auto"/>
        </w:rPr>
        <w:t>Duties; Standard of Care</w:t>
      </w:r>
      <w:r>
        <w:rPr>
          <w:rFonts w:ascii="Arial" w:cs="Arial" w:eastAsia="Arial" w:hAnsi="Arial"/>
          <w:sz w:val="19"/>
          <w:szCs w:val="19"/>
          <w:color w:val="auto"/>
        </w:rPr>
        <w:t xml:space="preserve">. Each Officer is only authorized to perform the duties specifically enumerated herein or as may be specifically assigned to such Officer in accordance with the terms of this Agreement. Each Officer shall be subject to the same standard of care applicable to the Manager as set forth in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in carrying out any of their relevant duties whatsoever and shall be required to obtain the necessary prior consents for actions specified in </w:t>
      </w:r>
      <w:r>
        <w:rPr>
          <w:rFonts w:ascii="Arial" w:cs="Arial" w:eastAsia="Arial" w:hAnsi="Arial"/>
          <w:sz w:val="19"/>
          <w:szCs w:val="19"/>
          <w:u w:val="single" w:color="auto"/>
          <w:color w:val="auto"/>
        </w:rPr>
        <w:t>Section 6.2(b)</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jc w:val="both"/>
        <w:ind w:firstLine="1305"/>
        <w:spacing w:after="0" w:line="288" w:lineRule="auto"/>
        <w:tabs>
          <w:tab w:leader="none" w:pos="1760" w:val="left"/>
        </w:tabs>
        <w:numPr>
          <w:ilvl w:val="1"/>
          <w:numId w:val="250"/>
        </w:numPr>
        <w:rPr>
          <w:rFonts w:ascii="Arial" w:cs="Arial" w:eastAsia="Arial" w:hAnsi="Arial"/>
          <w:sz w:val="19"/>
          <w:szCs w:val="19"/>
          <w:color w:val="auto"/>
        </w:rPr>
      </w:pPr>
      <w:r>
        <w:rPr>
          <w:rFonts w:ascii="Arial" w:cs="Arial" w:eastAsia="Arial" w:hAnsi="Arial"/>
          <w:sz w:val="19"/>
          <w:szCs w:val="19"/>
          <w:u w:val="single" w:color="auto"/>
          <w:color w:val="auto"/>
        </w:rPr>
        <w:t>Indemnification of Officers</w:t>
      </w:r>
      <w:r>
        <w:rPr>
          <w:rFonts w:ascii="Arial" w:cs="Arial" w:eastAsia="Arial" w:hAnsi="Arial"/>
          <w:sz w:val="19"/>
          <w:szCs w:val="19"/>
          <w:color w:val="auto"/>
        </w:rPr>
        <w:t>. To the greatest extent allowed by the Act, the Officers shall not be liable to the Company or any Member because any taxing authorities disallow or adjust income, deduction or credits in the Company tax returns. Furthermore, the Officers shall not have any liability for the repayment of the capital contributions of any Member. In addition, the doing of any act or the omission to do any act by the Officers the effect of which may cause or result in loss or damage to the Company, if done in good faith and otherwise in accordance with the terms of this Agreement, shall not subject the Officers or their successors and assigns to any liability to the greatest extent allowed by the Act. To the greatest extent allowed by the Act, the Company will indemnify and hold harmless the Officers and their successors, delegees and assigns from any claim, loss, expense, liability, action or damage resulting from any such act or omission, including reasonable costs and expenses of litigation and appeal of such litigation (including reasonable fees and expenses of attorneys engaged by any of the Officers in defense of such act or omission), but the Officers shall not be entitled to be indemnified or held harmless due to, or arising from, their fraud, gross negligence, bad faith or willful malfeasance. The foregoing indemnification is limited to Available Cash Flow, and nothing contained herein is intended to create personal liability for any Member.</w:t>
      </w:r>
    </w:p>
    <w:p>
      <w:pPr>
        <w:spacing w:after="0" w:line="157"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6.8</w:t>
      </w:r>
      <w:r>
        <w:rPr>
          <w:sz w:val="20"/>
          <w:szCs w:val="20"/>
          <w:color w:val="auto"/>
        </w:rPr>
        <w:tab/>
      </w:r>
      <w:r>
        <w:rPr>
          <w:rFonts w:ascii="Arial" w:cs="Arial" w:eastAsia="Arial" w:hAnsi="Arial"/>
          <w:sz w:val="19"/>
          <w:szCs w:val="19"/>
          <w:b w:val="1"/>
          <w:bCs w:val="1"/>
          <w:u w:val="single" w:color="auto"/>
          <w:color w:val="auto"/>
        </w:rPr>
        <w:t>Approved Budgets.</w:t>
      </w:r>
    </w:p>
    <w:p>
      <w:pPr>
        <w:spacing w:after="0" w:line="239"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The Manager shall prepare or cause to be prepared for each Fiscal Year of the Company and the Subject Companies an operating budget on a consolidated basis setting forth the anticipated revenues and expenses of the Company and each Subject Company for such Fiscal Year. The initial operating budget for the remainder of the Fiscal Year ending December 31, 2017 is attached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For a succeeding Fiscal Year (commencing with the fiscal year ending December 31, 2018), the Manager shall, not later than the first day of the month preceding the month in which the then current Fiscal Year ends (currently November 1), submit the proposed operating budget for such succeeding Fiscal Year to the Members for their review. If the aggregate expense amount reflected in the proposed operating budget is not more than the lesser of ten percent (10%) above the annual spending projected in the Aggregate Tracking Model for the applicable Fiscal Year and five percent (5%) above the aggregate expense amount reflected in the Approved Budget for the previous Fiscal Year (and in each case, does not include expenditures exceeding $500,000 in aggregate of a type not included in the Aggregate Tracking Model for the applicable Fiscal Year or in the Approved Budget for the previous Fiscal Year, as the case may be), then the Consent of the Members shall not be required and such proposed operating budget shall be deemed approved by all of the Members. If such Consent of the Members is required and if either the Consent of the Members is received or if no Member objects to such proposed operating budget by the last day of the month preceding the month in which the then current Fiscal Year ends (currently November 30), then not later than such date, such operating budget shall be deemed approved by all of the Members (each budget as attached hereto, approved or deemed approved, an “</w:t>
      </w:r>
      <w:r>
        <w:rPr>
          <w:rFonts w:ascii="Arial" w:cs="Arial" w:eastAsia="Arial" w:hAnsi="Arial"/>
          <w:sz w:val="19"/>
          <w:szCs w:val="19"/>
          <w:b w:val="1"/>
          <w:bCs w:val="1"/>
          <w:color w:val="auto"/>
        </w:rPr>
        <w:t>Approved Budget</w:t>
      </w:r>
      <w:r>
        <w:rPr>
          <w:rFonts w:ascii="Arial" w:cs="Arial" w:eastAsia="Arial" w:hAnsi="Arial"/>
          <w:sz w:val="19"/>
          <w:szCs w:val="19"/>
          <w:color w:val="auto"/>
        </w:rPr>
        <w:t xml:space="preserve">”). If the Consent of the Members is required and not obtained as provided above, then the Manager shall prepare or cause to be prepared a revised operating budget, which shall be submitted to the Members for their approval as set forth in the preceding sentences, and, upon final approval of such operating budget by the Consent of the Members, such budget shall become an Approved Budget hereunder. To the extent that amounts relating to any items of a proposed budget are not approved, the corresponding amounts for the items in the previous Fiscal Year’s Approved Budget will continue as part of the Approved Budget for such year, until a more current amount for such item is approved in accordance with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The Manager may from time to time during the Fiscal Year propose to amend the Approved Budget to decrease expected expenditures, or, subject to </w:t>
      </w:r>
      <w:r>
        <w:rPr>
          <w:rFonts w:ascii="Arial" w:cs="Arial" w:eastAsia="Arial" w:hAnsi="Arial"/>
          <w:sz w:val="19"/>
          <w:szCs w:val="19"/>
          <w:u w:val="single" w:color="auto"/>
          <w:color w:val="auto"/>
        </w:rPr>
        <w:t>Section 6.2(b)(xiv)</w:t>
      </w:r>
      <w:r>
        <w:rPr>
          <w:rFonts w:ascii="Arial" w:cs="Arial" w:eastAsia="Arial" w:hAnsi="Arial"/>
          <w:sz w:val="19"/>
          <w:szCs w:val="19"/>
          <w:color w:val="auto"/>
        </w:rPr>
        <w:t>, to increase expected expenditures and as so amended, any such amended budget shall be the Approved Budget hereunder.</w:t>
      </w:r>
    </w:p>
    <w:p>
      <w:pPr>
        <w:spacing w:after="0" w:line="200" w:lineRule="exact"/>
        <w:rPr>
          <w:sz w:val="20"/>
          <w:szCs w:val="20"/>
          <w:color w:val="auto"/>
        </w:rPr>
      </w:pPr>
    </w:p>
    <w:p>
      <w:pPr>
        <w:spacing w:after="0" w:line="222"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RIGHTS AND RESPONSIBILITIES OF MEMBERS</w:t>
      </w:r>
    </w:p>
    <w:p>
      <w:pPr>
        <w:sectPr>
          <w:pgSz w:w="11900" w:h="16838" w:orient="portrait"/>
          <w:cols w:equalWidth="0" w:num="1">
            <w:col w:w="11420"/>
          </w:cols>
          <w:pgMar w:left="240" w:top="126" w:right="239" w:bottom="0" w:gutter="0" w:footer="0" w:header="0"/>
        </w:sectPr>
      </w:pPr>
    </w:p>
    <w:bookmarkStart w:id="252" w:name="page253"/>
    <w:bookmarkEnd w:id="252"/>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7.1</w:t>
      </w:r>
      <w:r>
        <w:rPr>
          <w:sz w:val="20"/>
          <w:szCs w:val="20"/>
          <w:color w:val="auto"/>
        </w:rPr>
        <w:tab/>
      </w:r>
      <w:r>
        <w:rPr>
          <w:rFonts w:ascii="Arial" w:cs="Arial" w:eastAsia="Arial" w:hAnsi="Arial"/>
          <w:sz w:val="19"/>
          <w:szCs w:val="19"/>
          <w:b w:val="1"/>
          <w:bCs w:val="1"/>
          <w:u w:val="single" w:color="auto"/>
          <w:color w:val="auto"/>
        </w:rPr>
        <w:t>General.</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rights and responsibilities of the Members shall be as provided in the Delaware Certificate, this Agreement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Act.</w:t>
      </w:r>
    </w:p>
    <w:p>
      <w:pPr>
        <w:spacing w:after="0" w:line="196"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7.2</w:t>
      </w:r>
      <w:r>
        <w:rPr>
          <w:sz w:val="20"/>
          <w:szCs w:val="20"/>
          <w:color w:val="auto"/>
        </w:rPr>
        <w:tab/>
      </w:r>
      <w:r>
        <w:rPr>
          <w:rFonts w:ascii="Arial" w:cs="Arial" w:eastAsia="Arial" w:hAnsi="Arial"/>
          <w:sz w:val="19"/>
          <w:szCs w:val="19"/>
          <w:b w:val="1"/>
          <w:bCs w:val="1"/>
          <w:u w:val="single" w:color="auto"/>
          <w:color w:val="auto"/>
        </w:rPr>
        <w:t>Member Consent.</w:t>
      </w:r>
    </w:p>
    <w:p>
      <w:pPr>
        <w:spacing w:after="0" w:line="23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and as otherwise expressly provided in this Agreement, the Consent of the Members shall constitute the approval by, or the authorization of, any action by or on behalf of the Company that requires a vote, consent, approval or action of or an election by the Members; </w:t>
      </w:r>
      <w:r>
        <w:rPr>
          <w:rFonts w:ascii="Arial" w:cs="Arial" w:eastAsia="Arial" w:hAnsi="Arial"/>
          <w:sz w:val="19"/>
          <w:szCs w:val="19"/>
          <w:i w:val="1"/>
          <w:iCs w:val="1"/>
          <w:color w:val="auto"/>
        </w:rPr>
        <w:t>provided</w:t>
      </w:r>
      <w:r>
        <w:rPr>
          <w:rFonts w:ascii="Arial" w:cs="Arial" w:eastAsia="Arial" w:hAnsi="Arial"/>
          <w:sz w:val="19"/>
          <w:szCs w:val="19"/>
          <w:color w:val="auto"/>
        </w:rPr>
        <w:t>, that, without the prior written approval of each Member adversely affected thereby, no such consent shall (a) modify the limited liability of a Member; (b) require a Member to provide funds to the Company, by loan, contribution or otherwise (or amend any of the conditions to making any loan or contribution);</w:t>
      </w:r>
    </w:p>
    <w:p>
      <w:pPr>
        <w:spacing w:after="0" w:line="4" w:lineRule="exact"/>
        <w:rPr>
          <w:sz w:val="20"/>
          <w:szCs w:val="20"/>
          <w:color w:val="auto"/>
        </w:rPr>
      </w:pPr>
    </w:p>
    <w:p>
      <w:pPr>
        <w:ind w:left="360" w:hanging="352"/>
        <w:spacing w:after="0"/>
        <w:tabs>
          <w:tab w:leader="none" w:pos="36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alter the interest of any Member in Capital Accounts, Company Items, ITCs, distributions of Available Cash Flow; or</w:t>
      </w:r>
    </w:p>
    <w:p>
      <w:pPr>
        <w:spacing w:after="0" w:line="15" w:lineRule="exact"/>
        <w:rPr>
          <w:rFonts w:ascii="Arial" w:cs="Arial" w:eastAsia="Arial" w:hAnsi="Arial"/>
          <w:sz w:val="21"/>
          <w:szCs w:val="21"/>
          <w:color w:val="auto"/>
        </w:rPr>
      </w:pPr>
    </w:p>
    <w:p>
      <w:pPr>
        <w:ind w:firstLine="8"/>
        <w:spacing w:after="0" w:line="246" w:lineRule="auto"/>
        <w:tabs>
          <w:tab w:leader="none" w:pos="308" w:val="left"/>
        </w:tabs>
        <w:numPr>
          <w:ilvl w:val="0"/>
          <w:numId w:val="251"/>
        </w:numPr>
        <w:rPr>
          <w:rFonts w:ascii="Arial" w:cs="Arial" w:eastAsia="Arial" w:hAnsi="Arial"/>
          <w:sz w:val="22"/>
          <w:szCs w:val="22"/>
          <w:color w:val="auto"/>
        </w:rPr>
      </w:pPr>
      <w:r>
        <w:rPr>
          <w:rFonts w:ascii="Arial" w:cs="Arial" w:eastAsia="Arial" w:hAnsi="Arial"/>
          <w:sz w:val="22"/>
          <w:szCs w:val="22"/>
          <w:color w:val="auto"/>
        </w:rPr>
        <w:t xml:space="preserve">amend, supplement or otherwise modify </w:t>
      </w:r>
      <w:r>
        <w:rPr>
          <w:rFonts w:ascii="Arial" w:cs="Arial" w:eastAsia="Arial" w:hAnsi="Arial"/>
          <w:sz w:val="22"/>
          <w:szCs w:val="22"/>
          <w:u w:val="single" w:color="auto"/>
          <w:color w:val="auto"/>
        </w:rPr>
        <w:t>Section 6.2(b)</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Section 7.2</w:t>
      </w:r>
      <w:r>
        <w:rPr>
          <w:rFonts w:ascii="Arial" w:cs="Arial" w:eastAsia="Arial" w:hAnsi="Arial"/>
          <w:sz w:val="22"/>
          <w:szCs w:val="22"/>
          <w:color w:val="auto"/>
        </w:rPr>
        <w:t>, or, in each case, any of the definitions of capitalized terms used therein.</w:t>
      </w:r>
    </w:p>
    <w:p>
      <w:pPr>
        <w:spacing w:after="0" w:line="187"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7.3</w:t>
      </w:r>
      <w:r>
        <w:rPr>
          <w:sz w:val="20"/>
          <w:szCs w:val="20"/>
          <w:color w:val="auto"/>
        </w:rPr>
        <w:tab/>
      </w:r>
      <w:r>
        <w:rPr>
          <w:rFonts w:ascii="Arial" w:cs="Arial" w:eastAsia="Arial" w:hAnsi="Arial"/>
          <w:sz w:val="19"/>
          <w:szCs w:val="19"/>
          <w:b w:val="1"/>
          <w:bCs w:val="1"/>
          <w:u w:val="single" w:color="auto"/>
          <w:color w:val="auto"/>
        </w:rPr>
        <w:t>Member Liability.</w:t>
      </w:r>
    </w:p>
    <w:p>
      <w:pPr>
        <w:spacing w:after="0" w:line="239" w:lineRule="exact"/>
        <w:rPr>
          <w:sz w:val="20"/>
          <w:szCs w:val="20"/>
          <w:color w:val="auto"/>
        </w:rPr>
      </w:pPr>
    </w:p>
    <w:p>
      <w:pPr>
        <w:jc w:val="both"/>
        <w:ind w:firstLine="1305"/>
        <w:spacing w:after="0" w:line="251" w:lineRule="auto"/>
        <w:tabs>
          <w:tab w:leader="none" w:pos="1716"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To the fullest extent permitted under the Act and any other applicable Law as currently or hereafter in effect, no Member shall have any personal liability whatsoever, whether to the Company or to its creditors for the debts, obligations, expenses or liabilities of the Company, whether arising in contract, tort or otherwise, which shall be solely the debts, obligations, expenses or liabilities of the Company, or for any of its losses, in excess of the value of such Member’s Capital Account, except as expressly provided herein.</w:t>
      </w:r>
    </w:p>
    <w:p>
      <w:pPr>
        <w:spacing w:after="0" w:line="189" w:lineRule="exact"/>
        <w:rPr>
          <w:rFonts w:ascii="Arial" w:cs="Arial" w:eastAsia="Arial" w:hAnsi="Arial"/>
          <w:sz w:val="22"/>
          <w:szCs w:val="22"/>
          <w:color w:val="auto"/>
        </w:rPr>
      </w:pPr>
    </w:p>
    <w:p>
      <w:pPr>
        <w:jc w:val="both"/>
        <w:ind w:firstLine="1305"/>
        <w:spacing w:after="0" w:line="250" w:lineRule="auto"/>
        <w:tabs>
          <w:tab w:leader="none" w:pos="1891"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A Member shall be liable only to make its Capital Contributions as provided herein and, other than as specifically provided in </w:t>
      </w:r>
      <w:r>
        <w:rPr>
          <w:rFonts w:ascii="Arial" w:cs="Arial" w:eastAsia="Arial" w:hAnsi="Arial"/>
          <w:sz w:val="22"/>
          <w:szCs w:val="22"/>
          <w:u w:val="single" w:color="auto"/>
          <w:color w:val="auto"/>
        </w:rPr>
        <w:t>Section 12.3</w:t>
      </w:r>
      <w:r>
        <w:rPr>
          <w:rFonts w:ascii="Arial" w:cs="Arial" w:eastAsia="Arial" w:hAnsi="Arial"/>
          <w:sz w:val="22"/>
          <w:szCs w:val="22"/>
          <w:color w:val="auto"/>
        </w:rPr>
        <w:t xml:space="preserve">, shall not be required to restore a deficit balance in its Capital Account. Except as provided in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no Member shall be required to make any additional contributions or to lend any funds to the Company. The failure of the Company to observe any formalities or requirements relating to the exercise of its powers or management of its business or affairs under this Agreement or the Act shall not be grounds for imposing personal liability on the Members or the Manager for liabilities of the Company.</w:t>
      </w:r>
    </w:p>
    <w:p>
      <w:pPr>
        <w:spacing w:after="0" w:line="188" w:lineRule="exact"/>
        <w:rPr>
          <w:rFonts w:ascii="Arial" w:cs="Arial" w:eastAsia="Arial" w:hAnsi="Arial"/>
          <w:sz w:val="22"/>
          <w:szCs w:val="22"/>
          <w:color w:val="auto"/>
        </w:rPr>
      </w:pPr>
    </w:p>
    <w:p>
      <w:pPr>
        <w:jc w:val="both"/>
        <w:ind w:firstLine="1305"/>
        <w:spacing w:after="0" w:line="261" w:lineRule="auto"/>
        <w:tabs>
          <w:tab w:leader="none" w:pos="1932" w:val="left"/>
        </w:tabs>
        <w:numPr>
          <w:ilvl w:val="0"/>
          <w:numId w:val="252"/>
        </w:numPr>
        <w:rPr>
          <w:rFonts w:ascii="Arial" w:cs="Arial" w:eastAsia="Arial" w:hAnsi="Arial"/>
          <w:sz w:val="21"/>
          <w:szCs w:val="21"/>
          <w:color w:val="auto"/>
        </w:rPr>
      </w:pPr>
      <w:r>
        <w:rPr>
          <w:rFonts w:ascii="Arial" w:cs="Arial" w:eastAsia="Arial" w:hAnsi="Arial"/>
          <w:sz w:val="21"/>
          <w:szCs w:val="21"/>
          <w:color w:val="auto"/>
        </w:rPr>
        <w:t xml:space="preserve">To the fullest extent permitted by Law, each Member and its respective officers, directors, managers, employees, direct and indirect owners, attorneys, contractors, representatives and agents shall be exculpated from, and the Company shall indemnify, defend and hold harmless such Persons from and against, all Damages from Third Parties that result by virtue of the Member’s ownership of its Membership Interest;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this indemnity does not apply: (i) to Damages that are attributable to the proven gross negligence, willful misconduct or fraud of such Person, (ii) to indemnity obligations of the Members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of this Agreement, or (iii) to a Member acting in a capacity other than solely as a Member, in the event that any such Claim is asserted against any Member in its capacity in more than one role (such as, for the avoidance of doubt, the Class B Member’s role as Member and Manager).</w:t>
      </w:r>
    </w:p>
    <w:p>
      <w:pPr>
        <w:spacing w:after="0" w:line="181" w:lineRule="exact"/>
        <w:rPr>
          <w:rFonts w:ascii="Arial" w:cs="Arial" w:eastAsia="Arial" w:hAnsi="Arial"/>
          <w:sz w:val="21"/>
          <w:szCs w:val="21"/>
          <w:color w:val="auto"/>
        </w:rPr>
      </w:pPr>
    </w:p>
    <w:p>
      <w:pPr>
        <w:jc w:val="both"/>
        <w:ind w:firstLine="1305"/>
        <w:spacing w:after="0" w:line="251" w:lineRule="auto"/>
        <w:tabs>
          <w:tab w:leader="none" w:pos="1945"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To the fullest extent permitted by Law, reasonable and documented expenses actually incurred by an indemnified Person under this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shall, from time to time, be advanced by or on behalf of the Company from Available Cash Flow, prior to the final disposition of any matter upon receipt by the Company of an undertaking from a Person with sufficient credit capacity to repay such amount if it shall be determined that the indemnified Person is not entitled to be indemnified under this Agreement.</w:t>
      </w:r>
    </w:p>
    <w:p>
      <w:pPr>
        <w:spacing w:after="0" w:line="184"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7.4</w:t>
      </w:r>
      <w:r>
        <w:rPr>
          <w:sz w:val="20"/>
          <w:szCs w:val="20"/>
          <w:color w:val="auto"/>
        </w:rPr>
        <w:tab/>
      </w:r>
      <w:r>
        <w:rPr>
          <w:rFonts w:ascii="Arial" w:cs="Arial" w:eastAsia="Arial" w:hAnsi="Arial"/>
          <w:sz w:val="19"/>
          <w:szCs w:val="19"/>
          <w:b w:val="1"/>
          <w:bCs w:val="1"/>
          <w:u w:val="single" w:color="auto"/>
          <w:color w:val="auto"/>
        </w:rPr>
        <w:t>Withdrawal.</w:t>
      </w:r>
    </w:p>
    <w:p>
      <w:pPr>
        <w:spacing w:after="0" w:line="23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Except as otherwise provided in this Agreement, no Member shall be entitled to: (a) voluntarily withdraw or resign from the Company; (b) withdraw any part of such Member’s Capital Contributions from the Company; (c) demand the return of such Member’s Capital Contributions; or (d) receive property other than cash in return for such Member’s Capital Contribution.</w:t>
      </w:r>
    </w:p>
    <w:p>
      <w:pPr>
        <w:spacing w:after="0" w:line="128"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7.5</w:t>
      </w:r>
      <w:r>
        <w:rPr>
          <w:sz w:val="20"/>
          <w:szCs w:val="20"/>
          <w:color w:val="auto"/>
        </w:rPr>
        <w:tab/>
      </w:r>
      <w:r>
        <w:rPr>
          <w:rFonts w:ascii="Arial" w:cs="Arial" w:eastAsia="Arial" w:hAnsi="Arial"/>
          <w:sz w:val="19"/>
          <w:szCs w:val="19"/>
          <w:b w:val="1"/>
          <w:bCs w:val="1"/>
          <w:u w:val="single" w:color="auto"/>
          <w:color w:val="auto"/>
        </w:rPr>
        <w:t>Member Compensation.</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No Member shall receive any interest, compensation or drawing with respect to its Capital Contributions or its Capital Account or for services rendered on behalf of the Company or otherwise in its capacity as a Member, except as otherwise provided in this Agreement.</w:t>
      </w:r>
    </w:p>
    <w:p>
      <w:pPr>
        <w:spacing w:after="0" w:line="180"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7.6</w:t>
      </w:r>
      <w:r>
        <w:rPr>
          <w:sz w:val="20"/>
          <w:szCs w:val="20"/>
          <w:color w:val="auto"/>
        </w:rPr>
        <w:tab/>
      </w:r>
      <w:r>
        <w:rPr>
          <w:rFonts w:ascii="Arial" w:cs="Arial" w:eastAsia="Arial" w:hAnsi="Arial"/>
          <w:sz w:val="19"/>
          <w:szCs w:val="19"/>
          <w:b w:val="1"/>
          <w:bCs w:val="1"/>
          <w:u w:val="single" w:color="auto"/>
          <w:color w:val="auto"/>
        </w:rPr>
        <w:t>Other Ventures.</w:t>
      </w:r>
    </w:p>
    <w:p>
      <w:pPr>
        <w:spacing w:after="0" w:line="23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Notwithstanding any other provision of this Agreement or any duty existing at law or in equity, the Members and their respective Affiliates at any time and from time to time may engage in and possess interests in other business ventures of any and every type and description, including other business ventures competitive with, or of the same type and description as, the Company and the Subject Companies, independently or with others, as long as such venture does not cause any Subject Company to cease to hold any Energy Regulatory Approval or to become subject to regulation under PUHCA, other than with respect to</w:t>
      </w:r>
    </w:p>
    <w:p>
      <w:pPr>
        <w:sectPr>
          <w:pgSz w:w="11900" w:h="16838" w:orient="portrait"/>
          <w:cols w:equalWidth="0" w:num="1">
            <w:col w:w="11420"/>
          </w:cols>
          <w:pgMar w:left="240" w:top="207" w:right="239" w:bottom="0" w:gutter="0" w:footer="0" w:header="0"/>
        </w:sectPr>
      </w:pPr>
    </w:p>
    <w:bookmarkStart w:id="253" w:name="page254"/>
    <w:bookmarkEnd w:id="253"/>
    <w:p>
      <w:pPr>
        <w:jc w:val="both"/>
        <w:spacing w:after="0" w:line="265" w:lineRule="auto"/>
        <w:rPr>
          <w:sz w:val="20"/>
          <w:szCs w:val="20"/>
          <w:color w:val="auto"/>
        </w:rPr>
      </w:pPr>
      <w:r>
        <w:rPr>
          <w:rFonts w:ascii="Arial" w:cs="Arial" w:eastAsia="Arial" w:hAnsi="Arial"/>
          <w:sz w:val="21"/>
          <w:szCs w:val="21"/>
          <w:color w:val="auto"/>
        </w:rPr>
        <w:t>regulations pertaining to maintaining Qualifying Facility status, as applicable, in each case with no obligation to offer to such Subject Company, the Company, any Member or any of their respective Affiliates the right to participate in, or share the results or profits of, those activities (even if those activities may be made possible or more profitable by reason of the Company’s or such Subject Company’s activities), except any activity that would cause a Member to be a Related Party.</w:t>
      </w:r>
    </w:p>
    <w:p>
      <w:pPr>
        <w:spacing w:after="0" w:line="170"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7.7</w:t>
      </w:r>
      <w:r>
        <w:rPr>
          <w:sz w:val="20"/>
          <w:szCs w:val="20"/>
          <w:color w:val="auto"/>
        </w:rPr>
        <w:tab/>
      </w:r>
      <w:r>
        <w:rPr>
          <w:rFonts w:ascii="Arial" w:cs="Arial" w:eastAsia="Arial" w:hAnsi="Arial"/>
          <w:sz w:val="19"/>
          <w:szCs w:val="19"/>
          <w:b w:val="1"/>
          <w:bCs w:val="1"/>
          <w:u w:val="single" w:color="auto"/>
          <w:color w:val="auto"/>
        </w:rPr>
        <w:t>Confidential Information.</w:t>
      </w:r>
    </w:p>
    <w:p>
      <w:pPr>
        <w:spacing w:after="0" w:line="239" w:lineRule="exact"/>
        <w:rPr>
          <w:sz w:val="20"/>
          <w:szCs w:val="20"/>
          <w:color w:val="auto"/>
        </w:rPr>
      </w:pPr>
    </w:p>
    <w:p>
      <w:pPr>
        <w:jc w:val="both"/>
        <w:ind w:firstLine="1305"/>
        <w:spacing w:after="0" w:line="283" w:lineRule="auto"/>
        <w:tabs>
          <w:tab w:leader="none" w:pos="1797" w:val="left"/>
        </w:tabs>
        <w:numPr>
          <w:ilvl w:val="1"/>
          <w:numId w:val="253"/>
        </w:numPr>
        <w:rPr>
          <w:rFonts w:ascii="Arial" w:cs="Arial" w:eastAsia="Arial" w:hAnsi="Arial"/>
          <w:sz w:val="19"/>
          <w:szCs w:val="19"/>
          <w:color w:val="auto"/>
        </w:rPr>
      </w:pPr>
      <w:r>
        <w:rPr>
          <w:rFonts w:ascii="Arial" w:cs="Arial" w:eastAsia="Arial" w:hAnsi="Arial"/>
          <w:sz w:val="19"/>
          <w:szCs w:val="19"/>
          <w:color w:val="auto"/>
        </w:rPr>
        <w:t>With respect to each of the Company, the Members and the Manager, except to the extent necessary for the exercise of its rights and remedies and the performance of its obligations under this Agreement, the Company, such Member and the Manager will not itself use or intentionally disclose (and will not permit the use or disclosure by any of its Affiliates, any of the officers, directors or employees of it or its Affiliates (collectively, “</w:t>
      </w:r>
      <w:r>
        <w:rPr>
          <w:rFonts w:ascii="Arial" w:cs="Arial" w:eastAsia="Arial" w:hAnsi="Arial"/>
          <w:sz w:val="19"/>
          <w:szCs w:val="19"/>
          <w:b w:val="1"/>
          <w:bCs w:val="1"/>
          <w:color w:val="auto"/>
        </w:rPr>
        <w:t>Representatives</w:t>
      </w:r>
      <w:r>
        <w:rPr>
          <w:rFonts w:ascii="Arial" w:cs="Arial" w:eastAsia="Arial" w:hAnsi="Arial"/>
          <w:sz w:val="19"/>
          <w:szCs w:val="19"/>
          <w:color w:val="auto"/>
        </w:rPr>
        <w:t>”), or any of its advisors, counsel and public accountants (collectively, “</w:t>
      </w:r>
      <w:r>
        <w:rPr>
          <w:rFonts w:ascii="Arial" w:cs="Arial" w:eastAsia="Arial" w:hAnsi="Arial"/>
          <w:sz w:val="19"/>
          <w:szCs w:val="19"/>
          <w:b w:val="1"/>
          <w:bCs w:val="1"/>
          <w:color w:val="auto"/>
        </w:rPr>
        <w:t>Advisors</w:t>
      </w:r>
      <w:r>
        <w:rPr>
          <w:rFonts w:ascii="Arial" w:cs="Arial" w:eastAsia="Arial" w:hAnsi="Arial"/>
          <w:sz w:val="19"/>
          <w:szCs w:val="19"/>
          <w:color w:val="auto"/>
        </w:rPr>
        <w:t>”)), directly or indirectly, any of the terms and conditions of the Project Documents, this Agreement, the other Investment Documents or other information in respect of the transactions contemplated hereby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Company, any such Member, the Manager and its Affiliates, Representatives and Advisors may use and disclose Confidential Information to its Affiliates, Representatives and Advisors and to the Company, any other Member, the Manager and its Affiliates, Representatives and Advisors provided such use or disclosure is in connection with its administration of its interests under this Agreement, (ii) the Company, any such Member, the Manager and its Affiliates, Representatives and Advisors may disclose Confidential Information to any Governmental Authority having jurisdiction over the Company, such Member, the Manager or its Affiliates or as may be required by law, (iii) the Company, any such Member, the Manager and its Affiliates, Representatives and Advisors may use and disclose Confidential Information that (A) has been publicly disclosed or is publicly known (other than by the Company, such Member, the Manager or any of its Affiliates, Representatives or Advisors in breach of this </w:t>
      </w:r>
      <w:r>
        <w:rPr>
          <w:rFonts w:ascii="Arial" w:cs="Arial" w:eastAsia="Arial" w:hAnsi="Arial"/>
          <w:sz w:val="19"/>
          <w:szCs w:val="19"/>
          <w:u w:val="single" w:color="auto"/>
          <w:color w:val="auto"/>
        </w:rPr>
        <w:t>Section 7.7</w:t>
      </w:r>
      <w:r>
        <w:rPr>
          <w:rFonts w:ascii="Arial" w:cs="Arial" w:eastAsia="Arial" w:hAnsi="Arial"/>
          <w:sz w:val="19"/>
          <w:szCs w:val="19"/>
          <w:color w:val="auto"/>
        </w:rPr>
        <w:t>), (B) has come into the possession of the Company, such Member, the Manager or any of its Affiliates, Representatives or Advisors other than from the Company, another Member or a Person acting on such other Member’s behalf or the Manager under circumstances not involving to the knowledge of the Company, such Member or the Manager any breach of any confidentiality obligation, or (C) has been independently developed by the Company, such Member, the Manager or any of its Affiliates, Representatives or Advisors without use of information obtained under this Agreement, (iv) to the extent that such disclosure is (A) required by law, a subpoena or any other applicable legal process or (B) by request of any Governmental Authority having jurisdiction over such Party or its Affiliates, any stock exchange on which such Party’s or its Affiliates Securities are traded or any self-regulatory body having jurisdiction over such Party (including, to the extent applicable, the Financial Industry Regulatory Authority, Inc.), the Company, such Member, the Manager or its Affiliates may disclose Confidential Information provided that in such case the Company, such Member and the Manager shall, unless otherwise prohibited by law,</w:t>
      </w:r>
    </w:p>
    <w:p>
      <w:pPr>
        <w:spacing w:after="0" w:line="6" w:lineRule="exact"/>
        <w:rPr>
          <w:rFonts w:ascii="Arial" w:cs="Arial" w:eastAsia="Arial" w:hAnsi="Arial"/>
          <w:sz w:val="19"/>
          <w:szCs w:val="19"/>
          <w:color w:val="auto"/>
        </w:rPr>
      </w:pPr>
    </w:p>
    <w:p>
      <w:pPr>
        <w:jc w:val="both"/>
        <w:ind w:firstLine="8"/>
        <w:spacing w:after="0" w:line="281" w:lineRule="auto"/>
        <w:tabs>
          <w:tab w:leader="none" w:pos="308"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give prompt notice to the Company, the other Members or Manager that such disclosure is or may be required and (2) cooperate in protecting such confidential or proprietary nature of the Confidential Information which must so be disclosed;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notification shall be required in respect of any disclosure to FERC, any Energy Regulatory Authority or bank, insurance or financial industry regulatory authorities having jurisdiction over the Company, such Member, the Manager or its Affiliates,</w:t>
      </w:r>
    </w:p>
    <w:p>
      <w:pPr>
        <w:spacing w:after="0" w:line="3" w:lineRule="exact"/>
        <w:rPr>
          <w:rFonts w:ascii="Arial" w:cs="Arial" w:eastAsia="Arial" w:hAnsi="Arial"/>
          <w:sz w:val="19"/>
          <w:szCs w:val="19"/>
          <w:color w:val="auto"/>
        </w:rPr>
      </w:pPr>
    </w:p>
    <w:p>
      <w:pPr>
        <w:jc w:val="both"/>
        <w:spacing w:after="0" w:line="283" w:lineRule="auto"/>
        <w:rPr>
          <w:rFonts w:ascii="Arial" w:cs="Arial" w:eastAsia="Arial" w:hAnsi="Arial"/>
          <w:sz w:val="19"/>
          <w:szCs w:val="19"/>
          <w:color w:val="auto"/>
        </w:rPr>
      </w:pPr>
      <w:r>
        <w:rPr>
          <w:rFonts w:ascii="Arial" w:cs="Arial" w:eastAsia="Arial" w:hAnsi="Arial"/>
          <w:sz w:val="19"/>
          <w:szCs w:val="19"/>
          <w:color w:val="auto"/>
        </w:rPr>
        <w:t xml:space="preserve">(v) disclosures to lenders, potential lenders or other Persons providing financing to the Company or any Subject Company or to their respective representatives and advisors, the Company, any Member, the Manager or its Affiliates and potential purchasers of equity interests in the Company, the Company, any Member, the Manager or its Affiliates are permitted, any person to which such Member sells or offers to sell its investment in the Company or any portion thereof, if such Persons have agreed to abide by the terms of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or have otherwise entered into an agreement with restrictions on disclosure substantially similar to the terms of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(or in the case of advisors, are otherwise bound by professional or legal obligations of confidentiality), (vi) the Company, any such Member, the Manager and its Affiliates, Representatives and Advisors may disclose Confidential Information, and make such filings, as may be required by this Agreement or the Project Documents, (vii) any Member which is an insurance company or an Affiliate thereof may disclose such information to the National Association of Insurance Commissioners and any rating agency requiring access to its portfolio, (viii) any Member and its Affiliates, Representatives and Advisors may disclose Confidential Information relating to any Project (but not Confidential Information relating to any other Member) to lenders, potential lenders or other Persons providing financing to any Person developing or proposing to develop the remaining phases of any Project and potential purchasers of equity interests in such Person or potential power or REC purchasers from such Persons, or to any Person in connection with the operation of any Project if, in each case described in this </w:t>
      </w:r>
      <w:r>
        <w:rPr>
          <w:rFonts w:ascii="Arial" w:cs="Arial" w:eastAsia="Arial" w:hAnsi="Arial"/>
          <w:sz w:val="19"/>
          <w:szCs w:val="19"/>
          <w:u w:val="single" w:color="auto"/>
          <w:color w:val="auto"/>
        </w:rPr>
        <w:t>clause (viii)</w:t>
      </w:r>
      <w:r>
        <w:rPr>
          <w:rFonts w:ascii="Arial" w:cs="Arial" w:eastAsia="Arial" w:hAnsi="Arial"/>
          <w:sz w:val="19"/>
          <w:szCs w:val="19"/>
          <w:color w:val="auto"/>
        </w:rPr>
        <w:t xml:space="preserve">, such Persons have agreed to abide by the terms of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or have otherwise entered into a Contract with restrictions on disclosure substantially the same (and for not less than two (2) years in duration) as the terms of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(or in the case of Advisors, are otherwise bound by professional or legal obligations of confidentiality), and (ix) any such Member may disclose Confidential Information to the IRS or any state taxing authority in connection with any communication regarding the tax consequences of any Project, any Subject Company’s ownership and operation of the applicable Project or such Member’s ownership of an interest in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Member shall, as soon as practicable, notify the other Members of such disclosure, furnish a copy of any written material provided to the IRS or any state taxing authority to the other Members and, if practicable, afford the other Members reasonable opportunity to comment on the proposed disclosure (but for the avoidance of doubt the other Members will not have the right to consent to such proposed disclosure). A Member’s obligations pursuant to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survive the Transfer of its Units.</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1305"/>
        <w:spacing w:after="0" w:line="307" w:lineRule="auto"/>
        <w:tabs>
          <w:tab w:leader="none" w:pos="1756" w:val="left"/>
        </w:tabs>
        <w:numPr>
          <w:ilvl w:val="1"/>
          <w:numId w:val="254"/>
        </w:numPr>
        <w:rPr>
          <w:rFonts w:ascii="Arial" w:cs="Arial" w:eastAsia="Arial" w:hAnsi="Arial"/>
          <w:sz w:val="19"/>
          <w:szCs w:val="19"/>
          <w:color w:val="auto"/>
        </w:rPr>
      </w:pPr>
      <w:r>
        <w:rPr>
          <w:rFonts w:ascii="Arial" w:cs="Arial" w:eastAsia="Arial" w:hAnsi="Arial"/>
          <w:sz w:val="19"/>
          <w:szCs w:val="19"/>
          <w:color w:val="auto"/>
        </w:rPr>
        <w:t>The foregoing obligations shall not apply to the tax treatment or tax structure of the transactions contemplated hereby and each Member (and any employee, representative, or agent of any Member) may disclose to any and all Persons of any kind, the tax treatment and tax structure of the transactions contemplated hereby and all other materials of any kind (including opinions or other tax analysis) that are provided to any Member relating to such tax treatment and tax structure (all such</w:t>
      </w:r>
    </w:p>
    <w:p>
      <w:pPr>
        <w:sectPr>
          <w:pgSz w:w="11900" w:h="16838" w:orient="portrait"/>
          <w:cols w:equalWidth="0" w:num="1">
            <w:col w:w="11420"/>
          </w:cols>
          <w:pgMar w:left="240" w:top="132" w:right="239" w:bottom="0" w:gutter="0" w:footer="0" w:header="0"/>
        </w:sectPr>
      </w:pPr>
    </w:p>
    <w:bookmarkStart w:id="254" w:name="page255"/>
    <w:bookmarkEnd w:id="254"/>
    <w:p>
      <w:pPr>
        <w:spacing w:after="0" w:line="34" w:lineRule="exact"/>
        <w:rPr>
          <w:sz w:val="20"/>
          <w:szCs w:val="20"/>
          <w:color w:val="auto"/>
        </w:rPr>
      </w:pPr>
    </w:p>
    <w:p>
      <w:pPr>
        <w:jc w:val="both"/>
        <w:spacing w:after="0" w:line="259" w:lineRule="exact"/>
        <w:rPr>
          <w:sz w:val="20"/>
          <w:szCs w:val="20"/>
          <w:color w:val="auto"/>
        </w:rPr>
      </w:pPr>
      <w:r>
        <w:rPr>
          <w:rFonts w:ascii="Arial" w:cs="Arial" w:eastAsia="Arial" w:hAnsi="Arial"/>
          <w:sz w:val="19"/>
          <w:szCs w:val="19"/>
          <w:color w:val="auto"/>
        </w:rPr>
        <w:t>information that may be disclosed being the “</w:t>
      </w:r>
      <w:r>
        <w:rPr>
          <w:rFonts w:ascii="Arial" w:cs="Arial" w:eastAsia="Arial" w:hAnsi="Arial"/>
          <w:sz w:val="19"/>
          <w:szCs w:val="19"/>
          <w:b w:val="1"/>
          <w:bCs w:val="1"/>
          <w:color w:val="auto"/>
        </w:rPr>
        <w:t>Tax Information</w:t>
      </w:r>
      <w:r>
        <w:rPr>
          <w:rFonts w:ascii="Arial" w:cs="Arial" w:eastAsia="Arial" w:hAnsi="Arial"/>
          <w:sz w:val="19"/>
          <w:szCs w:val="19"/>
          <w:color w:val="auto"/>
        </w:rPr>
        <w:t>”). However, any such Tax Information is required to be kept confidential to the extent necessary to comply with any applicable securities laws. The preceding sentences are intended to cause the transactions contemplated hereby not to be treated as having been offered under conditions of confidentiality for purposes of Treasury Regulations Sections 1.6011</w:t>
      </w:r>
      <w:r>
        <w:rPr>
          <w:rFonts w:ascii="MS PGothic" w:cs="MS PGothic" w:eastAsia="MS PGothic" w:hAnsi="MS PGothic"/>
          <w:sz w:val="19"/>
          <w:szCs w:val="19"/>
          <w:color w:val="auto"/>
        </w:rPr>
        <w:t>‑</w:t>
      </w:r>
      <w:r>
        <w:rPr>
          <w:rFonts w:ascii="Arial" w:cs="Arial" w:eastAsia="Arial" w:hAnsi="Arial"/>
          <w:sz w:val="19"/>
          <w:szCs w:val="19"/>
          <w:color w:val="auto"/>
        </w:rPr>
        <w:t>4(b)(3) and 301.6111</w:t>
      </w:r>
      <w:r>
        <w:rPr>
          <w:rFonts w:ascii="MS PGothic" w:cs="MS PGothic" w:eastAsia="MS PGothic" w:hAnsi="MS PGothic"/>
          <w:sz w:val="19"/>
          <w:szCs w:val="19"/>
          <w:color w:val="auto"/>
        </w:rPr>
        <w:t>‑</w:t>
      </w:r>
      <w:r>
        <w:rPr>
          <w:rFonts w:ascii="Arial" w:cs="Arial" w:eastAsia="Arial" w:hAnsi="Arial"/>
          <w:sz w:val="19"/>
          <w:szCs w:val="19"/>
          <w:color w:val="auto"/>
        </w:rPr>
        <w:t>2(a)(2)(ii) and shall be construed in a manner consistent with such purpose. For purposes of this provision, the Tax Information includes only those facts that may be relevant to understanding the purported or claimed U.S. federal income tax treatment or tax structure of the transactions contemplated hereby and, to eliminate any doubt, therefore specifically does not include information that either reveals or standing alone or in the aggregate with other information so disclosed tends of itself to reveal or allow the recipient of the information to ascertain the identity of the Company or any Member or the Class B Member (or potential member), or any other third parties involved in any of the transactions contemplated hereby or any other potential transactions with any of the foregoing.</w:t>
      </w:r>
    </w:p>
    <w:p>
      <w:pPr>
        <w:spacing w:after="0" w:line="203" w:lineRule="exact"/>
        <w:rPr>
          <w:sz w:val="20"/>
          <w:szCs w:val="20"/>
          <w:color w:val="auto"/>
        </w:rPr>
      </w:pPr>
    </w:p>
    <w:p>
      <w:pPr>
        <w:jc w:val="both"/>
        <w:ind w:firstLine="1305"/>
        <w:spacing w:after="0" w:line="251" w:lineRule="auto"/>
        <w:tabs>
          <w:tab w:leader="none" w:pos="1811" w:val="left"/>
        </w:tabs>
        <w:numPr>
          <w:ilvl w:val="0"/>
          <w:numId w:val="255"/>
        </w:numPr>
        <w:rPr>
          <w:rFonts w:ascii="Arial" w:cs="Arial" w:eastAsia="Arial" w:hAnsi="Arial"/>
          <w:sz w:val="22"/>
          <w:szCs w:val="22"/>
          <w:color w:val="auto"/>
        </w:rPr>
      </w:pPr>
      <w:r>
        <w:rPr>
          <w:rFonts w:ascii="Arial" w:cs="Arial" w:eastAsia="Arial" w:hAnsi="Arial"/>
          <w:sz w:val="22"/>
          <w:szCs w:val="22"/>
          <w:color w:val="auto"/>
        </w:rPr>
        <w:t xml:space="preserve">Except as otherwise permitted by this </w:t>
      </w:r>
      <w:r>
        <w:rPr>
          <w:rFonts w:ascii="Arial" w:cs="Arial" w:eastAsia="Arial" w:hAnsi="Arial"/>
          <w:sz w:val="22"/>
          <w:szCs w:val="22"/>
          <w:u w:val="single" w:color="auto"/>
          <w:color w:val="auto"/>
        </w:rPr>
        <w:t>Section 7.7</w:t>
      </w:r>
      <w:r>
        <w:rPr>
          <w:rFonts w:ascii="Arial" w:cs="Arial" w:eastAsia="Arial" w:hAnsi="Arial"/>
          <w:sz w:val="22"/>
          <w:szCs w:val="22"/>
          <w:color w:val="auto"/>
        </w:rPr>
        <w:t>, no Member shall include in a press release or otherwise disclose (other than as required to be included in a filing to FERC, any Energy Regulatory Authority or any bank, insurance or financial industry regulatory authority having jurisdiction over such Member, its affiliates or permitted transferees) the name of any Member as an equity investor or potential equity investor without the prior written consent of such Member which consent shall not be unreasonably withheld.</w:t>
      </w:r>
    </w:p>
    <w:p>
      <w:pPr>
        <w:spacing w:after="0" w:line="189" w:lineRule="exact"/>
        <w:rPr>
          <w:rFonts w:ascii="Arial" w:cs="Arial" w:eastAsia="Arial" w:hAnsi="Arial"/>
          <w:sz w:val="22"/>
          <w:szCs w:val="22"/>
          <w:color w:val="auto"/>
        </w:rPr>
      </w:pPr>
    </w:p>
    <w:p>
      <w:pPr>
        <w:jc w:val="both"/>
        <w:ind w:firstLine="1305"/>
        <w:spacing w:after="0" w:line="291" w:lineRule="auto"/>
        <w:tabs>
          <w:tab w:leader="none" w:pos="1756" w:val="left"/>
        </w:tabs>
        <w:numPr>
          <w:ilvl w:val="0"/>
          <w:numId w:val="255"/>
        </w:numPr>
        <w:rPr>
          <w:rFonts w:ascii="Arial" w:cs="Arial" w:eastAsia="Arial" w:hAnsi="Arial"/>
          <w:sz w:val="19"/>
          <w:szCs w:val="19"/>
          <w:color w:val="auto"/>
        </w:rPr>
      </w:pPr>
      <w:r>
        <w:rPr>
          <w:rFonts w:ascii="Arial" w:cs="Arial" w:eastAsia="Arial" w:hAnsi="Arial"/>
          <w:sz w:val="19"/>
          <w:szCs w:val="19"/>
          <w:color w:val="auto"/>
        </w:rPr>
        <w:t>If the Company or any subsidiary thereof is required at any time to make any regulatory filing to the FERC or any Energy Regulatory Authority that identifies by name, or otherwise relates specifically to, any Member or any of its affiliates or permitted transferees, then the Company shall submit (or the Company shall cause its subsidiary to submit) an advance draft of such regulatory filing to such Member or its affiliate or permitted transferee, as applicable, as early as practicable in advance of the specified deadline imposed by FERC or such Energy Regulatory Authority or its regulations. Such Member (or its affiliate or permitted transferee, as applicable) shall have the right to provide comments to such regulatory filing as it relates to such Member (or its affiliate or permitted transferee), and the Company or its subsidiary shall incorporate or accommodate, prior to submitting such filing, such comments timely received. A Member’s failure to promptly provide such comments shall constitute approval of the making of such regulatory filing by the Company or subsidiary thereof.</w:t>
      </w:r>
    </w:p>
    <w:p>
      <w:pPr>
        <w:spacing w:after="0" w:line="154" w:lineRule="exact"/>
        <w:rPr>
          <w:rFonts w:ascii="Arial" w:cs="Arial" w:eastAsia="Arial" w:hAnsi="Arial"/>
          <w:sz w:val="19"/>
          <w:szCs w:val="19"/>
          <w:color w:val="auto"/>
        </w:rPr>
      </w:pPr>
    </w:p>
    <w:p>
      <w:pPr>
        <w:jc w:val="both"/>
        <w:ind w:firstLine="1305"/>
        <w:spacing w:after="0" w:line="294" w:lineRule="auto"/>
        <w:tabs>
          <w:tab w:leader="none" w:pos="1743" w:val="left"/>
        </w:tabs>
        <w:numPr>
          <w:ilvl w:val="0"/>
          <w:numId w:val="255"/>
        </w:numPr>
        <w:rPr>
          <w:rFonts w:ascii="Arial" w:cs="Arial" w:eastAsia="Arial" w:hAnsi="Arial"/>
          <w:sz w:val="19"/>
          <w:szCs w:val="19"/>
          <w:color w:val="auto"/>
        </w:rPr>
      </w:pPr>
      <w:r>
        <w:rPr>
          <w:rFonts w:ascii="Arial" w:cs="Arial" w:eastAsia="Arial" w:hAnsi="Arial"/>
          <w:sz w:val="19"/>
          <w:szCs w:val="19"/>
          <w:color w:val="auto"/>
        </w:rPr>
        <w:t>If any Member is required at any time to make any regulatory filing (other than a filing to any bank, insurance or financial industry regulatory authority having jurisdiction over such Member or its affiliates) that identifies by name, or otherwise relates specifically to, any other Member, then such Member shall submit an advance draft of the relevant portions of such regulatory filing to such other Member. Such other Member shall have the right to provide comments to such regulatory filing as it relates to such other Member, and the Member making such filing shall incorporate or accommodate, prior to submitting such filing, such reasonable comments. The Parties acknowledge and agree that from time to time a Member may be required to submit a regulatory filing or reporting that may be subject to the Freedom of Information Act.</w:t>
      </w:r>
    </w:p>
    <w:p>
      <w:pPr>
        <w:spacing w:after="0" w:line="146"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7.8</w:t>
      </w:r>
      <w:r>
        <w:rPr>
          <w:sz w:val="20"/>
          <w:szCs w:val="20"/>
          <w:color w:val="auto"/>
        </w:rPr>
        <w:tab/>
      </w:r>
      <w:r>
        <w:rPr>
          <w:rFonts w:ascii="Arial" w:cs="Arial" w:eastAsia="Arial" w:hAnsi="Arial"/>
          <w:sz w:val="19"/>
          <w:szCs w:val="19"/>
          <w:b w:val="1"/>
          <w:bCs w:val="1"/>
          <w:u w:val="single" w:color="auto"/>
          <w:color w:val="auto"/>
        </w:rPr>
        <w:t>Company Property.</w:t>
      </w:r>
    </w:p>
    <w:p>
      <w:pPr>
        <w:spacing w:after="0" w:line="239"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21"/>
          <w:szCs w:val="21"/>
          <w:color w:val="auto"/>
        </w:rPr>
        <w:t>All property owned by the Company, whether real or personal, tangible or intangible and wherever located, shall be deemed to be owned by the Company, and no Member, individually, shall have any ownership of such property.</w:t>
      </w:r>
    </w:p>
    <w:p>
      <w:pPr>
        <w:spacing w:after="0" w:line="14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ADMINISTRATIVE AND TAX MATTERS</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8.1</w:t>
      </w:r>
      <w:r>
        <w:rPr>
          <w:sz w:val="20"/>
          <w:szCs w:val="20"/>
          <w:color w:val="auto"/>
        </w:rPr>
        <w:tab/>
      </w:r>
      <w:r>
        <w:rPr>
          <w:rFonts w:ascii="Arial" w:cs="Arial" w:eastAsia="Arial" w:hAnsi="Arial"/>
          <w:sz w:val="19"/>
          <w:szCs w:val="19"/>
          <w:b w:val="1"/>
          <w:bCs w:val="1"/>
          <w:u w:val="single" w:color="auto"/>
          <w:color w:val="auto"/>
        </w:rPr>
        <w:t>Intent for Income Tax Purposes.</w:t>
      </w:r>
    </w:p>
    <w:p>
      <w:pPr>
        <w:spacing w:after="0" w:line="239"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The Members intend that the Company be treated as a partnership for federal, state and local income tax purposes and that it be operated in a manner consistent with such treatment, but that the Company not be operated or treated as a “partnership” for any other purpose, including, but not limited to, Section 303 of the Federal Bankruptcy Code, and the provisions of this Agreement may not be construed to suggest otherwise.</w:t>
      </w:r>
    </w:p>
    <w:p>
      <w:pPr>
        <w:spacing w:after="0" w:line="182"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8.2</w:t>
      </w:r>
      <w:r>
        <w:rPr>
          <w:sz w:val="20"/>
          <w:szCs w:val="20"/>
          <w:color w:val="auto"/>
        </w:rPr>
        <w:tab/>
      </w:r>
      <w:r>
        <w:rPr>
          <w:rFonts w:ascii="Arial" w:cs="Arial" w:eastAsia="Arial" w:hAnsi="Arial"/>
          <w:sz w:val="19"/>
          <w:szCs w:val="19"/>
          <w:b w:val="1"/>
          <w:bCs w:val="1"/>
          <w:u w:val="single" w:color="auto"/>
          <w:color w:val="auto"/>
        </w:rPr>
        <w:t>Books and Records; Bank Accounts; Company Procedures.</w:t>
      </w:r>
    </w:p>
    <w:p>
      <w:pPr>
        <w:spacing w:after="0" w:line="239" w:lineRule="exact"/>
        <w:rPr>
          <w:sz w:val="20"/>
          <w:szCs w:val="20"/>
          <w:color w:val="auto"/>
        </w:rPr>
      </w:pPr>
    </w:p>
    <w:p>
      <w:pPr>
        <w:jc w:val="both"/>
        <w:ind w:firstLine="1305"/>
        <w:spacing w:after="0" w:line="251" w:lineRule="auto"/>
        <w:tabs>
          <w:tab w:leader="none" w:pos="1757"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Company’s books of account shall be prepared and maintained in accordance with GAAP for the type of business of the Company. The Manager shall cause to be kept, at the principal place of business of the Company, full, proper, complete and accurate ledgers and other books of account and records of all receipts and disbursements and other financial activities of the Company in accordance with prudent business practices and as required by Law, including the following documents:</w:t>
      </w:r>
    </w:p>
    <w:p>
      <w:pPr>
        <w:spacing w:after="0" w:line="189" w:lineRule="exact"/>
        <w:rPr>
          <w:rFonts w:ascii="Arial" w:cs="Arial" w:eastAsia="Arial" w:hAnsi="Arial"/>
          <w:sz w:val="22"/>
          <w:szCs w:val="22"/>
          <w:color w:val="auto"/>
        </w:rPr>
      </w:pPr>
    </w:p>
    <w:p>
      <w:pPr>
        <w:ind w:left="660" w:right="20" w:firstLine="1293"/>
        <w:spacing w:after="0" w:line="276" w:lineRule="auto"/>
        <w:tabs>
          <w:tab w:leader="none" w:pos="2421" w:val="left"/>
        </w:tabs>
        <w:numPr>
          <w:ilvl w:val="1"/>
          <w:numId w:val="256"/>
        </w:numPr>
        <w:rPr>
          <w:rFonts w:ascii="Arial" w:cs="Arial" w:eastAsia="Arial" w:hAnsi="Arial"/>
          <w:sz w:val="22"/>
          <w:szCs w:val="22"/>
          <w:color w:val="auto"/>
        </w:rPr>
      </w:pPr>
      <w:r>
        <w:rPr>
          <w:rFonts w:ascii="Arial" w:cs="Arial" w:eastAsia="Arial" w:hAnsi="Arial"/>
          <w:sz w:val="22"/>
          <w:szCs w:val="22"/>
          <w:color w:val="auto"/>
        </w:rPr>
        <w:t>A copy of the Delaware Certificate and all certificates of amendment thereto, together with executed copies of any powers of attorney pursuant to which any certificate has been executed;</w:t>
      </w:r>
    </w:p>
    <w:p>
      <w:pPr>
        <w:spacing w:after="0" w:line="160" w:lineRule="exact"/>
        <w:rPr>
          <w:rFonts w:ascii="Arial" w:cs="Arial" w:eastAsia="Arial" w:hAnsi="Arial"/>
          <w:sz w:val="22"/>
          <w:szCs w:val="22"/>
          <w:color w:val="auto"/>
        </w:rPr>
      </w:pPr>
    </w:p>
    <w:p>
      <w:pPr>
        <w:jc w:val="both"/>
        <w:ind w:left="660" w:firstLine="1293"/>
        <w:spacing w:after="0" w:line="320" w:lineRule="auto"/>
        <w:tabs>
          <w:tab w:leader="none" w:pos="2630" w:val="left"/>
        </w:tabs>
        <w:numPr>
          <w:ilvl w:val="1"/>
          <w:numId w:val="256"/>
        </w:numPr>
        <w:rPr>
          <w:rFonts w:ascii="Arial" w:cs="Arial" w:eastAsia="Arial" w:hAnsi="Arial"/>
          <w:sz w:val="19"/>
          <w:szCs w:val="19"/>
          <w:color w:val="auto"/>
        </w:rPr>
      </w:pPr>
      <w:r>
        <w:rPr>
          <w:rFonts w:ascii="Arial" w:cs="Arial" w:eastAsia="Arial" w:hAnsi="Arial"/>
          <w:sz w:val="19"/>
          <w:szCs w:val="19"/>
          <w:color w:val="auto"/>
        </w:rPr>
        <w:t>Copies of the Company’s and each Subject Company’s federal, state and local income tax or information returns and reports, if any, for the six (6) most recent Taxable Years or, if later, until the statute of limitations expires on any IRS, state, or local tax audit of such returns or reports of the Company and the Subject Companies;</w:t>
      </w:r>
    </w:p>
    <w:p>
      <w:pPr>
        <w:spacing w:after="0" w:line="125" w:lineRule="exact"/>
        <w:rPr>
          <w:rFonts w:ascii="Arial" w:cs="Arial" w:eastAsia="Arial" w:hAnsi="Arial"/>
          <w:sz w:val="19"/>
          <w:szCs w:val="19"/>
          <w:color w:val="auto"/>
        </w:rPr>
      </w:pPr>
    </w:p>
    <w:p>
      <w:pPr>
        <w:ind w:left="2460" w:hanging="507"/>
        <w:spacing w:after="0"/>
        <w:tabs>
          <w:tab w:leader="none" w:pos="2460" w:val="left"/>
        </w:tabs>
        <w:numPr>
          <w:ilvl w:val="1"/>
          <w:numId w:val="256"/>
        </w:numPr>
        <w:rPr>
          <w:rFonts w:ascii="Arial" w:cs="Arial" w:eastAsia="Arial" w:hAnsi="Arial"/>
          <w:sz w:val="22"/>
          <w:szCs w:val="22"/>
          <w:color w:val="auto"/>
        </w:rPr>
      </w:pPr>
      <w:r>
        <w:rPr>
          <w:rFonts w:ascii="Arial" w:cs="Arial" w:eastAsia="Arial" w:hAnsi="Arial"/>
          <w:sz w:val="22"/>
          <w:szCs w:val="22"/>
          <w:color w:val="auto"/>
        </w:rPr>
        <w:t>Copies of this Agreement and all amendments thereto;</w:t>
      </w:r>
    </w:p>
    <w:p>
      <w:pPr>
        <w:sectPr>
          <w:pgSz w:w="11900" w:h="16873" w:orient="portrait"/>
          <w:cols w:equalWidth="0" w:num="1">
            <w:col w:w="11420"/>
          </w:cols>
          <w:pgMar w:left="240" w:top="126" w:right="239" w:bottom="0" w:gutter="0" w:footer="0" w:header="0"/>
        </w:sectPr>
      </w:pPr>
    </w:p>
    <w:bookmarkStart w:id="255" w:name="page256"/>
    <w:bookmarkEnd w:id="255"/>
    <w:p>
      <w:pPr>
        <w:spacing w:after="0" w:line="135" w:lineRule="exact"/>
        <w:rPr>
          <w:sz w:val="20"/>
          <w:szCs w:val="20"/>
          <w:color w:val="auto"/>
        </w:rPr>
      </w:pPr>
    </w:p>
    <w:p>
      <w:pPr>
        <w:ind w:left="2440" w:hanging="487"/>
        <w:spacing w:after="0"/>
        <w:tabs>
          <w:tab w:leader="none" w:pos="2440" w:val="left"/>
        </w:tabs>
        <w:numPr>
          <w:ilvl w:val="2"/>
          <w:numId w:val="257"/>
        </w:numPr>
        <w:rPr>
          <w:rFonts w:ascii="Arial" w:cs="Arial" w:eastAsia="Arial" w:hAnsi="Arial"/>
          <w:sz w:val="22"/>
          <w:szCs w:val="22"/>
          <w:color w:val="auto"/>
        </w:rPr>
      </w:pPr>
      <w:r>
        <w:rPr>
          <w:rFonts w:ascii="Arial" w:cs="Arial" w:eastAsia="Arial" w:hAnsi="Arial"/>
          <w:sz w:val="22"/>
          <w:szCs w:val="22"/>
          <w:color w:val="auto"/>
        </w:rPr>
        <w:t>Copies of the formation documents and operating agreement of each Subject Company;</w:t>
      </w:r>
    </w:p>
    <w:p>
      <w:pPr>
        <w:spacing w:after="0" w:line="233" w:lineRule="exact"/>
        <w:rPr>
          <w:rFonts w:ascii="Arial" w:cs="Arial" w:eastAsia="Arial" w:hAnsi="Arial"/>
          <w:sz w:val="22"/>
          <w:szCs w:val="22"/>
          <w:color w:val="auto"/>
        </w:rPr>
      </w:pPr>
    </w:p>
    <w:p>
      <w:pPr>
        <w:jc w:val="both"/>
        <w:ind w:left="660" w:firstLine="1293"/>
        <w:spacing w:after="0" w:line="260" w:lineRule="auto"/>
        <w:tabs>
          <w:tab w:leader="none" w:pos="2402" w:val="left"/>
        </w:tabs>
        <w:numPr>
          <w:ilvl w:val="2"/>
          <w:numId w:val="257"/>
        </w:numPr>
        <w:rPr>
          <w:rFonts w:ascii="Arial" w:cs="Arial" w:eastAsia="Arial" w:hAnsi="Arial"/>
          <w:sz w:val="22"/>
          <w:szCs w:val="22"/>
          <w:color w:val="auto"/>
        </w:rPr>
      </w:pPr>
      <w:r>
        <w:rPr>
          <w:rFonts w:ascii="Arial" w:cs="Arial" w:eastAsia="Arial" w:hAnsi="Arial"/>
          <w:sz w:val="22"/>
          <w:szCs w:val="22"/>
          <w:color w:val="auto"/>
        </w:rPr>
        <w:t>Financial statements, including a balance sheet and statements of income (or loss), of the Company for, to the extent applicable, each of the six (6) most recent Fiscal Years, including quarterly and monthly internal financial statements of the Company;</w:t>
      </w:r>
    </w:p>
    <w:p>
      <w:pPr>
        <w:spacing w:after="0" w:line="177" w:lineRule="exact"/>
        <w:rPr>
          <w:rFonts w:ascii="Arial" w:cs="Arial" w:eastAsia="Arial" w:hAnsi="Arial"/>
          <w:sz w:val="22"/>
          <w:szCs w:val="22"/>
          <w:color w:val="auto"/>
        </w:rPr>
      </w:pPr>
    </w:p>
    <w:p>
      <w:pPr>
        <w:ind w:left="2480" w:hanging="527"/>
        <w:spacing w:after="0"/>
        <w:tabs>
          <w:tab w:leader="none" w:pos="2480" w:val="left"/>
        </w:tabs>
        <w:numPr>
          <w:ilvl w:val="2"/>
          <w:numId w:val="257"/>
        </w:numPr>
        <w:rPr>
          <w:rFonts w:ascii="Arial" w:cs="Arial" w:eastAsia="Arial" w:hAnsi="Arial"/>
          <w:sz w:val="19"/>
          <w:szCs w:val="19"/>
          <w:color w:val="auto"/>
        </w:rPr>
      </w:pPr>
      <w:r>
        <w:rPr>
          <w:rFonts w:ascii="Arial" w:cs="Arial" w:eastAsia="Arial" w:hAnsi="Arial"/>
          <w:sz w:val="19"/>
          <w:szCs w:val="19"/>
          <w:color w:val="auto"/>
        </w:rPr>
        <w:t>The Company’s books and records for at least the current and, to the extent applicable, the past three</w:t>
      </w:r>
    </w:p>
    <w:p>
      <w:pPr>
        <w:spacing w:after="0" w:line="56" w:lineRule="exact"/>
        <w:rPr>
          <w:rFonts w:ascii="Arial" w:cs="Arial" w:eastAsia="Arial" w:hAnsi="Arial"/>
          <w:sz w:val="19"/>
          <w:szCs w:val="19"/>
          <w:color w:val="auto"/>
        </w:rPr>
      </w:pPr>
    </w:p>
    <w:p>
      <w:pPr>
        <w:ind w:left="960" w:hanging="304"/>
        <w:spacing w:after="0"/>
        <w:tabs>
          <w:tab w:leader="none" w:pos="96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Fiscal Years;</w:t>
      </w:r>
    </w:p>
    <w:p>
      <w:pPr>
        <w:spacing w:after="0" w:line="215" w:lineRule="exact"/>
        <w:rPr>
          <w:rFonts w:ascii="Arial" w:cs="Arial" w:eastAsia="Arial" w:hAnsi="Arial"/>
          <w:sz w:val="22"/>
          <w:szCs w:val="22"/>
          <w:color w:val="auto"/>
        </w:rPr>
      </w:pPr>
    </w:p>
    <w:p>
      <w:pPr>
        <w:ind w:left="2500" w:hanging="547"/>
        <w:spacing w:after="0"/>
        <w:tabs>
          <w:tab w:leader="none" w:pos="2500" w:val="left"/>
        </w:tabs>
        <w:numPr>
          <w:ilvl w:val="2"/>
          <w:numId w:val="258"/>
        </w:numPr>
        <w:rPr>
          <w:rFonts w:ascii="Arial" w:cs="Arial" w:eastAsia="Arial" w:hAnsi="Arial"/>
          <w:sz w:val="22"/>
          <w:szCs w:val="22"/>
          <w:color w:val="auto"/>
        </w:rPr>
      </w:pPr>
      <w:r>
        <w:rPr>
          <w:rFonts w:ascii="Arial" w:cs="Arial" w:eastAsia="Arial" w:hAnsi="Arial"/>
          <w:sz w:val="22"/>
          <w:szCs w:val="22"/>
          <w:color w:val="auto"/>
        </w:rPr>
        <w:t>the Register;</w:t>
      </w:r>
    </w:p>
    <w:p>
      <w:pPr>
        <w:spacing w:after="0" w:line="233" w:lineRule="exact"/>
        <w:rPr>
          <w:rFonts w:ascii="Arial" w:cs="Arial" w:eastAsia="Arial" w:hAnsi="Arial"/>
          <w:sz w:val="22"/>
          <w:szCs w:val="22"/>
          <w:color w:val="auto"/>
        </w:rPr>
      </w:pPr>
    </w:p>
    <w:p>
      <w:pPr>
        <w:ind w:left="2560" w:hanging="607"/>
        <w:spacing w:after="0"/>
        <w:tabs>
          <w:tab w:leader="none" w:pos="2560" w:val="left"/>
        </w:tabs>
        <w:numPr>
          <w:ilvl w:val="2"/>
          <w:numId w:val="258"/>
        </w:numPr>
        <w:rPr>
          <w:rFonts w:ascii="Arial" w:cs="Arial" w:eastAsia="Arial" w:hAnsi="Arial"/>
          <w:sz w:val="22"/>
          <w:szCs w:val="22"/>
          <w:color w:val="auto"/>
        </w:rPr>
      </w:pPr>
      <w:r>
        <w:rPr>
          <w:rFonts w:ascii="Arial" w:cs="Arial" w:eastAsia="Arial" w:hAnsi="Arial"/>
          <w:sz w:val="22"/>
          <w:szCs w:val="22"/>
          <w:color w:val="auto"/>
        </w:rPr>
        <w:t>minutes of meetings of the Members; and</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2"/>
          <w:numId w:val="258"/>
        </w:numPr>
        <w:rPr>
          <w:rFonts w:ascii="Arial" w:cs="Arial" w:eastAsia="Arial" w:hAnsi="Arial"/>
          <w:sz w:val="22"/>
          <w:szCs w:val="22"/>
          <w:color w:val="auto"/>
        </w:rPr>
      </w:pPr>
      <w:r>
        <w:rPr>
          <w:rFonts w:ascii="Arial" w:cs="Arial" w:eastAsia="Arial" w:hAnsi="Arial"/>
          <w:sz w:val="22"/>
          <w:szCs w:val="22"/>
          <w:color w:val="auto"/>
        </w:rPr>
        <w:t>copies of all Project Documents.</w:t>
      </w:r>
    </w:p>
    <w:p>
      <w:pPr>
        <w:spacing w:after="0" w:line="233" w:lineRule="exact"/>
        <w:rPr>
          <w:rFonts w:ascii="Arial" w:cs="Arial" w:eastAsia="Arial" w:hAnsi="Arial"/>
          <w:sz w:val="22"/>
          <w:szCs w:val="22"/>
          <w:color w:val="auto"/>
        </w:rPr>
      </w:pPr>
    </w:p>
    <w:p>
      <w:pPr>
        <w:ind w:right="20" w:firstLine="1305"/>
        <w:spacing w:after="0" w:line="276" w:lineRule="auto"/>
        <w:tabs>
          <w:tab w:leader="none" w:pos="1756" w:val="left"/>
        </w:tabs>
        <w:numPr>
          <w:ilvl w:val="1"/>
          <w:numId w:val="258"/>
        </w:numPr>
        <w:rPr>
          <w:rFonts w:ascii="Arial" w:cs="Arial" w:eastAsia="Arial" w:hAnsi="Arial"/>
          <w:sz w:val="22"/>
          <w:szCs w:val="22"/>
          <w:color w:val="auto"/>
        </w:rPr>
      </w:pPr>
      <w:r>
        <w:rPr>
          <w:rFonts w:ascii="Arial" w:cs="Arial" w:eastAsia="Arial" w:hAnsi="Arial"/>
          <w:sz w:val="22"/>
          <w:szCs w:val="22"/>
          <w:color w:val="auto"/>
        </w:rPr>
        <w:t>The books of account of the Company shall be (i) maintained on the basis of a Fiscal Year and (ii) maintained on an accrual basis in accordance with GAAP.</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57" w:val="left"/>
        </w:tabs>
        <w:numPr>
          <w:ilvl w:val="1"/>
          <w:numId w:val="258"/>
        </w:numPr>
        <w:rPr>
          <w:rFonts w:ascii="Arial" w:cs="Arial" w:eastAsia="Arial" w:hAnsi="Arial"/>
          <w:sz w:val="22"/>
          <w:szCs w:val="22"/>
          <w:color w:val="auto"/>
        </w:rPr>
      </w:pPr>
      <w:r>
        <w:rPr>
          <w:rFonts w:ascii="Arial" w:cs="Arial" w:eastAsia="Arial" w:hAnsi="Arial"/>
          <w:sz w:val="22"/>
          <w:szCs w:val="22"/>
          <w:color w:val="auto"/>
        </w:rPr>
        <w:t>Funds of the Company shall be deposited in such banks or other depositories, and withdrawals from any such depository shall be made as determined by the Manager. All monies in bank accounts shall be retained in cash or invested in Permitted Investments.</w:t>
      </w:r>
    </w:p>
    <w:p>
      <w:pPr>
        <w:spacing w:after="0" w:line="177" w:lineRule="exact"/>
        <w:rPr>
          <w:rFonts w:ascii="Arial" w:cs="Arial" w:eastAsia="Arial" w:hAnsi="Arial"/>
          <w:sz w:val="22"/>
          <w:szCs w:val="22"/>
          <w:color w:val="auto"/>
        </w:rPr>
      </w:pPr>
    </w:p>
    <w:p>
      <w:pPr>
        <w:ind w:firstLine="1305"/>
        <w:spacing w:after="0" w:line="276" w:lineRule="auto"/>
        <w:tabs>
          <w:tab w:leader="none" w:pos="1783" w:val="left"/>
        </w:tabs>
        <w:numPr>
          <w:ilvl w:val="1"/>
          <w:numId w:val="258"/>
        </w:numPr>
        <w:rPr>
          <w:rFonts w:ascii="Arial" w:cs="Arial" w:eastAsia="Arial" w:hAnsi="Arial"/>
          <w:sz w:val="22"/>
          <w:szCs w:val="22"/>
          <w:color w:val="auto"/>
        </w:rPr>
      </w:pPr>
      <w:r>
        <w:rPr>
          <w:rFonts w:ascii="Arial" w:cs="Arial" w:eastAsia="Arial" w:hAnsi="Arial"/>
          <w:sz w:val="22"/>
          <w:szCs w:val="22"/>
          <w:color w:val="auto"/>
        </w:rPr>
        <w:t>The Manager shall cause the Company to maintain its existence separate and distinct from any other Person, including causing the Company to take the following actions:</w:t>
      </w:r>
    </w:p>
    <w:p>
      <w:pPr>
        <w:spacing w:after="0" w:line="160" w:lineRule="exact"/>
        <w:rPr>
          <w:rFonts w:ascii="Arial" w:cs="Arial" w:eastAsia="Arial" w:hAnsi="Arial"/>
          <w:sz w:val="22"/>
          <w:szCs w:val="22"/>
          <w:color w:val="auto"/>
        </w:rPr>
      </w:pPr>
    </w:p>
    <w:p>
      <w:pPr>
        <w:jc w:val="both"/>
        <w:ind w:left="660" w:firstLine="1293"/>
        <w:spacing w:after="0" w:line="300" w:lineRule="auto"/>
        <w:tabs>
          <w:tab w:leader="none" w:pos="2421" w:val="left"/>
        </w:tabs>
        <w:numPr>
          <w:ilvl w:val="2"/>
          <w:numId w:val="259"/>
        </w:numPr>
        <w:rPr>
          <w:rFonts w:ascii="Arial" w:cs="Arial" w:eastAsia="Arial" w:hAnsi="Arial"/>
          <w:sz w:val="19"/>
          <w:szCs w:val="19"/>
          <w:color w:val="auto"/>
        </w:rPr>
      </w:pPr>
      <w:r>
        <w:rPr>
          <w:rFonts w:ascii="Arial" w:cs="Arial" w:eastAsia="Arial" w:hAnsi="Arial"/>
          <w:sz w:val="19"/>
          <w:szCs w:val="19"/>
          <w:color w:val="auto"/>
        </w:rPr>
        <w:t>maintaining in full effect its existence, rights and franchises as a limited liability company under the laws of its jurisdiction of formation and obtaining and preserving its qualification to do business in each jurisdiction in which such qualification is or will be necessary to protect the validity and enforceability of its applicable operating agreement and each other Contract necessary or appropriate to properly administer its applicable operating agreement and permit and effectuate the transactions contemplated in its applicable operating agreement;</w:t>
      </w:r>
    </w:p>
    <w:p>
      <w:pPr>
        <w:spacing w:after="0" w:line="147" w:lineRule="exact"/>
        <w:rPr>
          <w:rFonts w:ascii="Arial" w:cs="Arial" w:eastAsia="Arial" w:hAnsi="Arial"/>
          <w:sz w:val="19"/>
          <w:szCs w:val="19"/>
          <w:color w:val="auto"/>
        </w:rPr>
      </w:pPr>
    </w:p>
    <w:p>
      <w:pPr>
        <w:ind w:left="660" w:firstLine="1293"/>
        <w:spacing w:after="0" w:line="276" w:lineRule="auto"/>
        <w:tabs>
          <w:tab w:leader="none" w:pos="2441" w:val="left"/>
        </w:tabs>
        <w:numPr>
          <w:ilvl w:val="2"/>
          <w:numId w:val="259"/>
        </w:numPr>
        <w:rPr>
          <w:rFonts w:ascii="Arial" w:cs="Arial" w:eastAsia="Arial" w:hAnsi="Arial"/>
          <w:sz w:val="22"/>
          <w:szCs w:val="22"/>
          <w:color w:val="auto"/>
        </w:rPr>
      </w:pPr>
      <w:r>
        <w:rPr>
          <w:rFonts w:ascii="Arial" w:cs="Arial" w:eastAsia="Arial" w:hAnsi="Arial"/>
          <w:sz w:val="22"/>
          <w:szCs w:val="22"/>
          <w:color w:val="auto"/>
        </w:rPr>
        <w:t>conducting its affairs separately from those of the Manager and its Affiliates and maintaining accurate and separate books and records;</w:t>
      </w:r>
    </w:p>
    <w:p>
      <w:pPr>
        <w:spacing w:after="0" w:line="160" w:lineRule="exact"/>
        <w:rPr>
          <w:rFonts w:ascii="Arial" w:cs="Arial" w:eastAsia="Arial" w:hAnsi="Arial"/>
          <w:sz w:val="22"/>
          <w:szCs w:val="22"/>
          <w:color w:val="auto"/>
        </w:rPr>
      </w:pPr>
    </w:p>
    <w:p>
      <w:pPr>
        <w:ind w:left="660" w:firstLine="1293"/>
        <w:spacing w:after="0" w:line="276" w:lineRule="auto"/>
        <w:tabs>
          <w:tab w:leader="none" w:pos="2474" w:val="left"/>
        </w:tabs>
        <w:numPr>
          <w:ilvl w:val="2"/>
          <w:numId w:val="259"/>
        </w:numPr>
        <w:rPr>
          <w:rFonts w:ascii="Arial" w:cs="Arial" w:eastAsia="Arial" w:hAnsi="Arial"/>
          <w:sz w:val="22"/>
          <w:szCs w:val="22"/>
          <w:color w:val="auto"/>
        </w:rPr>
      </w:pPr>
      <w:r>
        <w:rPr>
          <w:rFonts w:ascii="Arial" w:cs="Arial" w:eastAsia="Arial" w:hAnsi="Arial"/>
          <w:sz w:val="22"/>
          <w:szCs w:val="22"/>
          <w:color w:val="auto"/>
        </w:rPr>
        <w:t>acting solely in its own limited liability company name and not that of any other Person, including the Manager and its Affiliates;</w:t>
      </w:r>
    </w:p>
    <w:p>
      <w:pPr>
        <w:spacing w:after="0" w:line="160" w:lineRule="exact"/>
        <w:rPr>
          <w:rFonts w:ascii="Arial" w:cs="Arial" w:eastAsia="Arial" w:hAnsi="Arial"/>
          <w:sz w:val="22"/>
          <w:szCs w:val="22"/>
          <w:color w:val="auto"/>
        </w:rPr>
      </w:pPr>
    </w:p>
    <w:p>
      <w:pPr>
        <w:ind w:left="2440" w:hanging="487"/>
        <w:spacing w:after="0"/>
        <w:tabs>
          <w:tab w:leader="none" w:pos="2440" w:val="left"/>
        </w:tabs>
        <w:numPr>
          <w:ilvl w:val="2"/>
          <w:numId w:val="259"/>
        </w:numPr>
        <w:rPr>
          <w:rFonts w:ascii="Arial" w:cs="Arial" w:eastAsia="Arial" w:hAnsi="Arial"/>
          <w:sz w:val="19"/>
          <w:szCs w:val="19"/>
          <w:color w:val="auto"/>
        </w:rPr>
      </w:pPr>
      <w:r>
        <w:rPr>
          <w:rFonts w:ascii="Arial" w:cs="Arial" w:eastAsia="Arial" w:hAnsi="Arial"/>
          <w:sz w:val="19"/>
          <w:szCs w:val="19"/>
          <w:color w:val="auto"/>
        </w:rPr>
        <w:t>not holding itself out as having agreed to pay, or as being liable for, the obligations of any other Person;</w:t>
      </w:r>
    </w:p>
    <w:p>
      <w:pPr>
        <w:spacing w:after="0" w:line="267" w:lineRule="exact"/>
        <w:rPr>
          <w:rFonts w:ascii="Arial" w:cs="Arial" w:eastAsia="Arial" w:hAnsi="Arial"/>
          <w:sz w:val="19"/>
          <w:szCs w:val="19"/>
          <w:color w:val="auto"/>
        </w:rPr>
      </w:pPr>
    </w:p>
    <w:p>
      <w:pPr>
        <w:ind w:left="2380" w:hanging="427"/>
        <w:spacing w:after="0"/>
        <w:tabs>
          <w:tab w:leader="none" w:pos="2380" w:val="left"/>
        </w:tabs>
        <w:numPr>
          <w:ilvl w:val="2"/>
          <w:numId w:val="259"/>
        </w:numPr>
        <w:rPr>
          <w:rFonts w:ascii="Arial" w:cs="Arial" w:eastAsia="Arial" w:hAnsi="Arial"/>
          <w:sz w:val="22"/>
          <w:szCs w:val="22"/>
          <w:color w:val="auto"/>
        </w:rPr>
      </w:pPr>
      <w:r>
        <w:rPr>
          <w:rFonts w:ascii="Arial" w:cs="Arial" w:eastAsia="Arial" w:hAnsi="Arial"/>
          <w:sz w:val="22"/>
          <w:szCs w:val="22"/>
          <w:color w:val="auto"/>
        </w:rPr>
        <w:t>not commingling its Assets with those of any other Person;</w:t>
      </w:r>
    </w:p>
    <w:p>
      <w:pPr>
        <w:spacing w:after="0" w:line="233" w:lineRule="exact"/>
        <w:rPr>
          <w:rFonts w:ascii="Arial" w:cs="Arial" w:eastAsia="Arial" w:hAnsi="Arial"/>
          <w:sz w:val="22"/>
          <w:szCs w:val="22"/>
          <w:color w:val="auto"/>
        </w:rPr>
      </w:pPr>
    </w:p>
    <w:p>
      <w:pPr>
        <w:ind w:left="2600" w:hanging="647"/>
        <w:spacing w:after="0"/>
        <w:tabs>
          <w:tab w:leader="none" w:pos="2600" w:val="left"/>
        </w:tabs>
        <w:numPr>
          <w:ilvl w:val="2"/>
          <w:numId w:val="259"/>
        </w:numPr>
        <w:rPr>
          <w:rFonts w:ascii="Arial" w:cs="Arial" w:eastAsia="Arial" w:hAnsi="Arial"/>
          <w:sz w:val="21"/>
          <w:szCs w:val="21"/>
          <w:color w:val="auto"/>
        </w:rPr>
      </w:pPr>
      <w:r>
        <w:rPr>
          <w:rFonts w:ascii="Arial" w:cs="Arial" w:eastAsia="Arial" w:hAnsi="Arial"/>
          <w:sz w:val="21"/>
          <w:szCs w:val="21"/>
          <w:color w:val="auto"/>
        </w:rPr>
        <w:t>observing all limited liability company formalities required in this Agreement and the Delaware</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Certificate;</w:t>
      </w:r>
    </w:p>
    <w:p>
      <w:pPr>
        <w:spacing w:after="0" w:line="215" w:lineRule="exact"/>
        <w:rPr>
          <w:rFonts w:ascii="Arial" w:cs="Arial" w:eastAsia="Arial" w:hAnsi="Arial"/>
          <w:sz w:val="21"/>
          <w:szCs w:val="21"/>
          <w:color w:val="auto"/>
        </w:rPr>
      </w:pPr>
    </w:p>
    <w:p>
      <w:pPr>
        <w:ind w:left="2500" w:hanging="547"/>
        <w:spacing w:after="0"/>
        <w:tabs>
          <w:tab w:leader="none" w:pos="2500" w:val="left"/>
        </w:tabs>
        <w:numPr>
          <w:ilvl w:val="2"/>
          <w:numId w:val="259"/>
        </w:numPr>
        <w:rPr>
          <w:rFonts w:ascii="Arial" w:cs="Arial" w:eastAsia="Arial" w:hAnsi="Arial"/>
          <w:sz w:val="22"/>
          <w:szCs w:val="22"/>
          <w:color w:val="auto"/>
        </w:rPr>
      </w:pPr>
      <w:r>
        <w:rPr>
          <w:rFonts w:ascii="Arial" w:cs="Arial" w:eastAsia="Arial" w:hAnsi="Arial"/>
          <w:sz w:val="22"/>
          <w:szCs w:val="22"/>
          <w:color w:val="auto"/>
        </w:rPr>
        <w:t>paying the salaries of its own employees, if any;</w:t>
      </w:r>
    </w:p>
    <w:p>
      <w:pPr>
        <w:spacing w:after="0" w:line="233" w:lineRule="exact"/>
        <w:rPr>
          <w:rFonts w:ascii="Arial" w:cs="Arial" w:eastAsia="Arial" w:hAnsi="Arial"/>
          <w:sz w:val="22"/>
          <w:szCs w:val="22"/>
          <w:color w:val="auto"/>
        </w:rPr>
      </w:pPr>
    </w:p>
    <w:p>
      <w:pPr>
        <w:ind w:left="2560" w:hanging="607"/>
        <w:spacing w:after="0"/>
        <w:tabs>
          <w:tab w:leader="none" w:pos="2560" w:val="left"/>
        </w:tabs>
        <w:numPr>
          <w:ilvl w:val="2"/>
          <w:numId w:val="259"/>
        </w:numPr>
        <w:rPr>
          <w:rFonts w:ascii="Arial" w:cs="Arial" w:eastAsia="Arial" w:hAnsi="Arial"/>
          <w:sz w:val="22"/>
          <w:szCs w:val="22"/>
          <w:color w:val="auto"/>
        </w:rPr>
      </w:pPr>
      <w:r>
        <w:rPr>
          <w:rFonts w:ascii="Arial" w:cs="Arial" w:eastAsia="Arial" w:hAnsi="Arial"/>
          <w:sz w:val="22"/>
          <w:szCs w:val="22"/>
          <w:color w:val="auto"/>
        </w:rPr>
        <w:t>not acquiring obligations of its Members, the Manager or their respective Affiliates;</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2"/>
          <w:numId w:val="259"/>
        </w:numPr>
        <w:rPr>
          <w:rFonts w:ascii="Arial" w:cs="Arial" w:eastAsia="Arial" w:hAnsi="Arial"/>
          <w:sz w:val="22"/>
          <w:szCs w:val="22"/>
          <w:color w:val="auto"/>
        </w:rPr>
      </w:pPr>
      <w:r>
        <w:rPr>
          <w:rFonts w:ascii="Arial" w:cs="Arial" w:eastAsia="Arial" w:hAnsi="Arial"/>
          <w:sz w:val="22"/>
          <w:szCs w:val="22"/>
          <w:color w:val="auto"/>
        </w:rPr>
        <w:t>holding itself out as a separate entity; and</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2"/>
          <w:numId w:val="259"/>
        </w:numPr>
        <w:rPr>
          <w:rFonts w:ascii="Arial" w:cs="Arial" w:eastAsia="Arial" w:hAnsi="Arial"/>
          <w:sz w:val="22"/>
          <w:szCs w:val="22"/>
          <w:color w:val="auto"/>
        </w:rPr>
      </w:pPr>
      <w:r>
        <w:rPr>
          <w:rFonts w:ascii="Arial" w:cs="Arial" w:eastAsia="Arial" w:hAnsi="Arial"/>
          <w:sz w:val="22"/>
          <w:szCs w:val="22"/>
          <w:color w:val="auto"/>
        </w:rPr>
        <w:t>correcting any known misunderstanding regarding its separate identity.</w:t>
      </w:r>
    </w:p>
    <w:p>
      <w:pPr>
        <w:spacing w:after="0" w:line="227"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8.3</w:t>
      </w:r>
      <w:r>
        <w:rPr>
          <w:sz w:val="20"/>
          <w:szCs w:val="20"/>
          <w:color w:val="auto"/>
        </w:rPr>
        <w:tab/>
      </w:r>
      <w:r>
        <w:rPr>
          <w:rFonts w:ascii="Arial" w:cs="Arial" w:eastAsia="Arial" w:hAnsi="Arial"/>
          <w:sz w:val="19"/>
          <w:szCs w:val="19"/>
          <w:b w:val="1"/>
          <w:bCs w:val="1"/>
          <w:u w:val="single" w:color="auto"/>
          <w:color w:val="auto"/>
        </w:rPr>
        <w:t>Information and Access Rights.</w:t>
      </w:r>
    </w:p>
    <w:p>
      <w:pPr>
        <w:spacing w:after="0" w:line="23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The Members and their respective agents also will have the right, at their sole risk and expense and upon reasonable prior notice to the Manager, to inspect the Projects, and the Company’s Assets no more than twice per Taxable Year and to audit, examine and make copies of all relevant documents, books and records of the Company. Any such inspection will be conducted during normal business hours and so as not to unreasonably interfere with the business of the Manager. The foregoing rights may be exercised through any agent or employee of such Member designated in writing by it or by an independent public accountant, engineer, attorney or other consultant so designated. Any inspection of Projects shall be subject to all restrictions and conditions included in the operating agreement of the applicable Subject Company.</w:t>
      </w:r>
    </w:p>
    <w:p>
      <w:pPr>
        <w:spacing w:after="0" w:line="175"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8.4</w:t>
      </w:r>
      <w:r>
        <w:rPr>
          <w:sz w:val="20"/>
          <w:szCs w:val="20"/>
          <w:color w:val="auto"/>
        </w:rPr>
        <w:tab/>
      </w:r>
      <w:r>
        <w:rPr>
          <w:rFonts w:ascii="Arial" w:cs="Arial" w:eastAsia="Arial" w:hAnsi="Arial"/>
          <w:sz w:val="19"/>
          <w:szCs w:val="19"/>
          <w:b w:val="1"/>
          <w:bCs w:val="1"/>
          <w:u w:val="single" w:color="auto"/>
          <w:color w:val="auto"/>
        </w:rPr>
        <w:t>Reports.</w:t>
      </w:r>
    </w:p>
    <w:p>
      <w:pPr>
        <w:spacing w:after="0" w:line="239"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The Manager shall, at the Company’s expense, deliver, or caused to be delivered, to each Member, the following reports, information and consolidated financial statements for the Company and its consolidated subsidiaries, at the times indicated</w:t>
      </w:r>
    </w:p>
    <w:p>
      <w:pPr>
        <w:sectPr>
          <w:pgSz w:w="11900" w:h="16974" w:orient="portrait"/>
          <w:cols w:equalWidth="0" w:num="1">
            <w:col w:w="11420"/>
          </w:cols>
          <w:pgMar w:left="240" w:top="334" w:right="239" w:bottom="0" w:gutter="0" w:footer="0" w:header="0"/>
        </w:sectPr>
      </w:pPr>
    </w:p>
    <w:bookmarkStart w:id="256" w:name="page257"/>
    <w:bookmarkEnd w:id="256"/>
    <w:p>
      <w:pPr>
        <w:spacing w:after="0"/>
        <w:rPr>
          <w:sz w:val="20"/>
          <w:szCs w:val="20"/>
          <w:color w:val="auto"/>
        </w:rPr>
      </w:pPr>
      <w:r>
        <w:rPr>
          <w:rFonts w:ascii="Arial" w:cs="Arial" w:eastAsia="Arial" w:hAnsi="Arial"/>
          <w:sz w:val="22"/>
          <w:szCs w:val="22"/>
          <w:color w:val="auto"/>
        </w:rPr>
        <w:t>below:</w:t>
      </w:r>
    </w:p>
    <w:p>
      <w:pPr>
        <w:spacing w:after="0" w:line="220" w:lineRule="exact"/>
        <w:rPr>
          <w:sz w:val="20"/>
          <w:szCs w:val="20"/>
          <w:color w:val="auto"/>
        </w:rPr>
      </w:pPr>
    </w:p>
    <w:p>
      <w:pPr>
        <w:jc w:val="both"/>
        <w:ind w:firstLine="1305"/>
        <w:spacing w:after="0" w:line="251" w:lineRule="auto"/>
        <w:tabs>
          <w:tab w:leader="none" w:pos="1784" w:val="left"/>
        </w:tabs>
        <w:numPr>
          <w:ilvl w:val="0"/>
          <w:numId w:val="260"/>
        </w:numPr>
        <w:rPr>
          <w:rFonts w:ascii="Arial" w:cs="Arial" w:eastAsia="Arial" w:hAnsi="Arial"/>
          <w:sz w:val="22"/>
          <w:szCs w:val="22"/>
          <w:color w:val="auto"/>
        </w:rPr>
      </w:pPr>
      <w:r>
        <w:rPr>
          <w:rFonts w:ascii="Arial" w:cs="Arial" w:eastAsia="Arial" w:hAnsi="Arial"/>
          <w:sz w:val="22"/>
          <w:szCs w:val="22"/>
          <w:color w:val="auto"/>
        </w:rPr>
        <w:t>Annually, within one hundred twenty (120) days after the end of each Fiscal Year (and, for the avoidance of doubt, the first such Fiscal Year for which financial statements shall be delivered shall be the Fiscal Year ending December 31, 2017), unaudited consolidated financial statements for the Company and its consolidated subsidiaries prepared on a GAAP basis effective as of the end of the immediately-preceding year, including a consolidated balance sheet and consolidated statements of income, members’ equity and changes in cash flows;</w:t>
      </w:r>
    </w:p>
    <w:p>
      <w:pPr>
        <w:spacing w:after="0" w:line="189" w:lineRule="exact"/>
        <w:rPr>
          <w:rFonts w:ascii="Arial" w:cs="Arial" w:eastAsia="Arial" w:hAnsi="Arial"/>
          <w:sz w:val="22"/>
          <w:szCs w:val="22"/>
          <w:color w:val="auto"/>
        </w:rPr>
      </w:pPr>
    </w:p>
    <w:p>
      <w:pPr>
        <w:ind w:left="1740" w:hanging="435"/>
        <w:spacing w:after="0"/>
        <w:tabs>
          <w:tab w:leader="none" w:pos="174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 xml:space="preserve">The Aggregate Tracking Model prepared pursuant to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300" w:lineRule="auto"/>
        <w:tabs>
          <w:tab w:leader="none" w:pos="1838" w:val="left"/>
        </w:tabs>
        <w:numPr>
          <w:ilvl w:val="0"/>
          <w:numId w:val="260"/>
        </w:numPr>
        <w:rPr>
          <w:rFonts w:ascii="Arial" w:cs="Arial" w:eastAsia="Arial" w:hAnsi="Arial"/>
          <w:sz w:val="19"/>
          <w:szCs w:val="19"/>
          <w:color w:val="auto"/>
        </w:rPr>
      </w:pPr>
      <w:r>
        <w:rPr>
          <w:rFonts w:ascii="Arial" w:cs="Arial" w:eastAsia="Arial" w:hAnsi="Arial"/>
          <w:sz w:val="19"/>
          <w:szCs w:val="19"/>
          <w:color w:val="auto"/>
        </w:rPr>
        <w:t>Quarterly within sixty (60) days after the end of each Fiscal Quarter other than the fourth Fiscal Quarter, unaudited quarterly consolidated financial statements of the Company and its consolidated subsidiaries for the Fiscal Quarter and portion of the Fiscal Year then ended (including a balance sheet, income statement, statement of cash flows and statement of changes in Member’s capital schedule) all in reasonable detail and fairly presenting the consolidated financial position of the Company as of the end of such quarter, prepared on a GAAP basis, subject to lack of footnotes and normal year-end adjustment;</w:t>
      </w:r>
    </w:p>
    <w:p>
      <w:pPr>
        <w:spacing w:after="0" w:line="147" w:lineRule="exact"/>
        <w:rPr>
          <w:rFonts w:ascii="Arial" w:cs="Arial" w:eastAsia="Arial" w:hAnsi="Arial"/>
          <w:sz w:val="19"/>
          <w:szCs w:val="19"/>
          <w:color w:val="auto"/>
        </w:rPr>
      </w:pPr>
    </w:p>
    <w:p>
      <w:pPr>
        <w:jc w:val="both"/>
        <w:ind w:firstLine="1305"/>
        <w:spacing w:after="0" w:line="260" w:lineRule="auto"/>
        <w:tabs>
          <w:tab w:leader="none" w:pos="1769" w:val="left"/>
        </w:tabs>
        <w:numPr>
          <w:ilvl w:val="0"/>
          <w:numId w:val="260"/>
        </w:numPr>
        <w:rPr>
          <w:rFonts w:ascii="Arial" w:cs="Arial" w:eastAsia="Arial" w:hAnsi="Arial"/>
          <w:sz w:val="22"/>
          <w:szCs w:val="22"/>
          <w:color w:val="auto"/>
        </w:rPr>
      </w:pPr>
      <w:r>
        <w:rPr>
          <w:rFonts w:ascii="Arial" w:cs="Arial" w:eastAsia="Arial" w:hAnsi="Arial"/>
          <w:sz w:val="22"/>
          <w:szCs w:val="22"/>
          <w:color w:val="auto"/>
        </w:rPr>
        <w:t>Promptly following any request therefor, such other reports and information in the possession of the Manager as reasonably requested by the Members and such other reports reasonably requested by and paid for by the requesting Member to the extent external costs are incurred with respect to the preparation of such reports;</w:t>
      </w:r>
    </w:p>
    <w:p>
      <w:pPr>
        <w:spacing w:after="0" w:line="177" w:lineRule="exact"/>
        <w:rPr>
          <w:rFonts w:ascii="Arial" w:cs="Arial" w:eastAsia="Arial" w:hAnsi="Arial"/>
          <w:sz w:val="22"/>
          <w:szCs w:val="22"/>
          <w:color w:val="auto"/>
        </w:rPr>
      </w:pPr>
    </w:p>
    <w:p>
      <w:pPr>
        <w:ind w:firstLine="1305"/>
        <w:spacing w:after="0" w:line="276" w:lineRule="auto"/>
        <w:tabs>
          <w:tab w:leader="none" w:pos="1838" w:val="left"/>
        </w:tabs>
        <w:numPr>
          <w:ilvl w:val="0"/>
          <w:numId w:val="260"/>
        </w:numPr>
        <w:rPr>
          <w:rFonts w:ascii="Arial" w:cs="Arial" w:eastAsia="Arial" w:hAnsi="Arial"/>
          <w:sz w:val="22"/>
          <w:szCs w:val="22"/>
          <w:color w:val="auto"/>
        </w:rPr>
      </w:pPr>
      <w:r>
        <w:rPr>
          <w:rFonts w:ascii="Arial" w:cs="Arial" w:eastAsia="Arial" w:hAnsi="Arial"/>
          <w:sz w:val="22"/>
          <w:szCs w:val="22"/>
          <w:color w:val="auto"/>
        </w:rPr>
        <w:t xml:space="preserve">Copies of all material reports or (without duplication of any other provisions of this </w:t>
      </w:r>
      <w:r>
        <w:rPr>
          <w:rFonts w:ascii="Arial" w:cs="Arial" w:eastAsia="Arial" w:hAnsi="Arial"/>
          <w:sz w:val="22"/>
          <w:szCs w:val="22"/>
          <w:u w:val="single" w:color="auto"/>
          <w:color w:val="auto"/>
        </w:rPr>
        <w:t>Section 8.4</w:t>
      </w:r>
      <w:r>
        <w:rPr>
          <w:rFonts w:ascii="Arial" w:cs="Arial" w:eastAsia="Arial" w:hAnsi="Arial"/>
          <w:sz w:val="22"/>
          <w:szCs w:val="22"/>
          <w:color w:val="auto"/>
        </w:rPr>
        <w:t>) material notices delivered to or by the Company or any Subject Company under any Project Document;</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99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Within thirty (30) days after renewal, certificates of insurance evidencing fire, liabilities, workers’ compensation and other forms of insurance owned or held by or on behalf of the Company or the Subject Companies, and promptly following receipt, any notices of nonpayment of premium, nonrenewal or cancellation; and</w:t>
      </w:r>
    </w:p>
    <w:p>
      <w:pPr>
        <w:spacing w:after="0" w:line="177" w:lineRule="exact"/>
        <w:rPr>
          <w:rFonts w:ascii="Arial" w:cs="Arial" w:eastAsia="Arial" w:hAnsi="Arial"/>
          <w:sz w:val="22"/>
          <w:szCs w:val="22"/>
          <w:color w:val="auto"/>
        </w:rPr>
      </w:pPr>
    </w:p>
    <w:p>
      <w:pPr>
        <w:jc w:val="both"/>
        <w:ind w:firstLine="1305"/>
        <w:spacing w:after="0" w:line="266" w:lineRule="auto"/>
        <w:tabs>
          <w:tab w:leader="none" w:pos="1796" w:val="left"/>
        </w:tabs>
        <w:numPr>
          <w:ilvl w:val="0"/>
          <w:numId w:val="260"/>
        </w:numPr>
        <w:rPr>
          <w:rFonts w:ascii="Arial" w:cs="Arial" w:eastAsia="Arial" w:hAnsi="Arial"/>
          <w:sz w:val="21"/>
          <w:szCs w:val="21"/>
          <w:color w:val="auto"/>
        </w:rPr>
      </w:pPr>
      <w:r>
        <w:rPr>
          <w:rFonts w:ascii="Arial" w:cs="Arial" w:eastAsia="Arial" w:hAnsi="Arial"/>
          <w:sz w:val="21"/>
          <w:szCs w:val="21"/>
          <w:color w:val="auto"/>
        </w:rPr>
        <w:t>Promptly after execution thereof, a copy of: (i) any amendment, modification, waiver or termination of any Fund Document, (ii) any new, or substitution or replacement of a Fund Document; (iii) any new Contract between the Company or any Subject Company and an Affiliate thereof and any amendment or modification of any existing Contract between the Company or any Subject Company and an Affiliate thereof; and (iv) any new Contract having a term in excess of one year, or providing for payments by, or revenues to, the Company or any Subject Company in excess of $2,000,000.</w:t>
      </w:r>
    </w:p>
    <w:p>
      <w:pPr>
        <w:spacing w:after="0" w:line="168"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8.5</w:t>
      </w:r>
      <w:r>
        <w:rPr>
          <w:sz w:val="20"/>
          <w:szCs w:val="20"/>
          <w:color w:val="auto"/>
        </w:rPr>
        <w:tab/>
      </w:r>
      <w:r>
        <w:rPr>
          <w:rFonts w:ascii="Arial" w:cs="Arial" w:eastAsia="Arial" w:hAnsi="Arial"/>
          <w:sz w:val="19"/>
          <w:szCs w:val="19"/>
          <w:b w:val="1"/>
          <w:bCs w:val="1"/>
          <w:u w:val="single" w:color="auto"/>
          <w:color w:val="auto"/>
        </w:rPr>
        <w:t>Permitted Investments.</w:t>
      </w:r>
    </w:p>
    <w:p>
      <w:pPr>
        <w:spacing w:after="0" w:line="239" w:lineRule="exact"/>
        <w:rPr>
          <w:sz w:val="20"/>
          <w:szCs w:val="20"/>
          <w:color w:val="auto"/>
        </w:rPr>
      </w:pPr>
    </w:p>
    <w:p>
      <w:pPr>
        <w:ind w:firstLine="1305"/>
        <w:spacing w:after="0" w:line="276" w:lineRule="auto"/>
        <w:tabs>
          <w:tab w:leader="none" w:pos="1757" w:val="left"/>
        </w:tabs>
        <w:numPr>
          <w:ilvl w:val="1"/>
          <w:numId w:val="261"/>
        </w:numPr>
        <w:rPr>
          <w:rFonts w:ascii="Arial" w:cs="Arial" w:eastAsia="Arial" w:hAnsi="Arial"/>
          <w:sz w:val="22"/>
          <w:szCs w:val="22"/>
          <w:color w:val="auto"/>
        </w:rPr>
      </w:pPr>
      <w:r>
        <w:rPr>
          <w:rFonts w:ascii="Arial" w:cs="Arial" w:eastAsia="Arial" w:hAnsi="Arial"/>
          <w:sz w:val="22"/>
          <w:szCs w:val="22"/>
          <w:color w:val="auto"/>
        </w:rPr>
        <w:t>All cash of the Company may only be invested and reinvested in one of the following investment alternatives (“</w:t>
      </w:r>
      <w:r>
        <w:rPr>
          <w:rFonts w:ascii="Arial" w:cs="Arial" w:eastAsia="Arial" w:hAnsi="Arial"/>
          <w:sz w:val="22"/>
          <w:szCs w:val="22"/>
          <w:b w:val="1"/>
          <w:bCs w:val="1"/>
          <w:color w:val="auto"/>
        </w:rPr>
        <w:t>Permitted Investments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60" w:firstLine="1293"/>
        <w:spacing w:after="0" w:line="278" w:lineRule="auto"/>
        <w:tabs>
          <w:tab w:leader="none" w:pos="2394" w:val="left"/>
        </w:tabs>
        <w:numPr>
          <w:ilvl w:val="2"/>
          <w:numId w:val="261"/>
        </w:numPr>
        <w:rPr>
          <w:rFonts w:ascii="Arial" w:cs="Arial" w:eastAsia="Arial" w:hAnsi="Arial"/>
          <w:sz w:val="21"/>
          <w:szCs w:val="21"/>
          <w:color w:val="auto"/>
        </w:rPr>
      </w:pPr>
      <w:r>
        <w:rPr>
          <w:rFonts w:ascii="Arial" w:cs="Arial" w:eastAsia="Arial" w:hAnsi="Arial"/>
          <w:sz w:val="21"/>
          <w:szCs w:val="21"/>
          <w:color w:val="auto"/>
        </w:rPr>
        <w:t>Direct obligations of the United States of America (including obligations issued or held in book-entry form on the books of the Department of the Treasury of the United States of America) or obligations the timely payment of the principal of and interest on which are fully guaranteed by the United States of America;</w:t>
      </w:r>
    </w:p>
    <w:p>
      <w:pPr>
        <w:spacing w:after="0" w:line="160" w:lineRule="exact"/>
        <w:rPr>
          <w:rFonts w:ascii="Arial" w:cs="Arial" w:eastAsia="Arial" w:hAnsi="Arial"/>
          <w:sz w:val="21"/>
          <w:szCs w:val="21"/>
          <w:color w:val="auto"/>
        </w:rPr>
      </w:pPr>
    </w:p>
    <w:p>
      <w:pPr>
        <w:jc w:val="both"/>
        <w:ind w:left="660" w:firstLine="1293"/>
        <w:spacing w:after="0" w:line="260" w:lineRule="auto"/>
        <w:tabs>
          <w:tab w:leader="none" w:pos="2482" w:val="left"/>
        </w:tabs>
        <w:numPr>
          <w:ilvl w:val="2"/>
          <w:numId w:val="261"/>
        </w:numPr>
        <w:rPr>
          <w:rFonts w:ascii="Arial" w:cs="Arial" w:eastAsia="Arial" w:hAnsi="Arial"/>
          <w:sz w:val="22"/>
          <w:szCs w:val="22"/>
          <w:color w:val="auto"/>
        </w:rPr>
      </w:pPr>
      <w:r>
        <w:rPr>
          <w:rFonts w:ascii="Arial" w:cs="Arial" w:eastAsia="Arial" w:hAnsi="Arial"/>
          <w:sz w:val="22"/>
          <w:szCs w:val="22"/>
          <w:color w:val="auto"/>
        </w:rPr>
        <w:t>Obligations, debentures, notes or other evidence of Indebtedness issued or guaranteed by any of the following: Export-Import Bank of the United States, Federal Housing Administration or other agency or instrumentality of the United States;</w:t>
      </w:r>
    </w:p>
    <w:p>
      <w:pPr>
        <w:spacing w:after="0" w:line="177" w:lineRule="exact"/>
        <w:rPr>
          <w:rFonts w:ascii="Arial" w:cs="Arial" w:eastAsia="Arial" w:hAnsi="Arial"/>
          <w:sz w:val="22"/>
          <w:szCs w:val="22"/>
          <w:color w:val="auto"/>
        </w:rPr>
      </w:pPr>
    </w:p>
    <w:p>
      <w:pPr>
        <w:jc w:val="both"/>
        <w:ind w:left="660" w:firstLine="1293"/>
        <w:spacing w:after="0" w:line="251" w:lineRule="auto"/>
        <w:tabs>
          <w:tab w:leader="none" w:pos="2501" w:val="left"/>
        </w:tabs>
        <w:numPr>
          <w:ilvl w:val="2"/>
          <w:numId w:val="261"/>
        </w:numPr>
        <w:rPr>
          <w:rFonts w:ascii="Arial" w:cs="Arial" w:eastAsia="Arial" w:hAnsi="Arial"/>
          <w:sz w:val="22"/>
          <w:szCs w:val="22"/>
          <w:color w:val="auto"/>
        </w:rPr>
      </w:pPr>
      <w:r>
        <w:rPr>
          <w:rFonts w:ascii="Arial" w:cs="Arial" w:eastAsia="Arial" w:hAnsi="Arial"/>
          <w:sz w:val="22"/>
          <w:szCs w:val="22"/>
          <w:color w:val="auto"/>
        </w:rPr>
        <w:t xml:space="preserve">Interest-bearing demand or time deposits (including certificates of deposit) that are either (A) insured by the Federal Deposit Insurance Corporation, or (B) held in banks and savings and loan associations, having general obligations rated at least “A-” or equivalent by S&amp;P and Moody’s, or if not so rated, secured at all times, in the manner and to the extent provided by Law, by collateral security described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8.5(a)</w:t>
      </w:r>
      <w:r>
        <w:rPr>
          <w:rFonts w:ascii="Arial" w:cs="Arial" w:eastAsia="Arial" w:hAnsi="Arial"/>
          <w:sz w:val="22"/>
          <w:szCs w:val="22"/>
          <w:color w:val="auto"/>
        </w:rPr>
        <w:t>, of a market value of no less than the amount of moneys so invested;</w:t>
      </w:r>
    </w:p>
    <w:p>
      <w:pPr>
        <w:spacing w:after="0" w:line="189" w:lineRule="exact"/>
        <w:rPr>
          <w:rFonts w:ascii="Arial" w:cs="Arial" w:eastAsia="Arial" w:hAnsi="Arial"/>
          <w:sz w:val="22"/>
          <w:szCs w:val="22"/>
          <w:color w:val="auto"/>
        </w:rPr>
      </w:pPr>
    </w:p>
    <w:p>
      <w:pPr>
        <w:ind w:left="660" w:firstLine="1293"/>
        <w:spacing w:after="0" w:line="276" w:lineRule="auto"/>
        <w:tabs>
          <w:tab w:leader="none" w:pos="2489" w:val="left"/>
        </w:tabs>
        <w:numPr>
          <w:ilvl w:val="2"/>
          <w:numId w:val="261"/>
        </w:numPr>
        <w:rPr>
          <w:rFonts w:ascii="Arial" w:cs="Arial" w:eastAsia="Arial" w:hAnsi="Arial"/>
          <w:sz w:val="22"/>
          <w:szCs w:val="22"/>
          <w:color w:val="auto"/>
        </w:rPr>
      </w:pPr>
      <w:r>
        <w:rPr>
          <w:rFonts w:ascii="Arial" w:cs="Arial" w:eastAsia="Arial" w:hAnsi="Arial"/>
          <w:sz w:val="22"/>
          <w:szCs w:val="22"/>
          <w:color w:val="auto"/>
        </w:rPr>
        <w:t>Obligations of any state of the United States or any agency or instrumentality of any of the foregoing which are rated at least “AA” by S&amp;P or at least “Aa” by Moody’s;</w:t>
      </w:r>
    </w:p>
    <w:p>
      <w:pPr>
        <w:spacing w:after="0" w:line="160" w:lineRule="exact"/>
        <w:rPr>
          <w:rFonts w:ascii="Arial" w:cs="Arial" w:eastAsia="Arial" w:hAnsi="Arial"/>
          <w:sz w:val="22"/>
          <w:szCs w:val="22"/>
          <w:color w:val="auto"/>
        </w:rPr>
      </w:pPr>
    </w:p>
    <w:p>
      <w:pPr>
        <w:jc w:val="both"/>
        <w:ind w:left="660" w:firstLine="1293"/>
        <w:spacing w:after="0" w:line="293" w:lineRule="auto"/>
        <w:tabs>
          <w:tab w:leader="none" w:pos="2470" w:val="left"/>
        </w:tabs>
        <w:numPr>
          <w:ilvl w:val="2"/>
          <w:numId w:val="261"/>
        </w:numPr>
        <w:rPr>
          <w:rFonts w:ascii="Arial" w:cs="Arial" w:eastAsia="Arial" w:hAnsi="Arial"/>
          <w:sz w:val="19"/>
          <w:szCs w:val="19"/>
          <w:color w:val="auto"/>
        </w:rPr>
      </w:pPr>
      <w:r>
        <w:rPr>
          <w:rFonts w:ascii="Arial" w:cs="Arial" w:eastAsia="Arial" w:hAnsi="Arial"/>
          <w:sz w:val="19"/>
          <w:szCs w:val="19"/>
          <w:color w:val="auto"/>
        </w:rPr>
        <w:t>Commercial paper rated (on the date of acquisition thereof) at least “A-1” or “P-1” or equivalent by S&amp;P or Moody’s, respectively (or an equivalent rating by another nationally recognized credit rating agency of similar standing if neither of such corporations is then in the business of rating commercial paper), maturing not more than ninety</w:t>
      </w:r>
    </w:p>
    <w:p>
      <w:pPr>
        <w:spacing w:after="0" w:line="1" w:lineRule="exact"/>
        <w:rPr>
          <w:rFonts w:ascii="Arial" w:cs="Arial" w:eastAsia="Arial" w:hAnsi="Arial"/>
          <w:sz w:val="19"/>
          <w:szCs w:val="19"/>
          <w:color w:val="auto"/>
        </w:rPr>
      </w:pPr>
    </w:p>
    <w:p>
      <w:pPr>
        <w:ind w:left="660" w:right="20" w:hanging="4"/>
        <w:spacing w:after="0" w:line="246" w:lineRule="auto"/>
        <w:tabs>
          <w:tab w:leader="none" w:pos="1075" w:val="left"/>
        </w:tabs>
        <w:numPr>
          <w:ilvl w:val="0"/>
          <w:numId w:val="262"/>
        </w:numPr>
        <w:rPr>
          <w:rFonts w:ascii="Arial" w:cs="Arial" w:eastAsia="Arial" w:hAnsi="Arial"/>
          <w:sz w:val="22"/>
          <w:szCs w:val="22"/>
          <w:color w:val="auto"/>
        </w:rPr>
      </w:pPr>
      <w:r>
        <w:rPr>
          <w:rFonts w:ascii="Arial" w:cs="Arial" w:eastAsia="Arial" w:hAnsi="Arial"/>
          <w:sz w:val="22"/>
          <w:szCs w:val="22"/>
          <w:color w:val="auto"/>
        </w:rPr>
        <w:t>days from the date of creation thereof but excluding any such commercial paper issued by any Member or any Affiliate of the Manager;</w:t>
      </w:r>
    </w:p>
    <w:p>
      <w:pPr>
        <w:spacing w:after="0" w:line="192" w:lineRule="exact"/>
        <w:rPr>
          <w:rFonts w:ascii="Arial" w:cs="Arial" w:eastAsia="Arial" w:hAnsi="Arial"/>
          <w:sz w:val="22"/>
          <w:szCs w:val="22"/>
          <w:color w:val="auto"/>
        </w:rPr>
      </w:pPr>
    </w:p>
    <w:p>
      <w:pPr>
        <w:jc w:val="both"/>
        <w:ind w:left="660" w:firstLine="1293"/>
        <w:spacing w:after="0" w:line="307" w:lineRule="auto"/>
        <w:tabs>
          <w:tab w:leader="none" w:pos="2516" w:val="left"/>
        </w:tabs>
        <w:numPr>
          <w:ilvl w:val="2"/>
          <w:numId w:val="262"/>
        </w:numPr>
        <w:rPr>
          <w:rFonts w:ascii="Arial" w:cs="Arial" w:eastAsia="Arial" w:hAnsi="Arial"/>
          <w:sz w:val="19"/>
          <w:szCs w:val="19"/>
          <w:color w:val="auto"/>
        </w:rPr>
      </w:pPr>
      <w:r>
        <w:rPr>
          <w:rFonts w:ascii="Arial" w:cs="Arial" w:eastAsia="Arial" w:hAnsi="Arial"/>
          <w:sz w:val="19"/>
          <w:szCs w:val="19"/>
          <w:color w:val="auto"/>
        </w:rPr>
        <w:t>Money market mutual funds that are registered with the Securities and Exchange Commission under the Investment Company Act of 1940, as amended, and operated in accordance with Rule 2a-7 and that at the time of such investment are rated “Aaa” by Moody’s and/or “AAA” by S&amp;P, including such funds for which the Trustee or an affiliate provides investment advice or other services, each of which must have capital in excess of $500,000,000 and at no point in</w:t>
      </w:r>
    </w:p>
    <w:p>
      <w:pPr>
        <w:sectPr>
          <w:pgSz w:w="11900" w:h="16838" w:orient="portrait"/>
          <w:cols w:equalWidth="0" w:num="1">
            <w:col w:w="11420"/>
          </w:cols>
          <w:pgMar w:left="240" w:top="132" w:right="239" w:bottom="0" w:gutter="0" w:footer="0" w:header="0"/>
        </w:sectPr>
      </w:pPr>
    </w:p>
    <w:bookmarkStart w:id="257" w:name="page258"/>
    <w:bookmarkEnd w:id="257"/>
    <w:p>
      <w:pPr>
        <w:ind w:left="660"/>
        <w:spacing w:after="0" w:line="263" w:lineRule="auto"/>
        <w:rPr>
          <w:sz w:val="20"/>
          <w:szCs w:val="20"/>
          <w:color w:val="auto"/>
        </w:rPr>
      </w:pPr>
      <w:r>
        <w:rPr>
          <w:rFonts w:ascii="Arial" w:cs="Arial" w:eastAsia="Arial" w:hAnsi="Arial"/>
          <w:sz w:val="22"/>
          <w:szCs w:val="22"/>
          <w:color w:val="auto"/>
        </w:rPr>
        <w:t xml:space="preserve">time will aggregate investments under this </w:t>
      </w:r>
      <w:r>
        <w:rPr>
          <w:rFonts w:ascii="Arial" w:cs="Arial" w:eastAsia="Arial" w:hAnsi="Arial"/>
          <w:sz w:val="22"/>
          <w:szCs w:val="22"/>
          <w:u w:val="single" w:color="auto"/>
          <w:color w:val="auto"/>
        </w:rPr>
        <w:t>Section 8.5(a)(vi)</w:t>
      </w:r>
      <w:r>
        <w:rPr>
          <w:rFonts w:ascii="Arial" w:cs="Arial" w:eastAsia="Arial" w:hAnsi="Arial"/>
          <w:sz w:val="22"/>
          <w:szCs w:val="22"/>
          <w:color w:val="auto"/>
        </w:rPr>
        <w:t xml:space="preserve"> constitute more than five percent (5%) of any such fund’s capital; or</w:t>
      </w:r>
    </w:p>
    <w:p>
      <w:pPr>
        <w:spacing w:after="0" w:line="175"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(vii)</w:t>
      </w:r>
      <w:r>
        <w:rPr>
          <w:sz w:val="20"/>
          <w:szCs w:val="20"/>
          <w:color w:val="auto"/>
        </w:rPr>
        <w:tab/>
      </w:r>
      <w:r>
        <w:rPr>
          <w:rFonts w:ascii="Arial" w:cs="Arial" w:eastAsia="Arial" w:hAnsi="Arial"/>
          <w:sz w:val="19"/>
          <w:szCs w:val="19"/>
          <w:color w:val="auto"/>
        </w:rPr>
        <w:t>Any other investments agreed to by the Members and the Manager.</w:t>
      </w:r>
    </w:p>
    <w:p>
      <w:pPr>
        <w:spacing w:after="0" w:line="227"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8.6</w:t>
      </w:r>
      <w:r>
        <w:rPr>
          <w:sz w:val="20"/>
          <w:szCs w:val="20"/>
          <w:color w:val="auto"/>
        </w:rPr>
        <w:tab/>
      </w:r>
      <w:r>
        <w:rPr>
          <w:rFonts w:ascii="Arial" w:cs="Arial" w:eastAsia="Arial" w:hAnsi="Arial"/>
          <w:sz w:val="19"/>
          <w:szCs w:val="19"/>
          <w:b w:val="1"/>
          <w:bCs w:val="1"/>
          <w:u w:val="single" w:color="auto"/>
          <w:color w:val="auto"/>
        </w:rPr>
        <w:t>Tax Elections.</w:t>
      </w:r>
    </w:p>
    <w:p>
      <w:pPr>
        <w:spacing w:after="0" w:line="239" w:lineRule="exact"/>
        <w:rPr>
          <w:sz w:val="20"/>
          <w:szCs w:val="20"/>
          <w:color w:val="auto"/>
        </w:rPr>
      </w:pPr>
    </w:p>
    <w:p>
      <w:pPr>
        <w:ind w:left="1720" w:hanging="415"/>
        <w:spacing w:after="0"/>
        <w:tabs>
          <w:tab w:leader="none" w:pos="172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The Manager shall make the following federal income tax elections on the appropriate Company tax returns:</w:t>
      </w:r>
    </w:p>
    <w:p>
      <w:pPr>
        <w:spacing w:after="0" w:line="267" w:lineRule="exact"/>
        <w:rPr>
          <w:rFonts w:ascii="Arial" w:cs="Arial" w:eastAsia="Arial" w:hAnsi="Arial"/>
          <w:sz w:val="19"/>
          <w:szCs w:val="19"/>
          <w:color w:val="auto"/>
        </w:rPr>
      </w:pPr>
    </w:p>
    <w:p>
      <w:pPr>
        <w:ind w:left="2400" w:hanging="447"/>
        <w:spacing w:after="0"/>
        <w:tabs>
          <w:tab w:leader="none" w:pos="2400" w:val="left"/>
        </w:tabs>
        <w:numPr>
          <w:ilvl w:val="1"/>
          <w:numId w:val="263"/>
        </w:numPr>
        <w:rPr>
          <w:rFonts w:ascii="Arial" w:cs="Arial" w:eastAsia="Arial" w:hAnsi="Arial"/>
          <w:sz w:val="19"/>
          <w:szCs w:val="19"/>
          <w:color w:val="auto"/>
        </w:rPr>
      </w:pPr>
      <w:r>
        <w:rPr>
          <w:rFonts w:ascii="Arial" w:cs="Arial" w:eastAsia="Arial" w:hAnsi="Arial"/>
          <w:sz w:val="19"/>
          <w:szCs w:val="19"/>
          <w:color w:val="auto"/>
        </w:rPr>
        <w:t>To the extent permitted under Code Section 706, to elect the calendar year as the Company’s Taxable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Year;</w:t>
      </w:r>
    </w:p>
    <w:p>
      <w:pPr>
        <w:spacing w:after="0" w:line="215" w:lineRule="exact"/>
        <w:rPr>
          <w:sz w:val="20"/>
          <w:szCs w:val="20"/>
          <w:color w:val="auto"/>
        </w:rPr>
      </w:pPr>
    </w:p>
    <w:p>
      <w:pPr>
        <w:ind w:left="2400" w:hanging="447"/>
        <w:spacing w:after="0"/>
        <w:tabs>
          <w:tab w:leader="none" w:pos="2400"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To elect the accrual method of accounting;</w:t>
      </w:r>
    </w:p>
    <w:p>
      <w:pPr>
        <w:spacing w:after="0" w:line="233" w:lineRule="exact"/>
        <w:rPr>
          <w:rFonts w:ascii="Arial" w:cs="Arial" w:eastAsia="Arial" w:hAnsi="Arial"/>
          <w:sz w:val="22"/>
          <w:szCs w:val="22"/>
          <w:color w:val="auto"/>
        </w:rPr>
      </w:pPr>
    </w:p>
    <w:p>
      <w:pPr>
        <w:ind w:left="660" w:firstLine="1293"/>
        <w:spacing w:after="0" w:line="276" w:lineRule="auto"/>
        <w:tabs>
          <w:tab w:leader="none" w:pos="2488"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To elect to amortize any organizational and start-up expenses of the Company ratably over a period of one hundred eighty (180) months as permitted by Code Section 709(b);</w:t>
      </w:r>
    </w:p>
    <w:p>
      <w:pPr>
        <w:spacing w:after="0" w:line="160" w:lineRule="exact"/>
        <w:rPr>
          <w:rFonts w:ascii="Arial" w:cs="Arial" w:eastAsia="Arial" w:hAnsi="Arial"/>
          <w:sz w:val="22"/>
          <w:szCs w:val="22"/>
          <w:color w:val="auto"/>
        </w:rPr>
      </w:pPr>
    </w:p>
    <w:p>
      <w:pPr>
        <w:jc w:val="both"/>
        <w:ind w:left="660" w:firstLine="1293"/>
        <w:spacing w:after="0" w:line="307" w:lineRule="auto"/>
        <w:tabs>
          <w:tab w:leader="none" w:pos="257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If a valid election to adjust the basis of the Company’s properties under Code Section 754 is not already in effect, to elect and to reelect, as necessary, pursuant to Code Section 754, to adjust the basis of the Company’s properties, including for any Taxable Year in which a distribution of the Company’s property as described in Code Section 734 occurs, or a transfer of a Membership Interest as described in Section 743 of the Code occurs;</w:t>
      </w:r>
    </w:p>
    <w:p>
      <w:pPr>
        <w:spacing w:after="0" w:line="138" w:lineRule="exact"/>
        <w:rPr>
          <w:rFonts w:ascii="Arial" w:cs="Arial" w:eastAsia="Arial" w:hAnsi="Arial"/>
          <w:sz w:val="19"/>
          <w:szCs w:val="19"/>
          <w:color w:val="auto"/>
        </w:rPr>
      </w:pPr>
    </w:p>
    <w:p>
      <w:pPr>
        <w:jc w:val="both"/>
        <w:ind w:left="660" w:firstLine="1293"/>
        <w:spacing w:after="0" w:line="263" w:lineRule="exact"/>
        <w:tabs>
          <w:tab w:leader="none" w:pos="2524" w:val="left"/>
        </w:tabs>
        <w:numPr>
          <w:ilvl w:val="0"/>
          <w:numId w:val="264"/>
        </w:numPr>
        <w:rPr>
          <w:rFonts w:ascii="Arial" w:cs="Arial" w:eastAsia="Arial" w:hAnsi="Arial"/>
          <w:sz w:val="19"/>
          <w:szCs w:val="19"/>
          <w:color w:val="auto"/>
        </w:rPr>
      </w:pPr>
      <w:r>
        <w:rPr>
          <w:rFonts w:ascii="Arial" w:cs="Arial" w:eastAsia="Arial" w:hAnsi="Arial"/>
          <w:sz w:val="19"/>
          <w:szCs w:val="19"/>
          <w:color w:val="auto"/>
        </w:rPr>
        <w:t>The Company shall file an election under Section 6231(a)(1)(B)(ii) of the Code and the Treasury Regulations thereunder to treat the Company as a partnership to which the provisions of Sections 6221 through 6234 of the Code, inclusive, apply, which election shall be made from time to time in the manner and at the time required by Treasury Regulations Section 301.6231(a)(1)</w:t>
      </w:r>
      <w:r>
        <w:rPr>
          <w:rFonts w:ascii="MS PGothic" w:cs="MS PGothic" w:eastAsia="MS PGothic" w:hAnsi="MS PGothic"/>
          <w:sz w:val="19"/>
          <w:szCs w:val="19"/>
          <w:color w:val="auto"/>
        </w:rPr>
        <w:t>‑</w:t>
      </w:r>
      <w:r>
        <w:rPr>
          <w:rFonts w:ascii="Arial" w:cs="Arial" w:eastAsia="Arial" w:hAnsi="Arial"/>
          <w:sz w:val="19"/>
          <w:szCs w:val="19"/>
          <w:color w:val="auto"/>
        </w:rPr>
        <w:t>1 so that the Company is subject to the TEFRA unified audit rules contained in Section 6221 through 6234 of the Code for all Taxable Years ending after the Effective Date; and</w:t>
      </w:r>
    </w:p>
    <w:p>
      <w:pPr>
        <w:spacing w:after="0" w:line="202" w:lineRule="exact"/>
        <w:rPr>
          <w:sz w:val="20"/>
          <w:szCs w:val="20"/>
          <w:color w:val="auto"/>
        </w:rPr>
      </w:pPr>
    </w:p>
    <w:p>
      <w:pPr>
        <w:jc w:val="both"/>
        <w:spacing w:after="0" w:line="262" w:lineRule="exact"/>
        <w:rPr>
          <w:sz w:val="20"/>
          <w:szCs w:val="20"/>
          <w:color w:val="auto"/>
        </w:rPr>
      </w:pPr>
      <w:r>
        <w:rPr>
          <w:rFonts w:ascii="Arial" w:cs="Arial" w:eastAsia="Arial" w:hAnsi="Arial"/>
          <w:sz w:val="19"/>
          <w:szCs w:val="19"/>
          <w:color w:val="auto"/>
        </w:rPr>
        <w:t>The Manager shall not make, or cause the Company or any Subject Company (to the extent the Company has (directly or indirectly) management authority for any Subject Company) to make, any tax election for the Company or any Subject Company, except as otherwise provided herein, without the Consent of the Members if such tax election would materially affect the economic consequences to the Class A Members as set forth in any of the Fund Base Case Models. The Manager, with the Consent of the Members, may elect to extend the time for filing any Company tax return as provided for under the Code and applicable state statutes. Neither the Company nor any Member may make an election for the Company to be excluded from the application of the provisions of subchapter K of chapter 1 of subtitle A of the Code or any similar provisions of applicable state Law. No Member, Manager, officer or agent of the Company is authorized to, or may, file IRS Form 8832 (or alternative or successor form) to elect to have the Company or any Subject Company classified as an association taxable as a corporation for federal income tax purposes under Treasury Regulations Section 301.7701</w:t>
      </w:r>
      <w:r>
        <w:rPr>
          <w:rFonts w:ascii="MS PGothic" w:cs="MS PGothic" w:eastAsia="MS PGothic" w:hAnsi="MS PGothic"/>
          <w:sz w:val="19"/>
          <w:szCs w:val="19"/>
          <w:color w:val="auto"/>
        </w:rPr>
        <w:t>‑</w:t>
      </w:r>
      <w:r>
        <w:rPr>
          <w:rFonts w:ascii="Arial" w:cs="Arial" w:eastAsia="Arial" w:hAnsi="Arial"/>
          <w:sz w:val="19"/>
          <w:szCs w:val="19"/>
          <w:color w:val="auto"/>
        </w:rPr>
        <w:t>3. The Manager and each Member shall, in addition, affirmatively take such action within its control as may be necessary or required to maintain the status of the Company as a partnership for federal, state and local income tax purposes.</w:t>
      </w:r>
    </w:p>
    <w:p>
      <w:pPr>
        <w:spacing w:after="0" w:line="200" w:lineRule="exact"/>
        <w:rPr>
          <w:sz w:val="20"/>
          <w:szCs w:val="20"/>
          <w:color w:val="auto"/>
        </w:rPr>
      </w:pPr>
    </w:p>
    <w:p>
      <w:pPr>
        <w:spacing w:after="0" w:line="215"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8.7</w:t>
      </w:r>
      <w:r>
        <w:rPr>
          <w:sz w:val="20"/>
          <w:szCs w:val="20"/>
          <w:color w:val="auto"/>
        </w:rPr>
        <w:tab/>
      </w:r>
      <w:r>
        <w:rPr>
          <w:rFonts w:ascii="Arial" w:cs="Arial" w:eastAsia="Arial" w:hAnsi="Arial"/>
          <w:sz w:val="19"/>
          <w:szCs w:val="19"/>
          <w:b w:val="1"/>
          <w:bCs w:val="1"/>
          <w:u w:val="single" w:color="auto"/>
          <w:color w:val="auto"/>
        </w:rPr>
        <w:t>Tax Matters Person and Company Tax Filings.</w:t>
      </w:r>
    </w:p>
    <w:p>
      <w:pPr>
        <w:spacing w:after="0" w:line="239" w:lineRule="exact"/>
        <w:rPr>
          <w:sz w:val="20"/>
          <w:szCs w:val="20"/>
          <w:color w:val="auto"/>
        </w:rPr>
      </w:pPr>
    </w:p>
    <w:p>
      <w:pPr>
        <w:jc w:val="both"/>
        <w:ind w:firstLine="1305"/>
        <w:spacing w:after="0" w:line="286" w:lineRule="auto"/>
        <w:tabs>
          <w:tab w:leader="none" w:pos="1770" w:val="left"/>
        </w:tabs>
        <w:numPr>
          <w:ilvl w:val="1"/>
          <w:numId w:val="265"/>
        </w:numPr>
        <w:rPr>
          <w:rFonts w:ascii="Arial" w:cs="Arial" w:eastAsia="Arial" w:hAnsi="Arial"/>
          <w:sz w:val="19"/>
          <w:szCs w:val="19"/>
          <w:color w:val="auto"/>
        </w:rPr>
      </w:pPr>
      <w:r>
        <w:rPr>
          <w:rFonts w:ascii="Arial" w:cs="Arial" w:eastAsia="Arial" w:hAnsi="Arial"/>
          <w:sz w:val="19"/>
          <w:szCs w:val="19"/>
          <w:color w:val="auto"/>
        </w:rPr>
        <w:t>The Initial Class B Member shall be, and so long as it continues to be the Manager, shall continue to be, the “tax matters partner” of the Company pursuant to Section 6231(a)(7) of the Code, and, for all tax years beginning after December 31, 2017, the “partnership representative” of the Partnership, as defined in Section 6223(a), as amended by the Budget Act (any Member acting in the capacity of the tax matters partner or the partnership representative, the “</w:t>
      </w:r>
      <w:r>
        <w:rPr>
          <w:rFonts w:ascii="Arial" w:cs="Arial" w:eastAsia="Arial" w:hAnsi="Arial"/>
          <w:sz w:val="19"/>
          <w:szCs w:val="19"/>
          <w:b w:val="1"/>
          <w:bCs w:val="1"/>
          <w:color w:val="auto"/>
        </w:rPr>
        <w:t>Tax Matters Member</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Initial Class B Member is no longer the Manager, the Person selected as the successor Manager pursuant to </w:t>
      </w:r>
      <w:r>
        <w:rPr>
          <w:rFonts w:ascii="Arial" w:cs="Arial" w:eastAsia="Arial" w:hAnsi="Arial"/>
          <w:sz w:val="19"/>
          <w:szCs w:val="19"/>
          <w:u w:val="single" w:color="auto"/>
          <w:color w:val="auto"/>
        </w:rPr>
        <w:t>Section 6.4(c)</w:t>
      </w:r>
      <w:r>
        <w:rPr>
          <w:rFonts w:ascii="Arial" w:cs="Arial" w:eastAsia="Arial" w:hAnsi="Arial"/>
          <w:sz w:val="19"/>
          <w:szCs w:val="19"/>
          <w:color w:val="auto"/>
        </w:rPr>
        <w:t xml:space="preserve"> shall nominate a Member to become the new Tax Matters Member and such Member shall become the new Tax Matters Member if approved by the Consent of the Class A Members. The Tax Matters Member shall take such action as may be necessary to cause, to the extent possible, each other Member to become a “notice partner” within the meaning of Sections 6231(a)</w:t>
      </w:r>
    </w:p>
    <w:p>
      <w:pPr>
        <w:spacing w:after="0" w:line="1" w:lineRule="exact"/>
        <w:rPr>
          <w:rFonts w:ascii="Arial" w:cs="Arial" w:eastAsia="Arial" w:hAnsi="Arial"/>
          <w:sz w:val="19"/>
          <w:szCs w:val="19"/>
          <w:color w:val="auto"/>
        </w:rPr>
      </w:pPr>
    </w:p>
    <w:p>
      <w:pPr>
        <w:jc w:val="both"/>
        <w:ind w:firstLine="8"/>
        <w:spacing w:after="0" w:line="256" w:lineRule="exact"/>
        <w:tabs>
          <w:tab w:leader="none" w:pos="318" w:val="left"/>
        </w:tabs>
        <w:numPr>
          <w:ilvl w:val="0"/>
          <w:numId w:val="266"/>
        </w:numPr>
        <w:rPr>
          <w:rFonts w:ascii="Arial" w:cs="Arial" w:eastAsia="Arial" w:hAnsi="Arial"/>
          <w:sz w:val="19"/>
          <w:szCs w:val="19"/>
          <w:color w:val="auto"/>
        </w:rPr>
      </w:pPr>
      <w:r>
        <w:rPr>
          <w:rFonts w:ascii="Arial" w:cs="Arial" w:eastAsia="Arial" w:hAnsi="Arial"/>
          <w:sz w:val="19"/>
          <w:szCs w:val="19"/>
          <w:color w:val="auto"/>
        </w:rPr>
        <w:t>and 6223 of the Code (prior to amendment by the Budget Act). In the event of any pending tax action, investigation, claim or controversy involving the Company which proposes or may result in an adjustment to any item reported on a federal tax return of the Class A Members or the Company, the Tax Matters Member, shall keep the other Members fully and timely informed by written notice of any audit, administrative or judicial proceedings, meetings or conferences with the IRS or other similar matters that come to its attention in its capacity as Tax Matters Member. Furthermore, the Class A Members shall have the right to review and comment on any submissions to the IRS, and attend and jointly participate in any meetings or conferences with the IRS at their own expense. In any such proceedings, the Tax Matters Member shall take any action or omit to take any action reasonably requested by the Consent of the Class A Members to the extent such action or omission of action affects any tax item reported to the Class A Member on a Schedule K</w:t>
      </w:r>
      <w:r>
        <w:rPr>
          <w:rFonts w:ascii="MS PGothic" w:cs="MS PGothic" w:eastAsia="MS PGothic" w:hAnsi="MS PGothic"/>
          <w:sz w:val="19"/>
          <w:szCs w:val="19"/>
          <w:color w:val="auto"/>
        </w:rPr>
        <w:t>‑</w:t>
      </w:r>
      <w:r>
        <w:rPr>
          <w:rFonts w:ascii="Arial" w:cs="Arial" w:eastAsia="Arial" w:hAnsi="Arial"/>
          <w:sz w:val="19"/>
          <w:szCs w:val="19"/>
          <w:color w:val="auto"/>
        </w:rPr>
        <w:t>1 from the Company and / or reported on any federal income tax return of the Class A Member or would materially affect the economic consequences to the Class A Members as set forth in any of the Fund Base Case Models.</w:t>
      </w:r>
    </w:p>
    <w:p>
      <w:pPr>
        <w:spacing w:after="0" w:line="206" w:lineRule="exact"/>
        <w:rPr>
          <w:rFonts w:ascii="Arial" w:cs="Arial" w:eastAsia="Arial" w:hAnsi="Arial"/>
          <w:sz w:val="19"/>
          <w:szCs w:val="19"/>
          <w:color w:val="auto"/>
        </w:rPr>
      </w:pPr>
    </w:p>
    <w:p>
      <w:pPr>
        <w:jc w:val="both"/>
        <w:ind w:firstLine="1305"/>
        <w:spacing w:after="0" w:line="320" w:lineRule="auto"/>
        <w:tabs>
          <w:tab w:leader="none" w:pos="1796" w:val="left"/>
        </w:tabs>
        <w:numPr>
          <w:ilvl w:val="1"/>
          <w:numId w:val="266"/>
        </w:numPr>
        <w:rPr>
          <w:rFonts w:ascii="Arial" w:cs="Arial" w:eastAsia="Arial" w:hAnsi="Arial"/>
          <w:sz w:val="19"/>
          <w:szCs w:val="19"/>
          <w:color w:val="auto"/>
        </w:rPr>
      </w:pPr>
      <w:r>
        <w:rPr>
          <w:rFonts w:ascii="Arial" w:cs="Arial" w:eastAsia="Arial" w:hAnsi="Arial"/>
          <w:sz w:val="19"/>
          <w:szCs w:val="19"/>
          <w:color w:val="auto"/>
        </w:rPr>
        <w:t>The Tax Matters Member is authorized to represent the Company (at the Company’s expense) in connection with all examinations of the Company’s affairs by taxing authorities, including resulting administrative and judicial proceedings, and to expend Company funds for professional services and costs associated therewith. Notwithstanding the foregoing, the Tax</w:t>
      </w:r>
    </w:p>
    <w:p>
      <w:pPr>
        <w:sectPr>
          <w:pgSz w:w="11900" w:h="16838" w:orient="portrait"/>
          <w:cols w:equalWidth="0" w:num="1">
            <w:col w:w="11420"/>
          </w:cols>
          <w:pgMar w:left="240" w:top="132" w:right="239" w:bottom="0" w:gutter="0" w:footer="0" w:header="0"/>
        </w:sectPr>
      </w:pPr>
    </w:p>
    <w:bookmarkStart w:id="258" w:name="page259"/>
    <w:bookmarkEnd w:id="258"/>
    <w:p>
      <w:pPr>
        <w:spacing w:after="0" w:line="75"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Matters Member will not take any action with respect to any material matter pursuant to Code Sections 6222 through 6234 (prior to amendment by the Budget Act) or pursuant to Subchapter C of Chapter 63 of Subtitle F of the Code (under the Budget Act), and any action pursuant to Code Sections 6225 or 6226, which binds the Company or the Class A Members, including, in each case, extending the period of limitations for making assessments or settling any tax audit or controversy, if, in any case, the taking of such action could materially and adversely affect any tax item reported to the Class A Member on a Schedule K-1 and/or reported on any tax return of the Class A Member or would materially and adversely affect the economic consequences to the Class A Members as set forth in any of the Fund Base Case Models or the Cumulative Base Case Model, without the consent of the Class A Members. The Tax Matters Member will consult the Class A Members, and use reasonable best efforts to minimize the economic burden due to taxes on the Members and their direct and indirect beneficial owners by making an election under Code Section 6226 and, to the extent available, by making modifications to an imputed underpayment available under Code Sections 6225(c)(3), (4), and (5) (in each case, under the Budget Act), or otherwise. If any Member intends to file, pursuant to Section 6227 of the Code (prior to amendment by the Budget Act), a request for an administrative adjustment of any such partnership item of the Company, or to file a petition under Sections 6226, 6228 or other Sections of the Code (prior to amendment by the Budget Act) with respect to any such partnership item or any other tax matter involving the Company, such Member shall, at least thirty (30) days prior to any such filing, notify the other Members of such intent, which notification must include a reasonable description of the contemplated action and the reasons for such action. Any cost or expense incurred by the Tax Matters Member in connection with its duties, including, if relevant, the preparation for or pursuance of administrative or judicial proceedings, shall be paid by the Company. The Class A Member will use commercially reasonable efforts to ensure that any Tax Matter relating to the Company is properly addressed as a “partnership item”, within the meaning of Section 6231(a)(3) of the Code (prior to amendment by the Budget Act), at the Company level. In the event that the Class A Member is unsuccessful in such efforts to cause the IRS to address such claim as a “partnership item,” the Class A Member shall, to the extent practicable under the circumstances, provide notification, information, documents, correspondence and a reasonable opportunity for the Class B Member to control such matter in the same degree as provided for under this </w:t>
      </w:r>
      <w:r>
        <w:rPr>
          <w:rFonts w:ascii="Arial" w:cs="Arial" w:eastAsia="Arial" w:hAnsi="Arial"/>
          <w:sz w:val="19"/>
          <w:szCs w:val="19"/>
          <w:u w:val="single" w:color="auto"/>
          <w:color w:val="auto"/>
        </w:rPr>
        <w:t>Section 8.7</w:t>
      </w:r>
      <w:r>
        <w:rPr>
          <w:rFonts w:ascii="Arial" w:cs="Arial" w:eastAsia="Arial" w:hAnsi="Arial"/>
          <w:sz w:val="19"/>
          <w:szCs w:val="19"/>
          <w:color w:val="auto"/>
        </w:rPr>
        <w:t>.</w:t>
      </w:r>
    </w:p>
    <w:p>
      <w:pPr>
        <w:spacing w:after="0" w:line="200" w:lineRule="exact"/>
        <w:rPr>
          <w:sz w:val="20"/>
          <w:szCs w:val="20"/>
          <w:color w:val="auto"/>
        </w:rPr>
      </w:pPr>
    </w:p>
    <w:p>
      <w:pPr>
        <w:spacing w:after="0" w:line="230" w:lineRule="exact"/>
        <w:rPr>
          <w:sz w:val="20"/>
          <w:szCs w:val="20"/>
          <w:color w:val="auto"/>
        </w:rPr>
      </w:pPr>
    </w:p>
    <w:p>
      <w:pPr>
        <w:jc w:val="both"/>
        <w:ind w:firstLine="1305"/>
        <w:spacing w:after="0" w:line="294" w:lineRule="auto"/>
        <w:tabs>
          <w:tab w:leader="none" w:pos="1743"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The Members acknowledge that Subchapters C and D of Old Chapter 63 of the Code have been repealed, and that New Chapter 63 of the Code has been amended, by Section 1101 of the Budget Act, to be effective with respect to taxable years beginning after December 31, 2017. The Members agree to cooperate, reasonably and in good faith, to preserve and retain after the effective date of Section 1101 of the Budget Act, to the extent possible, the substantive arrangement and relative and analogous rights, duties, responsibilities and obligations of and limitations imposed upon the Members reflected in this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under Old Chapter 63 with respect to Tax audits and other administrative procedures addressed by Section 1101 of the Budget Act, including the limitations and obligations imposed on the Tax Matters Member. In furtherance of the foregoing:</w:t>
      </w:r>
    </w:p>
    <w:p>
      <w:pPr>
        <w:spacing w:after="0" w:line="152" w:lineRule="exact"/>
        <w:rPr>
          <w:rFonts w:ascii="Arial" w:cs="Arial" w:eastAsia="Arial" w:hAnsi="Arial"/>
          <w:sz w:val="19"/>
          <w:szCs w:val="19"/>
          <w:color w:val="auto"/>
        </w:rPr>
      </w:pPr>
    </w:p>
    <w:p>
      <w:pPr>
        <w:jc w:val="both"/>
        <w:ind w:left="660" w:firstLine="1293"/>
        <w:spacing w:after="0" w:line="307" w:lineRule="auto"/>
        <w:tabs>
          <w:tab w:leader="none" w:pos="2340" w:val="left"/>
        </w:tabs>
        <w:numPr>
          <w:ilvl w:val="1"/>
          <w:numId w:val="267"/>
        </w:numPr>
        <w:rPr>
          <w:rFonts w:ascii="Arial" w:cs="Arial" w:eastAsia="Arial" w:hAnsi="Arial"/>
          <w:sz w:val="19"/>
          <w:szCs w:val="19"/>
          <w:color w:val="auto"/>
        </w:rPr>
      </w:pPr>
      <w:r>
        <w:rPr>
          <w:rFonts w:ascii="Arial" w:cs="Arial" w:eastAsia="Arial" w:hAnsi="Arial"/>
          <w:sz w:val="19"/>
          <w:szCs w:val="19"/>
          <w:color w:val="auto"/>
        </w:rPr>
        <w:t>The Members agree that, if the Company receives a notice of final partnership administrative adjustment that would, with the passing of time, result in an “imputed underpayment” imposed on the Company as that term is defined in Section 6225 of New Chapter 63 of the Code, then, the Partnership Representative shall request any applicable modifications to such imputed underpayment pursuant to Section 6225(c) of New Chapter 63 of the Code.</w:t>
      </w:r>
    </w:p>
    <w:p>
      <w:pPr>
        <w:spacing w:after="0" w:line="138" w:lineRule="exact"/>
        <w:rPr>
          <w:rFonts w:ascii="Arial" w:cs="Arial" w:eastAsia="Arial" w:hAnsi="Arial"/>
          <w:sz w:val="19"/>
          <w:szCs w:val="19"/>
          <w:color w:val="auto"/>
        </w:rPr>
      </w:pPr>
    </w:p>
    <w:p>
      <w:pPr>
        <w:jc w:val="both"/>
        <w:ind w:left="660" w:firstLine="1293"/>
        <w:spacing w:after="0" w:line="260" w:lineRule="auto"/>
        <w:tabs>
          <w:tab w:leader="none" w:pos="2522" w:val="left"/>
        </w:tabs>
        <w:numPr>
          <w:ilvl w:val="1"/>
          <w:numId w:val="267"/>
        </w:numPr>
        <w:rPr>
          <w:rFonts w:ascii="Arial" w:cs="Arial" w:eastAsia="Arial" w:hAnsi="Arial"/>
          <w:sz w:val="22"/>
          <w:szCs w:val="22"/>
          <w:color w:val="auto"/>
        </w:rPr>
      </w:pPr>
      <w:r>
        <w:rPr>
          <w:rFonts w:ascii="Arial" w:cs="Arial" w:eastAsia="Arial" w:hAnsi="Arial"/>
          <w:sz w:val="22"/>
          <w:szCs w:val="22"/>
          <w:color w:val="auto"/>
        </w:rPr>
        <w:t>None of the Members shall make any election under section 1101(g)(4) of the Budget Act or any subsequent law or guidance to have the provisions of section 1101 of the Budget Act apply to the Company prior to any taxable year of the Company beginning after December 31, 2017.</w:t>
      </w:r>
    </w:p>
    <w:p>
      <w:pPr>
        <w:spacing w:after="0" w:line="177" w:lineRule="exact"/>
        <w:rPr>
          <w:rFonts w:ascii="Arial" w:cs="Arial" w:eastAsia="Arial" w:hAnsi="Arial"/>
          <w:sz w:val="22"/>
          <w:szCs w:val="22"/>
          <w:color w:val="auto"/>
        </w:rPr>
      </w:pPr>
    </w:p>
    <w:p>
      <w:pPr>
        <w:jc w:val="both"/>
        <w:ind w:left="660" w:firstLine="1293"/>
        <w:spacing w:after="0" w:line="266" w:lineRule="auto"/>
        <w:tabs>
          <w:tab w:leader="none" w:pos="2677" w:val="left"/>
        </w:tabs>
        <w:numPr>
          <w:ilvl w:val="1"/>
          <w:numId w:val="267"/>
        </w:numPr>
        <w:rPr>
          <w:rFonts w:ascii="Arial" w:cs="Arial" w:eastAsia="Arial" w:hAnsi="Arial"/>
          <w:sz w:val="21"/>
          <w:szCs w:val="21"/>
          <w:color w:val="auto"/>
        </w:rPr>
      </w:pPr>
      <w:r>
        <w:rPr>
          <w:rFonts w:ascii="Arial" w:cs="Arial" w:eastAsia="Arial" w:hAnsi="Arial"/>
          <w:sz w:val="21"/>
          <w:szCs w:val="21"/>
          <w:color w:val="auto"/>
        </w:rPr>
        <w:t xml:space="preserve">In the event there are additional statutory amendments; temporary, proposed or final Treasury Regulations; any IRS guidance published in the Internal Revenue Bulletin and/or Cumulative Bulletin; any notice, announcement, revenue ruling or revenue procedure or similar authority issued by the IRS; or any other administrative guidance, in each case, interpreting or applying Section 1101 of the Budget Act, if necessary, the Members shall amend this Agreement to remain consistent with the intent of this </w:t>
      </w:r>
      <w:r>
        <w:rPr>
          <w:rFonts w:ascii="Arial" w:cs="Arial" w:eastAsia="Arial" w:hAnsi="Arial"/>
          <w:sz w:val="21"/>
          <w:szCs w:val="21"/>
          <w:u w:val="single" w:color="auto"/>
          <w:color w:val="auto"/>
        </w:rPr>
        <w:t>Section 8.7</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jc w:val="both"/>
        <w:ind w:left="660" w:firstLine="1293"/>
        <w:spacing w:after="0" w:line="288" w:lineRule="auto"/>
        <w:tabs>
          <w:tab w:leader="none" w:pos="2489" w:val="left"/>
        </w:tabs>
        <w:numPr>
          <w:ilvl w:val="1"/>
          <w:numId w:val="267"/>
        </w:numPr>
        <w:rPr>
          <w:rFonts w:ascii="Arial" w:cs="Arial" w:eastAsia="Arial" w:hAnsi="Arial"/>
          <w:sz w:val="19"/>
          <w:szCs w:val="19"/>
          <w:color w:val="auto"/>
        </w:rPr>
      </w:pPr>
      <w:r>
        <w:rPr>
          <w:rFonts w:ascii="Arial" w:cs="Arial" w:eastAsia="Arial" w:hAnsi="Arial"/>
          <w:sz w:val="19"/>
          <w:szCs w:val="19"/>
          <w:color w:val="auto"/>
        </w:rPr>
        <w:t>Any taxes, penalties, and interest payable by the Company or any fiscally transparent entity in which the Company owns an interest under the Budget Act will be treated as specifically attributable to the Members, and the Tax Matters Member will use reasonable best efforts to allocate the burden of (or any diminution in distributable proceeds resulting from) any such taxes, penalties or interest to those Members to whom such amounts are specifically attributable (whether as a result of their status, actions, inactions or otherwise), as determined by the Tax Matters Member. In connection with the foregoing, to the extent that the Company is assessed amounts under Section 6221(a) of the Code (as amended by the Budget Act), and an election under Section 6226 of the Code (as amended by the Budget Act) is not made or each Member has not otherwise satisfied its allocable share of such assessed amount, each current or former Member to which the assessment relates will remit to the Company, within thirty (30) days’ written notice by the Tax Matters Member, an amount equal to such Member’s allocable share of the assessment, including such Member’s allocable share of any interest imposed on the Company. The foregoing sentence will survive the dissolution of the Company, the withdrawal of any Member from the Company and the transfer of any Member’s Units.</w:t>
      </w:r>
    </w:p>
    <w:p>
      <w:pPr>
        <w:spacing w:after="0" w:line="162" w:lineRule="exact"/>
        <w:rPr>
          <w:rFonts w:ascii="Arial" w:cs="Arial" w:eastAsia="Arial" w:hAnsi="Arial"/>
          <w:sz w:val="19"/>
          <w:szCs w:val="19"/>
          <w:color w:val="auto"/>
        </w:rPr>
      </w:pPr>
    </w:p>
    <w:p>
      <w:pPr>
        <w:ind w:left="1740" w:hanging="435"/>
        <w:spacing w:after="0"/>
        <w:tabs>
          <w:tab w:leader="none" w:pos="1740" w:val="left"/>
        </w:tabs>
        <w:numPr>
          <w:ilvl w:val="0"/>
          <w:numId w:val="267"/>
        </w:numPr>
        <w:rPr>
          <w:rFonts w:ascii="Arial" w:cs="Arial" w:eastAsia="Arial" w:hAnsi="Arial"/>
          <w:sz w:val="22"/>
          <w:szCs w:val="22"/>
          <w:color w:val="auto"/>
        </w:rPr>
      </w:pPr>
      <w:r>
        <w:rPr>
          <w:rFonts w:ascii="Arial" w:cs="Arial" w:eastAsia="Arial" w:hAnsi="Arial"/>
          <w:sz w:val="22"/>
          <w:szCs w:val="22"/>
          <w:u w:val="single" w:color="auto"/>
          <w:color w:val="auto"/>
        </w:rPr>
        <w:t>Tax Returns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320" w:lineRule="auto"/>
        <w:tabs>
          <w:tab w:leader="none" w:pos="2448" w:val="left"/>
        </w:tabs>
        <w:numPr>
          <w:ilvl w:val="1"/>
          <w:numId w:val="267"/>
        </w:numPr>
        <w:rPr>
          <w:rFonts w:ascii="Arial" w:cs="Arial" w:eastAsia="Arial" w:hAnsi="Arial"/>
          <w:sz w:val="19"/>
          <w:szCs w:val="19"/>
          <w:color w:val="auto"/>
        </w:rPr>
      </w:pPr>
      <w:r>
        <w:rPr>
          <w:rFonts w:ascii="Arial" w:cs="Arial" w:eastAsia="Arial" w:hAnsi="Arial"/>
          <w:sz w:val="19"/>
          <w:szCs w:val="19"/>
          <w:u w:val="single" w:color="auto"/>
          <w:color w:val="auto"/>
        </w:rPr>
        <w:t>Preparation of Tax Returns</w:t>
      </w:r>
      <w:r>
        <w:rPr>
          <w:rFonts w:ascii="Arial" w:cs="Arial" w:eastAsia="Arial" w:hAnsi="Arial"/>
          <w:sz w:val="19"/>
          <w:szCs w:val="19"/>
          <w:color w:val="auto"/>
        </w:rPr>
        <w:t>. The Tax Matters Member shall prepare, or cause to be prepared by the Certified Public Accountant, and timely file (on behalf of the Company) all federal, state and local tax returns required to be filed by the Company. Each Member shall furnish to the Tax Matters Member all pertinent information in its possession</w:t>
      </w:r>
    </w:p>
    <w:p>
      <w:pPr>
        <w:sectPr>
          <w:pgSz w:w="11900" w:h="16913" w:orient="portrait"/>
          <w:cols w:equalWidth="0" w:num="1">
            <w:col w:w="11420"/>
          </w:cols>
          <w:pgMar w:left="240" w:top="132" w:right="239" w:bottom="0" w:gutter="0" w:footer="0" w:header="0"/>
        </w:sectPr>
      </w:pPr>
    </w:p>
    <w:bookmarkStart w:id="259" w:name="page260"/>
    <w:bookmarkEnd w:id="259"/>
    <w:p>
      <w:pPr>
        <w:ind w:left="660"/>
        <w:spacing w:after="0" w:line="263" w:lineRule="auto"/>
        <w:rPr>
          <w:sz w:val="20"/>
          <w:szCs w:val="20"/>
          <w:color w:val="auto"/>
        </w:rPr>
      </w:pPr>
      <w:r>
        <w:rPr>
          <w:rFonts w:ascii="Arial" w:cs="Arial" w:eastAsia="Arial" w:hAnsi="Arial"/>
          <w:sz w:val="22"/>
          <w:szCs w:val="22"/>
          <w:color w:val="auto"/>
        </w:rPr>
        <w:t>relating to the Company’s operations that is reasonably necessary to enable the Company’s tax returns to be timely prepared and filed.</w:t>
      </w:r>
    </w:p>
    <w:p>
      <w:pPr>
        <w:spacing w:after="0" w:line="175" w:lineRule="exact"/>
        <w:rPr>
          <w:sz w:val="20"/>
          <w:szCs w:val="20"/>
          <w:color w:val="auto"/>
        </w:rPr>
      </w:pPr>
    </w:p>
    <w:p>
      <w:pPr>
        <w:jc w:val="both"/>
        <w:ind w:left="660" w:firstLine="1293"/>
        <w:spacing w:after="0" w:line="238" w:lineRule="auto"/>
        <w:tabs>
          <w:tab w:leader="none" w:pos="2468" w:val="left"/>
        </w:tabs>
        <w:numPr>
          <w:ilvl w:val="1"/>
          <w:numId w:val="268"/>
        </w:numPr>
        <w:rPr>
          <w:rFonts w:ascii="Arial" w:cs="Arial" w:eastAsia="Arial" w:hAnsi="Arial"/>
          <w:sz w:val="22"/>
          <w:szCs w:val="22"/>
          <w:color w:val="auto"/>
        </w:rPr>
      </w:pPr>
      <w:r>
        <w:rPr>
          <w:rFonts w:ascii="Arial" w:cs="Arial" w:eastAsia="Arial" w:hAnsi="Arial"/>
          <w:sz w:val="22"/>
          <w:szCs w:val="22"/>
          <w:u w:val="single" w:color="auto"/>
          <w:color w:val="auto"/>
        </w:rPr>
        <w:t>Furnishing Returns</w:t>
      </w:r>
      <w:r>
        <w:rPr>
          <w:rFonts w:ascii="Arial" w:cs="Arial" w:eastAsia="Arial" w:hAnsi="Arial"/>
          <w:sz w:val="22"/>
          <w:szCs w:val="22"/>
          <w:color w:val="auto"/>
        </w:rPr>
        <w:t>. The Tax Matters Member shall use commercially reasonable efforts to furnish to the Members, (A) by no later than March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each year, an estimate of all items of Company income, gain, loss, deduction, and credit (including ITCs) of the Company and the Members’ respective allocable shares thereof expected by the Tax Matters Member to be reported on the Tax Return to be filed by the Tax Matters Member for the immediately preceding Taxable Year, and (B) by no later than June 30 of each Taxable Year (or, if earlier, thirty (30) days prior to the date on which the Tax Matters Member intends to file the Tax Return), the Tax Return proposed to be filed by the Tax Matters Member.</w:t>
      </w:r>
    </w:p>
    <w:p>
      <w:pPr>
        <w:spacing w:after="0" w:line="201" w:lineRule="exact"/>
        <w:rPr>
          <w:rFonts w:ascii="Arial" w:cs="Arial" w:eastAsia="Arial" w:hAnsi="Arial"/>
          <w:sz w:val="22"/>
          <w:szCs w:val="22"/>
          <w:color w:val="auto"/>
        </w:rPr>
      </w:pPr>
    </w:p>
    <w:p>
      <w:pPr>
        <w:ind w:left="660" w:firstLine="1293"/>
        <w:spacing w:after="0" w:line="276" w:lineRule="auto"/>
        <w:tabs>
          <w:tab w:leader="none" w:pos="2555" w:val="left"/>
        </w:tabs>
        <w:numPr>
          <w:ilvl w:val="1"/>
          <w:numId w:val="268"/>
        </w:numPr>
        <w:rPr>
          <w:rFonts w:ascii="Arial" w:cs="Arial" w:eastAsia="Arial" w:hAnsi="Arial"/>
          <w:sz w:val="22"/>
          <w:szCs w:val="22"/>
          <w:color w:val="auto"/>
        </w:rPr>
      </w:pPr>
      <w:r>
        <w:rPr>
          <w:rFonts w:ascii="Arial" w:cs="Arial" w:eastAsia="Arial" w:hAnsi="Arial"/>
          <w:sz w:val="22"/>
          <w:szCs w:val="22"/>
          <w:u w:val="single" w:color="auto"/>
          <w:color w:val="auto"/>
        </w:rPr>
        <w:t>Costs of Preparation</w:t>
      </w:r>
      <w:r>
        <w:rPr>
          <w:rFonts w:ascii="Arial" w:cs="Arial" w:eastAsia="Arial" w:hAnsi="Arial"/>
          <w:sz w:val="22"/>
          <w:szCs w:val="22"/>
          <w:color w:val="auto"/>
        </w:rPr>
        <w:t>. The Company shall bear the costs of the preparation and filing of its returns, including the fees of the independent public accounting firm.</w:t>
      </w:r>
    </w:p>
    <w:p>
      <w:pPr>
        <w:spacing w:after="0" w:line="160" w:lineRule="exact"/>
        <w:rPr>
          <w:rFonts w:ascii="Arial" w:cs="Arial" w:eastAsia="Arial" w:hAnsi="Arial"/>
          <w:sz w:val="22"/>
          <w:szCs w:val="22"/>
          <w:color w:val="auto"/>
        </w:rPr>
      </w:pPr>
    </w:p>
    <w:p>
      <w:pPr>
        <w:jc w:val="both"/>
        <w:ind w:firstLine="1305"/>
        <w:spacing w:after="0" w:line="254" w:lineRule="auto"/>
        <w:tabs>
          <w:tab w:leader="none" w:pos="1824" w:val="left"/>
        </w:tabs>
        <w:numPr>
          <w:ilvl w:val="0"/>
          <w:numId w:val="269"/>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will survive the termination of the Company or the termination of any Member’s interest in the Company and will remain binding on the Member for the period of time necessary to resolve with the IRS or other federal tax agency any and all federal income tax matters relating to the Company that are subject to Code Sections 6221 through 6233.</w:t>
      </w:r>
    </w:p>
    <w:p>
      <w:pPr>
        <w:spacing w:after="0" w:line="185" w:lineRule="exact"/>
        <w:rPr>
          <w:rFonts w:ascii="Arial" w:cs="Arial" w:eastAsia="Arial" w:hAnsi="Arial"/>
          <w:sz w:val="22"/>
          <w:szCs w:val="22"/>
          <w:color w:val="auto"/>
        </w:rPr>
      </w:pPr>
    </w:p>
    <w:p>
      <w:pPr>
        <w:ind w:left="1700" w:hanging="395"/>
        <w:spacing w:after="0"/>
        <w:tabs>
          <w:tab w:leader="none" w:pos="1700" w:val="left"/>
        </w:tabs>
        <w:numPr>
          <w:ilvl w:val="0"/>
          <w:numId w:val="269"/>
        </w:numPr>
        <w:rPr>
          <w:rFonts w:ascii="Arial" w:cs="Arial" w:eastAsia="Arial" w:hAnsi="Arial"/>
          <w:sz w:val="22"/>
          <w:szCs w:val="22"/>
          <w:color w:val="auto"/>
        </w:rPr>
      </w:pPr>
      <w:r>
        <w:rPr>
          <w:rFonts w:ascii="Arial" w:cs="Arial" w:eastAsia="Arial" w:hAnsi="Arial"/>
          <w:sz w:val="22"/>
          <w:szCs w:val="22"/>
          <w:u w:val="single" w:color="auto"/>
          <w:color w:val="auto"/>
        </w:rPr>
        <w:t>Additional Requirements for an Indemnified Tax Claim</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54" w:lineRule="auto"/>
        <w:tabs>
          <w:tab w:leader="none" w:pos="234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The Class B Member will notify the Class A Member of (A) any written communication it receives from the IRS or a Subject Company that, if sustained may require the Class B Member to make a contribution to the Company or otherwise indemnify the Class A Member or any counterparty to any Fund Document or Subject Company (an “</w:t>
      </w:r>
      <w:r>
        <w:rPr>
          <w:rFonts w:ascii="Arial" w:cs="Arial" w:eastAsia="Arial" w:hAnsi="Arial"/>
          <w:sz w:val="22"/>
          <w:szCs w:val="22"/>
          <w:b w:val="1"/>
          <w:bCs w:val="1"/>
          <w:color w:val="auto"/>
        </w:rPr>
        <w:t>Indemnified Tax Claim</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firstLine="1293"/>
        <w:spacing w:after="0" w:line="270" w:lineRule="auto"/>
        <w:tabs>
          <w:tab w:leader="none" w:pos="2414" w:val="left"/>
        </w:tabs>
        <w:numPr>
          <w:ilvl w:val="1"/>
          <w:numId w:val="269"/>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after consulting with the Class A Member, the Class B Member may in its sole discretion exercise in good faith control any Indemnified Claim, including controlling any IRS audit (including selection of counsel) determining whether to settle or to commence a judicial action or to appeal any adverse determination of a judicial tribunal with respect to an Indemnified Claim.</w:t>
      </w:r>
    </w:p>
    <w:p>
      <w:pPr>
        <w:spacing w:after="0" w:line="163"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8.8</w:t>
      </w:r>
      <w:r>
        <w:rPr>
          <w:sz w:val="20"/>
          <w:szCs w:val="20"/>
          <w:color w:val="auto"/>
        </w:rPr>
        <w:tab/>
      </w:r>
      <w:r>
        <w:rPr>
          <w:rFonts w:ascii="Arial" w:cs="Arial" w:eastAsia="Arial" w:hAnsi="Arial"/>
          <w:sz w:val="19"/>
          <w:szCs w:val="19"/>
          <w:b w:val="1"/>
          <w:bCs w:val="1"/>
          <w:u w:val="single" w:color="auto"/>
          <w:color w:val="auto"/>
        </w:rPr>
        <w:t>Financial Accounting.</w:t>
      </w:r>
    </w:p>
    <w:p>
      <w:pPr>
        <w:spacing w:after="0" w:line="239"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Each Member may report the transactions contemplated hereby for financial accounting purposes in such manner as the Member and its accountants may determine appropriate.</w:t>
      </w:r>
    </w:p>
    <w:p>
      <w:pPr>
        <w:spacing w:after="0" w:line="16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8.9</w:t>
      </w:r>
      <w:r>
        <w:rPr>
          <w:sz w:val="20"/>
          <w:szCs w:val="20"/>
          <w:color w:val="auto"/>
        </w:rPr>
        <w:tab/>
      </w:r>
      <w:r>
        <w:rPr>
          <w:rFonts w:ascii="Arial" w:cs="Arial" w:eastAsia="Arial" w:hAnsi="Arial"/>
          <w:sz w:val="19"/>
          <w:szCs w:val="19"/>
          <w:b w:val="1"/>
          <w:bCs w:val="1"/>
          <w:u w:val="single" w:color="auto"/>
          <w:color w:val="auto"/>
        </w:rPr>
        <w:t>Membership Interest Legend.</w:t>
      </w:r>
    </w:p>
    <w:p>
      <w:pPr>
        <w:spacing w:after="0" w:line="239" w:lineRule="exact"/>
        <w:rPr>
          <w:sz w:val="20"/>
          <w:szCs w:val="20"/>
          <w:color w:val="auto"/>
        </w:rPr>
      </w:pPr>
    </w:p>
    <w:p>
      <w:pPr>
        <w:jc w:val="both"/>
        <w:ind w:firstLine="1305"/>
        <w:spacing w:after="0" w:line="270" w:lineRule="auto"/>
        <w:tabs>
          <w:tab w:leader="none" w:pos="1919" w:val="left"/>
        </w:tabs>
        <w:numPr>
          <w:ilvl w:val="0"/>
          <w:numId w:val="270"/>
        </w:numPr>
        <w:rPr>
          <w:rFonts w:ascii="Arial" w:cs="Arial" w:eastAsia="Arial" w:hAnsi="Arial"/>
          <w:sz w:val="21"/>
          <w:szCs w:val="21"/>
          <w:color w:val="auto"/>
        </w:rPr>
      </w:pPr>
      <w:r>
        <w:rPr>
          <w:rFonts w:ascii="Arial" w:cs="Arial" w:eastAsia="Arial" w:hAnsi="Arial"/>
          <w:sz w:val="21"/>
          <w:szCs w:val="21"/>
          <w:color w:val="auto"/>
        </w:rPr>
        <w:t>Until (i) the securities representing ownership of membership interests in the Company are effectively registered under the Securities Act, or (ii) the holder of such securities delivers to the Company a written opinion of counsel of such holder to the effect that such legend is no longer necessary under the Securities Act, the Company will cause each certificate representing its securities to be stamped or otherwise imprinted with the following legend:</w:t>
      </w:r>
    </w:p>
    <w:p>
      <w:pPr>
        <w:spacing w:after="0" w:line="169"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THE MEMBERSHIP INTEREST REPRESENTED BY THIS CERTIFICATE HAS NOT BEEN REGISTERED UNDER THE SECURITIES ACT OF 1933, AS AMENDED, OR UNDER THE SECURITIES LAW OF ANY STATE. SUCH MEMBERSHIP INTEREST MAY NOT BE SOLD OR TRANSFERRED UNLESS SUBSEQUENTLY REGISTERED OR UNLESS AN EXEMPTION FROM REGISTRATION IS AVAILABLE.</w:t>
      </w:r>
    </w:p>
    <w:p>
      <w:pPr>
        <w:spacing w:after="0" w:line="176" w:lineRule="exact"/>
        <w:rPr>
          <w:sz w:val="20"/>
          <w:szCs w:val="20"/>
          <w:color w:val="auto"/>
        </w:rPr>
      </w:pPr>
    </w:p>
    <w:p>
      <w:pPr>
        <w:ind w:firstLine="1305"/>
        <w:spacing w:after="0" w:line="276" w:lineRule="auto"/>
        <w:tabs>
          <w:tab w:leader="none" w:pos="1769"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The Company will also cause each certificate representing its securities to be stamped or otherwise imprinted with the following legend:</w:t>
      </w:r>
    </w:p>
    <w:p>
      <w:pPr>
        <w:spacing w:after="0" w:line="161" w:lineRule="exact"/>
        <w:rPr>
          <w:sz w:val="20"/>
          <w:szCs w:val="20"/>
          <w:color w:val="auto"/>
        </w:rPr>
      </w:pPr>
    </w:p>
    <w:p>
      <w:pPr>
        <w:jc w:val="both"/>
        <w:ind w:left="1300"/>
        <w:spacing w:after="0" w:line="261" w:lineRule="exact"/>
        <w:rPr>
          <w:sz w:val="20"/>
          <w:szCs w:val="20"/>
          <w:color w:val="auto"/>
        </w:rPr>
      </w:pPr>
      <w:r>
        <w:rPr>
          <w:rFonts w:ascii="Arial" w:cs="Arial" w:eastAsia="Arial" w:hAnsi="Arial"/>
          <w:sz w:val="22"/>
          <w:szCs w:val="22"/>
          <w:color w:val="auto"/>
        </w:rPr>
        <w:t>THE MEMBERSHIP INTEREST AND UNITS REPRESENTED BY THIS CERTIFICATE ARE, AND SHALL BE, FOR ALL PURPOSES, “CERTIFIED SECURITIES” UNDER AND GOVERNED BY ARTICLE 8 (INCLUDING SECTION 8</w:t>
      </w:r>
      <w:r>
        <w:rPr>
          <w:rFonts w:ascii="MS PGothic" w:cs="MS PGothic" w:eastAsia="MS PGothic" w:hAnsi="MS PGothic"/>
          <w:sz w:val="22"/>
          <w:szCs w:val="22"/>
          <w:color w:val="auto"/>
        </w:rPr>
        <w:t>‑</w:t>
      </w:r>
      <w:r>
        <w:rPr>
          <w:rFonts w:ascii="Arial" w:cs="Arial" w:eastAsia="Arial" w:hAnsi="Arial"/>
          <w:sz w:val="22"/>
          <w:szCs w:val="22"/>
          <w:color w:val="auto"/>
        </w:rPr>
        <w:t>103(c) THEREOF) AND ALL OTHER PROVISIONS OF THE UNIFORM COMMERCIAL CODE IN EFFECT FROM TIME TO TIME IN THE STATE OF DELAWARE.</w:t>
      </w:r>
    </w:p>
    <w:p>
      <w:pPr>
        <w:spacing w:after="0" w:line="195"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8.10</w:t>
      </w:r>
      <w:r>
        <w:rPr>
          <w:sz w:val="20"/>
          <w:szCs w:val="20"/>
          <w:color w:val="auto"/>
        </w:rPr>
        <w:tab/>
      </w:r>
      <w:r>
        <w:rPr>
          <w:rFonts w:ascii="Arial" w:cs="Arial" w:eastAsia="Arial" w:hAnsi="Arial"/>
          <w:sz w:val="19"/>
          <w:szCs w:val="19"/>
          <w:b w:val="1"/>
          <w:bCs w:val="1"/>
          <w:u w:val="single" w:color="auto"/>
          <w:color w:val="auto"/>
        </w:rPr>
        <w:t>Representations, Warranties and Covenants of the Members.</w:t>
      </w:r>
    </w:p>
    <w:p>
      <w:pPr>
        <w:spacing w:after="0" w:line="23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Each Member, severally but not jointly, represents, warrants, and with respect to </w:t>
      </w:r>
      <w:r>
        <w:rPr>
          <w:rFonts w:ascii="Arial" w:cs="Arial" w:eastAsia="Arial" w:hAnsi="Arial"/>
          <w:sz w:val="19"/>
          <w:szCs w:val="19"/>
          <w:u w:val="single" w:color="auto"/>
          <w:color w:val="auto"/>
        </w:rPr>
        <w:t>clauses (f)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below, covenants to the Company and each other Member with respect to itself only, that: (I) (x) the following statements are true and correct as of, with respect to the Member, the Effective Date, (y) the following statements are true and correct as of, with respect to any other Person hereafter admitted as a Member pursuant to this Agreement, the date such Person is so admitted as a Member, and (II) with respect to </w:t>
      </w:r>
      <w:r>
        <w:rPr>
          <w:rFonts w:ascii="Arial" w:cs="Arial" w:eastAsia="Arial" w:hAnsi="Arial"/>
          <w:sz w:val="19"/>
          <w:szCs w:val="19"/>
          <w:u w:val="single" w:color="auto"/>
          <w:color w:val="auto"/>
        </w:rPr>
        <w:t>clauses (f)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below, shall be true and correct at all times that such Person is a Member:</w:t>
      </w:r>
    </w:p>
    <w:p>
      <w:pPr>
        <w:spacing w:after="0" w:line="14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It is an entity duly organized, validly existing and in good standing under the laws of its jurisdiction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organization.</w:t>
      </w:r>
    </w:p>
    <w:p>
      <w:pPr>
        <w:sectPr>
          <w:pgSz w:w="11900" w:h="16838" w:orient="portrait"/>
          <w:cols w:equalWidth="0" w:num="1">
            <w:col w:w="11420"/>
          </w:cols>
          <w:pgMar w:left="240" w:top="132" w:right="239" w:bottom="0" w:gutter="0" w:footer="0" w:header="0"/>
        </w:sectPr>
      </w:pPr>
    </w:p>
    <w:bookmarkStart w:id="260" w:name="page261"/>
    <w:bookmarkEnd w:id="260"/>
    <w:p>
      <w:pPr>
        <w:ind w:left="1740" w:hanging="435"/>
        <w:spacing w:after="0"/>
        <w:tabs>
          <w:tab w:leader="none" w:pos="174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It has the full right, power and authority to perform its obligations hereunder.</w:t>
      </w:r>
    </w:p>
    <w:p>
      <w:pPr>
        <w:spacing w:after="0" w:line="233" w:lineRule="exact"/>
        <w:rPr>
          <w:rFonts w:ascii="Arial" w:cs="Arial" w:eastAsia="Arial" w:hAnsi="Arial"/>
          <w:sz w:val="22"/>
          <w:szCs w:val="22"/>
          <w:color w:val="auto"/>
        </w:rPr>
      </w:pPr>
    </w:p>
    <w:p>
      <w:pPr>
        <w:jc w:val="both"/>
        <w:ind w:firstLine="1305"/>
        <w:spacing w:after="0" w:line="264" w:lineRule="auto"/>
        <w:tabs>
          <w:tab w:leader="none" w:pos="1757" w:val="left"/>
        </w:tabs>
        <w:numPr>
          <w:ilvl w:val="0"/>
          <w:numId w:val="272"/>
        </w:numPr>
        <w:rPr>
          <w:rFonts w:ascii="Arial" w:cs="Arial" w:eastAsia="Arial" w:hAnsi="Arial"/>
          <w:sz w:val="21"/>
          <w:szCs w:val="21"/>
          <w:color w:val="auto"/>
        </w:rPr>
      </w:pPr>
      <w:r>
        <w:rPr>
          <w:rFonts w:ascii="Arial" w:cs="Arial" w:eastAsia="Arial" w:hAnsi="Arial"/>
          <w:sz w:val="21"/>
          <w:szCs w:val="21"/>
          <w:color w:val="auto"/>
        </w:rPr>
        <w:t>The execution and delivery of this Agreement by the Member and the consummation by such Member of the transactions contemplated hereby have been duly authorized by all necessary entity action required on the part of such Member, its respective members and their respective managing members (as applicable). This Agreement has been duly executed and delivered by such Member. This Agreement is a legal valid and binding obligation of such Member enforceable against it in accordance with its terms, except as such enforceability may be limited by applicable bankruptcy, insolvency or similar laws affecting creditors’ rights generally and by general equitable principles.</w:t>
      </w:r>
    </w:p>
    <w:p>
      <w:pPr>
        <w:spacing w:after="0" w:line="175" w:lineRule="exact"/>
        <w:rPr>
          <w:rFonts w:ascii="Arial" w:cs="Arial" w:eastAsia="Arial" w:hAnsi="Arial"/>
          <w:sz w:val="21"/>
          <w:szCs w:val="21"/>
          <w:color w:val="auto"/>
        </w:rPr>
      </w:pPr>
    </w:p>
    <w:p>
      <w:pPr>
        <w:jc w:val="both"/>
        <w:ind w:firstLine="1305"/>
        <w:spacing w:after="0" w:line="260" w:lineRule="auto"/>
        <w:tabs>
          <w:tab w:leader="none" w:pos="1823" w:val="left"/>
        </w:tabs>
        <w:numPr>
          <w:ilvl w:val="0"/>
          <w:numId w:val="272"/>
        </w:numPr>
        <w:rPr>
          <w:rFonts w:ascii="Arial" w:cs="Arial" w:eastAsia="Arial" w:hAnsi="Arial"/>
          <w:sz w:val="21"/>
          <w:szCs w:val="21"/>
          <w:color w:val="auto"/>
        </w:rPr>
      </w:pPr>
      <w:r>
        <w:rPr>
          <w:rFonts w:ascii="Arial" w:cs="Arial" w:eastAsia="Arial" w:hAnsi="Arial"/>
          <w:sz w:val="21"/>
          <w:szCs w:val="21"/>
          <w:color w:val="auto"/>
        </w:rPr>
        <w:t xml:space="preserve">It has such sophistication, knowledge and experience in financial and business matters that it is capable of evaluating the merits, risks and suitability of entering into the Transaction. It is acquiring its Membership Interest for its own account and not as a nominee or agent. It understands its Membership Interest have not been, and will not be, registered under the Securities Act and are being acquired in a transaction not involving a public offering by reason of a specific exemption from the registration provisions of the Securities Act, the availability of which depends upon, among other things, the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nature of each Member’s investment intent and the accuracy of the Members’ respective representations as expressed herein. It understands that no public market now exists for the Membership Interests or any of the securities of the Company and that neither the Company nor any Member or Affiliate thereof has made any assurances that a public market will ever exist for the Membership Interests or the Company’s securities.</w:t>
      </w:r>
    </w:p>
    <w:p>
      <w:pPr>
        <w:spacing w:after="0" w:line="184" w:lineRule="exact"/>
        <w:rPr>
          <w:rFonts w:ascii="Arial" w:cs="Arial" w:eastAsia="Arial" w:hAnsi="Arial"/>
          <w:sz w:val="21"/>
          <w:szCs w:val="21"/>
          <w:color w:val="auto"/>
        </w:rPr>
      </w:pPr>
    </w:p>
    <w:p>
      <w:pPr>
        <w:jc w:val="both"/>
        <w:ind w:firstLine="1305"/>
        <w:spacing w:after="0" w:line="250" w:lineRule="auto"/>
        <w:tabs>
          <w:tab w:leader="none" w:pos="1757"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It has discussed the Transaction and the accounting and tax treatment that it intends to accord the Transaction with its independent advisors. It is solely responsible for deciding to enter into the Transaction and has not relied on any other party (save for any representations made in this Agreement), other than its independent advisors, in respect of the accounting or tax treatment to be applied to the Transaction, or the overall suitability of the Transaction. It is an “accredited investor” within the meaning of Rule 501(a)(1), (2), (3) or (7) of the Securities Act, and is able to bear the economic risk of losing its entire investment in the Company.</w:t>
      </w:r>
    </w:p>
    <w:p>
      <w:pPr>
        <w:spacing w:after="0" w:line="188" w:lineRule="exact"/>
        <w:rPr>
          <w:rFonts w:ascii="Arial" w:cs="Arial" w:eastAsia="Arial" w:hAnsi="Arial"/>
          <w:sz w:val="22"/>
          <w:szCs w:val="22"/>
          <w:color w:val="auto"/>
        </w:rPr>
      </w:pPr>
    </w:p>
    <w:p>
      <w:pPr>
        <w:ind w:firstLine="1305"/>
        <w:spacing w:after="0" w:line="276" w:lineRule="auto"/>
        <w:tabs>
          <w:tab w:leader="none" w:pos="1692"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It will report the Transaction in accordance with this Agreement and its own applicable regulatory requirements, including the accounting and tax treatment to be accorded to the Transaction.</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It is not now and it shall not become a Disqualified Entity or Related Party.</w:t>
      </w:r>
    </w:p>
    <w:p>
      <w:pPr>
        <w:spacing w:after="0" w:line="233" w:lineRule="exact"/>
        <w:rPr>
          <w:rFonts w:ascii="Arial" w:cs="Arial" w:eastAsia="Arial" w:hAnsi="Arial"/>
          <w:sz w:val="22"/>
          <w:szCs w:val="22"/>
          <w:color w:val="auto"/>
        </w:rPr>
      </w:pPr>
    </w:p>
    <w:p>
      <w:pPr>
        <w:jc w:val="both"/>
        <w:ind w:firstLine="1305"/>
        <w:spacing w:after="0" w:line="300" w:lineRule="auto"/>
        <w:tabs>
          <w:tab w:leader="none" w:pos="185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That no part of the aggregate Capital Contributions made by such Member and used by such Member to acquire any Units, constitutes Assets of any “employee benefit plan” within the meaning of Section 3(3) of the Employee Retirement Income Security Act of 1974, as amended (“</w:t>
      </w:r>
      <w:r>
        <w:rPr>
          <w:rFonts w:ascii="Arial" w:cs="Arial" w:eastAsia="Arial" w:hAnsi="Arial"/>
          <w:sz w:val="19"/>
          <w:szCs w:val="19"/>
          <w:b w:val="1"/>
          <w:bCs w:val="1"/>
          <w:color w:val="auto"/>
        </w:rPr>
        <w:t>ERISA</w:t>
      </w:r>
      <w:r>
        <w:rPr>
          <w:rFonts w:ascii="Arial" w:cs="Arial" w:eastAsia="Arial" w:hAnsi="Arial"/>
          <w:sz w:val="19"/>
          <w:szCs w:val="19"/>
          <w:color w:val="auto"/>
        </w:rPr>
        <w:t xml:space="preserve">”), or other “benefit plan investor” (as defined in U.S. Department of Labor Reg. §§ 2510.3-101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Section 3(42) of ERISA) or Assets allocated to any insurance company separate account or general account in which any such employee benefit plan or benefit plan investor (or related trust) has any interest.</w:t>
      </w:r>
    </w:p>
    <w:p>
      <w:pPr>
        <w:spacing w:after="0" w:line="147" w:lineRule="exact"/>
        <w:rPr>
          <w:rFonts w:ascii="Arial" w:cs="Arial" w:eastAsia="Arial" w:hAnsi="Arial"/>
          <w:sz w:val="19"/>
          <w:szCs w:val="19"/>
          <w:color w:val="auto"/>
        </w:rPr>
      </w:pPr>
    </w:p>
    <w:p>
      <w:pPr>
        <w:jc w:val="both"/>
        <w:ind w:firstLine="1305"/>
        <w:spacing w:after="0" w:line="260" w:lineRule="auto"/>
        <w:tabs>
          <w:tab w:leader="none" w:pos="1761"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It (or, if it is a disregarded entity for federal income tax purposes, the Person treated for federal income tax purposes as the owner of its assets) is a “United States person” as defined in Section 7701(a)(30) of the Code and is not subject to withholding under Section 1446 of the Code.</w:t>
      </w:r>
    </w:p>
    <w:p>
      <w:pPr>
        <w:spacing w:after="0" w:line="177" w:lineRule="exact"/>
        <w:rPr>
          <w:rFonts w:ascii="Arial" w:cs="Arial" w:eastAsia="Arial" w:hAnsi="Arial"/>
          <w:sz w:val="22"/>
          <w:szCs w:val="22"/>
          <w:color w:val="auto"/>
        </w:rPr>
      </w:pPr>
    </w:p>
    <w:p>
      <w:pPr>
        <w:ind w:firstLine="1305"/>
        <w:spacing w:after="0" w:line="276" w:lineRule="auto"/>
        <w:tabs>
          <w:tab w:leader="none" w:pos="1721"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It will not take any action or change its status if such action or change would result in a breach of a Company covenant or is otherwise prohibited by the terms of the Fund Documents.</w:t>
      </w:r>
    </w:p>
    <w:p>
      <w:pPr>
        <w:spacing w:after="0" w:line="155"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8.11</w:t>
      </w:r>
      <w:r>
        <w:rPr>
          <w:sz w:val="20"/>
          <w:szCs w:val="20"/>
          <w:color w:val="auto"/>
        </w:rPr>
        <w:tab/>
      </w:r>
      <w:r>
        <w:rPr>
          <w:rFonts w:ascii="Arial" w:cs="Arial" w:eastAsia="Arial" w:hAnsi="Arial"/>
          <w:sz w:val="19"/>
          <w:szCs w:val="19"/>
          <w:b w:val="1"/>
          <w:bCs w:val="1"/>
          <w:u w:val="single" w:color="auto"/>
          <w:color w:val="auto"/>
        </w:rPr>
        <w:t>Survival.</w:t>
      </w:r>
    </w:p>
    <w:p>
      <w:pPr>
        <w:spacing w:after="0" w:line="23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The representations, warranties and covenants herein shall be continuing agreements of the Members that made them and shall survive the termination of this Agreement and the Company.</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TRANSFERS OF INTERESTS</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9.1</w:t>
      </w:r>
      <w:r>
        <w:rPr>
          <w:sz w:val="20"/>
          <w:szCs w:val="20"/>
          <w:color w:val="auto"/>
        </w:rPr>
        <w:tab/>
      </w:r>
      <w:r>
        <w:rPr>
          <w:rFonts w:ascii="Arial" w:cs="Arial" w:eastAsia="Arial" w:hAnsi="Arial"/>
          <w:sz w:val="19"/>
          <w:szCs w:val="19"/>
          <w:b w:val="1"/>
          <w:bCs w:val="1"/>
          <w:u w:val="single" w:color="auto"/>
          <w:color w:val="auto"/>
        </w:rPr>
        <w:t>Transfer Restrictions.</w:t>
      </w:r>
    </w:p>
    <w:p>
      <w:pPr>
        <w:spacing w:after="0" w:line="23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A Member may not Transfer or Encumber all or any portion of its Membership Interest, except in strict accordance with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References in this Agreement to Transfers or Encumbrances of a “Membership Interest” shall also refer to Transfers or Encumbrances of a portion of a Membership Interest. Any attempted Transfer or Encumbrance of any Membership Interest, other than in strict accordance with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be, and is hereby declared,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The Members agree that a breach of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may cause irreparable injury to the Company and to the other Members for which monetary damages (or other remedy at Law) are inadequate in view of (a) the complexities and uncertainties in measuring the actual damages that would be sustained by reason of the failure of a Member to comply with such provision and (b) the uniqueness of the Company’s business and the relationship among the Members. Accordingly, the Members agree that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may be enforced by specific performance.</w:t>
      </w:r>
    </w:p>
    <w:p>
      <w:pPr>
        <w:spacing w:after="0" w:line="152"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9.2</w:t>
      </w:r>
      <w:r>
        <w:rPr>
          <w:sz w:val="20"/>
          <w:szCs w:val="20"/>
          <w:color w:val="auto"/>
        </w:rPr>
        <w:tab/>
      </w:r>
      <w:r>
        <w:rPr>
          <w:rFonts w:ascii="Arial" w:cs="Arial" w:eastAsia="Arial" w:hAnsi="Arial"/>
          <w:sz w:val="19"/>
          <w:szCs w:val="19"/>
          <w:b w:val="1"/>
          <w:bCs w:val="1"/>
          <w:u w:val="single" w:color="auto"/>
          <w:color w:val="auto"/>
        </w:rPr>
        <w:t>Permitted Transfers.</w:t>
      </w:r>
    </w:p>
    <w:p>
      <w:pPr>
        <w:sectPr>
          <w:pgSz w:w="11900" w:h="16838" w:orient="portrait"/>
          <w:cols w:equalWidth="0" w:num="1">
            <w:col w:w="11420"/>
          </w:cols>
          <w:pgMar w:left="240" w:top="226" w:right="239" w:bottom="0" w:gutter="0" w:footer="0" w:header="0"/>
        </w:sectPr>
      </w:pPr>
    </w:p>
    <w:bookmarkStart w:id="261" w:name="page262"/>
    <w:bookmarkEnd w:id="261"/>
    <w:p>
      <w:pPr>
        <w:jc w:val="both"/>
        <w:ind w:firstLine="1297"/>
        <w:spacing w:after="0" w:line="260" w:lineRule="auto"/>
        <w:rPr>
          <w:sz w:val="20"/>
          <w:szCs w:val="20"/>
          <w:color w:val="auto"/>
        </w:rPr>
      </w:pPr>
      <w:r>
        <w:rPr>
          <w:rFonts w:ascii="Arial" w:cs="Arial" w:eastAsia="Arial" w:hAnsi="Arial"/>
          <w:sz w:val="21"/>
          <w:szCs w:val="21"/>
          <w:color w:val="auto"/>
        </w:rPr>
        <w:t xml:space="preserve">Prior to the expiration of the Investment Period, a Member may only Transfer (other than a Transfer pursuant to an Encumbrance entered into in accordance with </w:t>
      </w:r>
      <w:r>
        <w:rPr>
          <w:rFonts w:ascii="Arial" w:cs="Arial" w:eastAsia="Arial" w:hAnsi="Arial"/>
          <w:sz w:val="21"/>
          <w:szCs w:val="21"/>
          <w:u w:val="single" w:color="auto"/>
          <w:color w:val="auto"/>
        </w:rPr>
        <w:t>Section 9.4</w:t>
      </w:r>
      <w:r>
        <w:rPr>
          <w:rFonts w:ascii="Arial" w:cs="Arial" w:eastAsia="Arial" w:hAnsi="Arial"/>
          <w:sz w:val="21"/>
          <w:szCs w:val="21"/>
          <w:color w:val="auto"/>
        </w:rPr>
        <w:t xml:space="preserve">) all or part of its Units (and the Class A Interest represented thereby) with the Consent of the Members. Following the expiration of the Investment Period, a Member may Transfer all or part of its Units (and Membership Interest represented thereby) to a Person that is not a Disqualified Transferee,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it satisfies the requirements of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Notwithstanding anything in this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to the contrary, a Transfer upon foreclosure (or in lieu of such foreclosure) under an Encumbrance on such Member’s Units permitted in accordance with </w:t>
      </w:r>
      <w:r>
        <w:rPr>
          <w:rFonts w:ascii="Arial" w:cs="Arial" w:eastAsia="Arial" w:hAnsi="Arial"/>
          <w:sz w:val="21"/>
          <w:szCs w:val="21"/>
          <w:u w:val="single" w:color="auto"/>
          <w:color w:val="auto"/>
        </w:rPr>
        <w:t>Section 9.4</w:t>
      </w:r>
      <w:r>
        <w:rPr>
          <w:rFonts w:ascii="Arial" w:cs="Arial" w:eastAsia="Arial" w:hAnsi="Arial"/>
          <w:sz w:val="21"/>
          <w:szCs w:val="21"/>
          <w:color w:val="auto"/>
        </w:rPr>
        <w:t xml:space="preserve"> shall not require the approval by the Consent of the Members.</w:t>
      </w:r>
    </w:p>
    <w:p>
      <w:pPr>
        <w:spacing w:after="0" w:line="175"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9.3</w:t>
      </w:r>
      <w:r>
        <w:rPr>
          <w:sz w:val="20"/>
          <w:szCs w:val="20"/>
          <w:color w:val="auto"/>
        </w:rPr>
        <w:tab/>
      </w:r>
      <w:r>
        <w:rPr>
          <w:rFonts w:ascii="Arial" w:cs="Arial" w:eastAsia="Arial" w:hAnsi="Arial"/>
          <w:sz w:val="19"/>
          <w:szCs w:val="19"/>
          <w:b w:val="1"/>
          <w:bCs w:val="1"/>
          <w:u w:val="single" w:color="auto"/>
          <w:color w:val="auto"/>
        </w:rPr>
        <w:t>Conditions to Transfers.</w:t>
      </w:r>
    </w:p>
    <w:p>
      <w:pPr>
        <w:spacing w:after="0" w:line="239"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 xml:space="preserve">Except as otherwise provided in this </w:t>
      </w:r>
      <w:r>
        <w:rPr>
          <w:rFonts w:ascii="Arial" w:cs="Arial" w:eastAsia="Arial" w:hAnsi="Arial"/>
          <w:sz w:val="22"/>
          <w:szCs w:val="22"/>
          <w:u w:val="single" w:color="auto"/>
          <w:color w:val="auto"/>
        </w:rPr>
        <w:t>Article IX</w:t>
      </w:r>
      <w:r>
        <w:rPr>
          <w:rFonts w:ascii="Arial" w:cs="Arial" w:eastAsia="Arial" w:hAnsi="Arial"/>
          <w:sz w:val="22"/>
          <w:szCs w:val="22"/>
          <w:color w:val="auto"/>
        </w:rPr>
        <w:t>, all Transfers permitted hereby shall be subject to the satisfaction of the following requirements:</w:t>
      </w:r>
    </w:p>
    <w:p>
      <w:pPr>
        <w:spacing w:after="0" w:line="175" w:lineRule="exact"/>
        <w:rPr>
          <w:sz w:val="20"/>
          <w:szCs w:val="20"/>
          <w:color w:val="auto"/>
        </w:rPr>
      </w:pPr>
    </w:p>
    <w:p>
      <w:pPr>
        <w:ind w:firstLine="1305"/>
        <w:spacing w:after="0" w:line="276" w:lineRule="auto"/>
        <w:tabs>
          <w:tab w:leader="none" w:pos="1784" w:val="left"/>
        </w:tabs>
        <w:numPr>
          <w:ilvl w:val="1"/>
          <w:numId w:val="273"/>
        </w:numPr>
        <w:rPr>
          <w:rFonts w:ascii="Arial" w:cs="Arial" w:eastAsia="Arial" w:hAnsi="Arial"/>
          <w:sz w:val="22"/>
          <w:szCs w:val="22"/>
          <w:color w:val="auto"/>
        </w:rPr>
      </w:pPr>
      <w:r>
        <w:rPr>
          <w:rFonts w:ascii="Arial" w:cs="Arial" w:eastAsia="Arial" w:hAnsi="Arial"/>
          <w:sz w:val="22"/>
          <w:szCs w:val="22"/>
          <w:u w:val="single" w:color="auto"/>
          <w:color w:val="auto"/>
        </w:rPr>
        <w:t>Transfer Documents</w:t>
      </w:r>
      <w:r>
        <w:rPr>
          <w:rFonts w:ascii="Arial" w:cs="Arial" w:eastAsia="Arial" w:hAnsi="Arial"/>
          <w:sz w:val="22"/>
          <w:szCs w:val="22"/>
          <w:color w:val="auto"/>
        </w:rPr>
        <w:t>. The following documents shall have been delivered by the Transferring Member to the Manager and each other Member:</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2"/>
          <w:numId w:val="273"/>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Written notice not less than ten (10) Business Days prior to the proposed effective date of such</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Transfer.</w:t>
      </w:r>
    </w:p>
    <w:p>
      <w:pPr>
        <w:spacing w:after="0" w:line="215" w:lineRule="exact"/>
        <w:rPr>
          <w:rFonts w:ascii="Arial" w:cs="Arial" w:eastAsia="Arial" w:hAnsi="Arial"/>
          <w:sz w:val="19"/>
          <w:szCs w:val="19"/>
          <w:color w:val="auto"/>
        </w:rPr>
      </w:pPr>
    </w:p>
    <w:p>
      <w:pPr>
        <w:jc w:val="both"/>
        <w:ind w:left="660" w:firstLine="1293"/>
        <w:spacing w:after="0" w:line="284" w:lineRule="auto"/>
        <w:tabs>
          <w:tab w:leader="none" w:pos="2657" w:val="left"/>
        </w:tabs>
        <w:numPr>
          <w:ilvl w:val="2"/>
          <w:numId w:val="273"/>
        </w:numPr>
        <w:rPr>
          <w:rFonts w:ascii="Arial" w:cs="Arial" w:eastAsia="Arial" w:hAnsi="Arial"/>
          <w:sz w:val="19"/>
          <w:szCs w:val="19"/>
          <w:color w:val="auto"/>
        </w:rPr>
      </w:pPr>
      <w:r>
        <w:rPr>
          <w:rFonts w:ascii="Arial" w:cs="Arial" w:eastAsia="Arial" w:hAnsi="Arial"/>
          <w:sz w:val="19"/>
          <w:szCs w:val="19"/>
          <w:u w:val="single" w:color="auto"/>
          <w:color w:val="auto"/>
        </w:rPr>
        <w:t>Transfer Instrument</w:t>
      </w:r>
      <w:r>
        <w:rPr>
          <w:rFonts w:ascii="Arial" w:cs="Arial" w:eastAsia="Arial" w:hAnsi="Arial"/>
          <w:sz w:val="19"/>
          <w:szCs w:val="19"/>
          <w:color w:val="auto"/>
        </w:rPr>
        <w:t xml:space="preserve">. An instrument executed by the Transferring Member and the Transferee implementing the Transfer, in substantially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or such other form that is reasonably satisfactory to the Manager (which approval shall not be unreasonably withheld or delayed) and which contains: (A) the notice address of the Transferee; (B) if applicable, the Parent of the Transferee; (C) the number of Units as to each class of Membership Interest held by the Transferring Member and held by the Transferee after the Transfer (which must total the number of Units as to each class of Membership Interest held by the Transferring Member before the Transfer); (D) the Transferee’s ratification of this Agreement and its confirmation that the representations and warranties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applicable to it are true and correct with respect to it; (E) the Transferee’s ratification of the Investment Documents to which the Transferring Member is a party and agreement to be bound by them to the same extent that the Transferring Member was bound by them prior to the Transfer, including the assumptions of all liabilities and obligations thereunder with respect to the Transferred Membership Interest (including, without limitation and for the avoidance of doubt, each Member’s indemnification obligations under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in connection with any Indemnification Claims arising out of or resulting from actions of the Member (or any successor thereto) as Manager prior to any replacement of the Manager pursuant to </w:t>
      </w:r>
      <w:r>
        <w:rPr>
          <w:rFonts w:ascii="Arial" w:cs="Arial" w:eastAsia="Arial" w:hAnsi="Arial"/>
          <w:sz w:val="19"/>
          <w:szCs w:val="19"/>
          <w:u w:val="single" w:color="auto"/>
          <w:color w:val="auto"/>
        </w:rPr>
        <w:t>Section 6.4</w:t>
      </w:r>
      <w:r>
        <w:rPr>
          <w:rFonts w:ascii="Arial" w:cs="Arial" w:eastAsia="Arial" w:hAnsi="Arial"/>
          <w:sz w:val="19"/>
          <w:szCs w:val="19"/>
          <w:color w:val="auto"/>
        </w:rPr>
        <w:t>); and</w:t>
      </w:r>
    </w:p>
    <w:p>
      <w:pPr>
        <w:spacing w:after="0" w:line="6" w:lineRule="exact"/>
        <w:rPr>
          <w:rFonts w:ascii="Arial" w:cs="Arial" w:eastAsia="Arial" w:hAnsi="Arial"/>
          <w:sz w:val="19"/>
          <w:szCs w:val="19"/>
          <w:color w:val="auto"/>
        </w:rPr>
      </w:pPr>
    </w:p>
    <w:p>
      <w:pPr>
        <w:jc w:val="both"/>
        <w:ind w:left="660" w:hanging="4"/>
        <w:spacing w:after="0" w:line="260" w:lineRule="auto"/>
        <w:tabs>
          <w:tab w:leader="none" w:pos="983" w:val="left"/>
        </w:tabs>
        <w:numPr>
          <w:ilvl w:val="0"/>
          <w:numId w:val="274"/>
        </w:numPr>
        <w:rPr>
          <w:rFonts w:ascii="Arial" w:cs="Arial" w:eastAsia="Arial" w:hAnsi="Arial"/>
          <w:sz w:val="21"/>
          <w:szCs w:val="21"/>
          <w:color w:val="auto"/>
        </w:rPr>
      </w:pPr>
      <w:r>
        <w:rPr>
          <w:rFonts w:ascii="Arial" w:cs="Arial" w:eastAsia="Arial" w:hAnsi="Arial"/>
          <w:sz w:val="21"/>
          <w:szCs w:val="21"/>
          <w:color w:val="auto"/>
        </w:rPr>
        <w:t xml:space="preserve">representations and warranties by the Transferring Member and its Transferee that the Transfer and the admission of the Transferee as a Member is being made in accordance with all applicable Law, and that the applicable conditions set forth in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have been satisfied. Upon any such Transfer, the Manager shall update </w:t>
      </w:r>
      <w:r>
        <w:rPr>
          <w:rFonts w:ascii="Arial" w:cs="Arial" w:eastAsia="Arial" w:hAnsi="Arial"/>
          <w:sz w:val="21"/>
          <w:szCs w:val="21"/>
          <w:u w:val="single" w:color="auto"/>
          <w:color w:val="auto"/>
        </w:rPr>
        <w:t>Annex I</w:t>
      </w:r>
      <w:r>
        <w:rPr>
          <w:rFonts w:ascii="Arial" w:cs="Arial" w:eastAsia="Arial" w:hAnsi="Arial"/>
          <w:sz w:val="21"/>
          <w:szCs w:val="21"/>
          <w:color w:val="auto"/>
        </w:rPr>
        <w:t xml:space="preserve"> and the Register appropriately, and shall provide such updated Register to each Member.</w:t>
      </w:r>
    </w:p>
    <w:p>
      <w:pPr>
        <w:spacing w:after="0" w:line="178" w:lineRule="exact"/>
        <w:rPr>
          <w:rFonts w:ascii="Arial" w:cs="Arial" w:eastAsia="Arial" w:hAnsi="Arial"/>
          <w:sz w:val="21"/>
          <w:szCs w:val="21"/>
          <w:color w:val="auto"/>
        </w:rPr>
      </w:pPr>
    </w:p>
    <w:p>
      <w:pPr>
        <w:ind w:left="1820" w:hanging="515"/>
        <w:spacing w:after="0"/>
        <w:tabs>
          <w:tab w:leader="none" w:pos="1820" w:val="left"/>
        </w:tabs>
        <w:numPr>
          <w:ilvl w:val="1"/>
          <w:numId w:val="274"/>
        </w:numPr>
        <w:rPr>
          <w:rFonts w:ascii="Arial" w:cs="Arial" w:eastAsia="Arial" w:hAnsi="Arial"/>
          <w:sz w:val="19"/>
          <w:szCs w:val="19"/>
          <w:color w:val="auto"/>
        </w:rPr>
      </w:pPr>
      <w:r>
        <w:rPr>
          <w:rFonts w:ascii="Arial" w:cs="Arial" w:eastAsia="Arial" w:hAnsi="Arial"/>
          <w:sz w:val="19"/>
          <w:szCs w:val="19"/>
          <w:u w:val="single" w:color="auto"/>
          <w:color w:val="auto"/>
        </w:rPr>
        <w:t>Fund Documents</w:t>
      </w:r>
      <w:r>
        <w:rPr>
          <w:rFonts w:ascii="Arial" w:cs="Arial" w:eastAsia="Arial" w:hAnsi="Arial"/>
          <w:sz w:val="19"/>
          <w:szCs w:val="19"/>
          <w:color w:val="auto"/>
        </w:rPr>
        <w:t>. Such Transfer does not breach any provision of any Fund Document or any other Project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Document.</w:t>
      </w:r>
    </w:p>
    <w:p>
      <w:pPr>
        <w:spacing w:after="0" w:line="215" w:lineRule="exact"/>
        <w:rPr>
          <w:rFonts w:ascii="Arial" w:cs="Arial" w:eastAsia="Arial" w:hAnsi="Arial"/>
          <w:sz w:val="19"/>
          <w:szCs w:val="19"/>
          <w:color w:val="auto"/>
        </w:rPr>
      </w:pPr>
    </w:p>
    <w:p>
      <w:pPr>
        <w:ind w:right="20" w:firstLine="1305"/>
        <w:spacing w:after="0" w:line="276" w:lineRule="auto"/>
        <w:tabs>
          <w:tab w:leader="none" w:pos="1784" w:val="left"/>
        </w:tabs>
        <w:numPr>
          <w:ilvl w:val="1"/>
          <w:numId w:val="274"/>
        </w:numPr>
        <w:rPr>
          <w:rFonts w:ascii="Arial" w:cs="Arial" w:eastAsia="Arial" w:hAnsi="Arial"/>
          <w:sz w:val="22"/>
          <w:szCs w:val="22"/>
          <w:color w:val="auto"/>
        </w:rPr>
      </w:pPr>
      <w:r>
        <w:rPr>
          <w:rFonts w:ascii="Arial" w:cs="Arial" w:eastAsia="Arial" w:hAnsi="Arial"/>
          <w:sz w:val="22"/>
          <w:szCs w:val="22"/>
          <w:u w:val="single" w:color="auto"/>
          <w:color w:val="auto"/>
        </w:rPr>
        <w:t>Applicable Law; Securities Law</w:t>
      </w:r>
      <w:r>
        <w:rPr>
          <w:rFonts w:ascii="Arial" w:cs="Arial" w:eastAsia="Arial" w:hAnsi="Arial"/>
          <w:sz w:val="22"/>
          <w:szCs w:val="22"/>
          <w:color w:val="auto"/>
        </w:rPr>
        <w:t>. Such Transfer does not violate any provision of applicable Law, including, without limitation, applicable securities Law.</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274"/>
        </w:numPr>
        <w:rPr>
          <w:rFonts w:ascii="Arial" w:cs="Arial" w:eastAsia="Arial" w:hAnsi="Arial"/>
          <w:sz w:val="22"/>
          <w:szCs w:val="22"/>
          <w:color w:val="auto"/>
        </w:rPr>
      </w:pPr>
      <w:r>
        <w:rPr>
          <w:rFonts w:ascii="Arial" w:cs="Arial" w:eastAsia="Arial" w:hAnsi="Arial"/>
          <w:sz w:val="22"/>
          <w:szCs w:val="22"/>
          <w:u w:val="single" w:color="auto"/>
          <w:color w:val="auto"/>
        </w:rPr>
        <w:t>Tax Consequences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60" w:lineRule="auto"/>
        <w:tabs>
          <w:tab w:leader="none" w:pos="2340" w:val="left"/>
        </w:tabs>
        <w:numPr>
          <w:ilvl w:val="2"/>
          <w:numId w:val="274"/>
        </w:numPr>
        <w:rPr>
          <w:rFonts w:ascii="Arial" w:cs="Arial" w:eastAsia="Arial" w:hAnsi="Arial"/>
          <w:sz w:val="22"/>
          <w:szCs w:val="22"/>
          <w:color w:val="auto"/>
        </w:rPr>
      </w:pPr>
      <w:r>
        <w:rPr>
          <w:rFonts w:ascii="Arial" w:cs="Arial" w:eastAsia="Arial" w:hAnsi="Arial"/>
          <w:sz w:val="22"/>
          <w:szCs w:val="22"/>
          <w:u w:val="single" w:color="auto"/>
          <w:color w:val="auto"/>
        </w:rPr>
        <w:t>Entity Classification</w:t>
      </w:r>
      <w:r>
        <w:rPr>
          <w:rFonts w:ascii="Arial" w:cs="Arial" w:eastAsia="Arial" w:hAnsi="Arial"/>
          <w:sz w:val="22"/>
          <w:szCs w:val="22"/>
          <w:color w:val="auto"/>
        </w:rPr>
        <w:t>. Such Transfer does not cause the Company to be classified as an entity other than a partnership (or cause the Company to be treated as a publicly traded partnership taxable as a corporation) for purposes of the Code.</w:t>
      </w:r>
    </w:p>
    <w:p>
      <w:pPr>
        <w:spacing w:after="0" w:line="177" w:lineRule="exact"/>
        <w:rPr>
          <w:rFonts w:ascii="Arial" w:cs="Arial" w:eastAsia="Arial" w:hAnsi="Arial"/>
          <w:sz w:val="22"/>
          <w:szCs w:val="22"/>
          <w:color w:val="auto"/>
        </w:rPr>
      </w:pPr>
    </w:p>
    <w:p>
      <w:pPr>
        <w:ind w:left="660" w:firstLine="1293"/>
        <w:spacing w:after="0" w:line="276" w:lineRule="auto"/>
        <w:tabs>
          <w:tab w:leader="none" w:pos="2455" w:val="left"/>
        </w:tabs>
        <w:numPr>
          <w:ilvl w:val="2"/>
          <w:numId w:val="274"/>
        </w:numPr>
        <w:rPr>
          <w:rFonts w:ascii="Arial" w:cs="Arial" w:eastAsia="Arial" w:hAnsi="Arial"/>
          <w:sz w:val="22"/>
          <w:szCs w:val="22"/>
          <w:color w:val="auto"/>
        </w:rPr>
      </w:pPr>
      <w:r>
        <w:rPr>
          <w:rFonts w:ascii="Arial" w:cs="Arial" w:eastAsia="Arial" w:hAnsi="Arial"/>
          <w:sz w:val="22"/>
          <w:szCs w:val="22"/>
          <w:u w:val="single" w:color="auto"/>
          <w:color w:val="auto"/>
        </w:rPr>
        <w:t>Recapture</w:t>
      </w:r>
      <w:r>
        <w:rPr>
          <w:rFonts w:ascii="Arial" w:cs="Arial" w:eastAsia="Arial" w:hAnsi="Arial"/>
          <w:sz w:val="22"/>
          <w:szCs w:val="22"/>
          <w:color w:val="auto"/>
        </w:rPr>
        <w:t>. If such Transfer would occur prior to the end of the Recapture Period, such Transfer does not and will not result in the Recapture of any ITCs previously accrued to the Company.</w:t>
      </w:r>
    </w:p>
    <w:p>
      <w:pPr>
        <w:spacing w:after="0" w:line="160" w:lineRule="exact"/>
        <w:rPr>
          <w:rFonts w:ascii="Arial" w:cs="Arial" w:eastAsia="Arial" w:hAnsi="Arial"/>
          <w:sz w:val="22"/>
          <w:szCs w:val="22"/>
          <w:color w:val="auto"/>
        </w:rPr>
      </w:pPr>
    </w:p>
    <w:p>
      <w:pPr>
        <w:jc w:val="both"/>
        <w:ind w:left="660" w:firstLine="1293"/>
        <w:spacing w:after="0" w:line="260" w:lineRule="auto"/>
        <w:tabs>
          <w:tab w:leader="none" w:pos="2582" w:val="left"/>
        </w:tabs>
        <w:numPr>
          <w:ilvl w:val="2"/>
          <w:numId w:val="27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Such Transfer would not result in the Company’s termination within the meaning of Section 708 of the Code unless the transferee has indemnified the other Members against any adverse tax effects that result from such termination.</w:t>
      </w:r>
    </w:p>
    <w:p>
      <w:pPr>
        <w:spacing w:after="0" w:line="177" w:lineRule="exact"/>
        <w:rPr>
          <w:rFonts w:ascii="Arial" w:cs="Arial" w:eastAsia="Arial" w:hAnsi="Arial"/>
          <w:sz w:val="22"/>
          <w:szCs w:val="22"/>
          <w:color w:val="auto"/>
        </w:rPr>
      </w:pPr>
    </w:p>
    <w:p>
      <w:pPr>
        <w:jc w:val="both"/>
        <w:ind w:left="660" w:firstLine="1293"/>
        <w:spacing w:after="0" w:line="300" w:lineRule="auto"/>
        <w:tabs>
          <w:tab w:leader="none" w:pos="2516" w:val="left"/>
        </w:tabs>
        <w:numPr>
          <w:ilvl w:val="2"/>
          <w:numId w:val="274"/>
        </w:numPr>
        <w:rPr>
          <w:rFonts w:ascii="Arial" w:cs="Arial" w:eastAsia="Arial" w:hAnsi="Arial"/>
          <w:sz w:val="19"/>
          <w:szCs w:val="19"/>
          <w:color w:val="auto"/>
        </w:rPr>
      </w:pPr>
      <w:r>
        <w:rPr>
          <w:rFonts w:ascii="Arial" w:cs="Arial" w:eastAsia="Arial" w:hAnsi="Arial"/>
          <w:sz w:val="19"/>
          <w:szCs w:val="19"/>
          <w:u w:val="single" w:color="auto"/>
          <w:color w:val="auto"/>
        </w:rPr>
        <w:t>Tax-Exempt Entity</w:t>
      </w:r>
      <w:r>
        <w:rPr>
          <w:rFonts w:ascii="Arial" w:cs="Arial" w:eastAsia="Arial" w:hAnsi="Arial"/>
          <w:sz w:val="19"/>
          <w:szCs w:val="19"/>
          <w:color w:val="auto"/>
        </w:rPr>
        <w:t>. Such Transfer is not to a tax-exempt entity (or, if the transferee is a disregarded entity for federal income tax purposes, the Person treated for federal income tax purposes as the owner of its assets is not a tax-exempt entity) (within the meaning of Section 168(h)(2) of the Code) and such Transfer, in the reasonable determination of the Company, does not present a material risk that any property of the Company or any Subject Company would thereby become “tax-exempt use property” within the meaning of Section 168(h)(6) of the Code.</w:t>
      </w:r>
    </w:p>
    <w:p>
      <w:pPr>
        <w:spacing w:after="0" w:line="147" w:lineRule="exact"/>
        <w:rPr>
          <w:rFonts w:ascii="Arial" w:cs="Arial" w:eastAsia="Arial" w:hAnsi="Arial"/>
          <w:sz w:val="19"/>
          <w:szCs w:val="19"/>
          <w:color w:val="auto"/>
        </w:rPr>
      </w:pPr>
    </w:p>
    <w:p>
      <w:pPr>
        <w:jc w:val="both"/>
        <w:ind w:firstLine="1305"/>
        <w:spacing w:after="0" w:line="358" w:lineRule="auto"/>
        <w:tabs>
          <w:tab w:leader="none" w:pos="1716" w:val="left"/>
        </w:tabs>
        <w:numPr>
          <w:ilvl w:val="1"/>
          <w:numId w:val="274"/>
        </w:numPr>
        <w:rPr>
          <w:rFonts w:ascii="Arial" w:cs="Arial" w:eastAsia="Arial" w:hAnsi="Arial"/>
          <w:sz w:val="19"/>
          <w:szCs w:val="19"/>
          <w:color w:val="auto"/>
        </w:rPr>
      </w:pPr>
      <w:r>
        <w:rPr>
          <w:rFonts w:ascii="Arial" w:cs="Arial" w:eastAsia="Arial" w:hAnsi="Arial"/>
          <w:sz w:val="19"/>
          <w:szCs w:val="19"/>
          <w:u w:val="single" w:color="auto"/>
          <w:color w:val="auto"/>
        </w:rPr>
        <w:t>Payment of Expenses</w:t>
      </w:r>
      <w:r>
        <w:rPr>
          <w:rFonts w:ascii="Arial" w:cs="Arial" w:eastAsia="Arial" w:hAnsi="Arial"/>
          <w:sz w:val="19"/>
          <w:szCs w:val="19"/>
          <w:color w:val="auto"/>
        </w:rPr>
        <w:t>. The Transferring Member and the Transferee shall have paid or reimbursed the Company and each Member for all reasonable costs and expenses incurred by the Company and such Members in connection with the</w:t>
      </w:r>
    </w:p>
    <w:p>
      <w:pPr>
        <w:sectPr>
          <w:pgSz w:w="11900" w:h="16838" w:orient="portrait"/>
          <w:cols w:equalWidth="0" w:num="1">
            <w:col w:w="11420"/>
          </w:cols>
          <w:pgMar w:left="240" w:top="159" w:right="239" w:bottom="0" w:gutter="0" w:footer="0" w:header="0"/>
        </w:sectPr>
      </w:pPr>
    </w:p>
    <w:bookmarkStart w:id="262" w:name="page263"/>
    <w:bookmarkEnd w:id="262"/>
    <w:p>
      <w:pPr>
        <w:spacing w:after="0" w:line="225" w:lineRule="auto"/>
        <w:rPr>
          <w:sz w:val="20"/>
          <w:szCs w:val="20"/>
          <w:color w:val="auto"/>
        </w:rPr>
      </w:pPr>
      <w:r>
        <w:rPr>
          <w:rFonts w:ascii="Arial" w:cs="Arial" w:eastAsia="Arial" w:hAnsi="Arial"/>
          <w:sz w:val="22"/>
          <w:szCs w:val="22"/>
          <w:color w:val="auto"/>
        </w:rPr>
        <w:t>Transfer and admission, on or before the tenth (10</w:t>
      </w:r>
      <w:r>
        <w:rPr>
          <w:rFonts w:ascii="Arial" w:cs="Arial" w:eastAsia="Arial" w:hAnsi="Arial"/>
          <w:sz w:val="28"/>
          <w:szCs w:val="28"/>
          <w:color w:val="auto"/>
          <w:vertAlign w:val="superscript"/>
        </w:rPr>
        <w:t>th</w:t>
      </w:r>
      <w:r>
        <w:rPr>
          <w:rFonts w:ascii="Arial" w:cs="Arial" w:eastAsia="Arial" w:hAnsi="Arial"/>
          <w:sz w:val="22"/>
          <w:szCs w:val="22"/>
          <w:color w:val="auto"/>
        </w:rPr>
        <w:t>) day after the receipt by such Persons of the Company’s or any such Member’s invoice for the amount due.</w:t>
      </w:r>
    </w:p>
    <w:p>
      <w:pPr>
        <w:spacing w:after="0" w:line="200" w:lineRule="exact"/>
        <w:rPr>
          <w:sz w:val="20"/>
          <w:szCs w:val="20"/>
          <w:color w:val="auto"/>
        </w:rPr>
      </w:pPr>
    </w:p>
    <w:p>
      <w:pPr>
        <w:ind w:firstLine="1305"/>
        <w:spacing w:after="0" w:line="301" w:lineRule="auto"/>
        <w:tabs>
          <w:tab w:leader="none" w:pos="1800" w:val="left"/>
        </w:tabs>
        <w:numPr>
          <w:ilvl w:val="0"/>
          <w:numId w:val="275"/>
        </w:numPr>
        <w:rPr>
          <w:rFonts w:ascii="Arial" w:cs="Arial" w:eastAsia="Arial" w:hAnsi="Arial"/>
          <w:sz w:val="21"/>
          <w:szCs w:val="21"/>
          <w:color w:val="auto"/>
        </w:rPr>
      </w:pPr>
      <w:r>
        <w:rPr>
          <w:rFonts w:ascii="Arial" w:cs="Arial" w:eastAsia="Arial" w:hAnsi="Arial"/>
          <w:sz w:val="21"/>
          <w:szCs w:val="21"/>
          <w:u w:val="single" w:color="auto"/>
          <w:color w:val="auto"/>
        </w:rPr>
        <w:t>No Release</w:t>
      </w:r>
      <w:r>
        <w:rPr>
          <w:rFonts w:ascii="Arial" w:cs="Arial" w:eastAsia="Arial" w:hAnsi="Arial"/>
          <w:sz w:val="21"/>
          <w:szCs w:val="21"/>
          <w:color w:val="auto"/>
        </w:rPr>
        <w:t>. Such Transfer shall not effect a release of the Transferring Member from any liabilities to the Company or the other Members arising from events occurring prior to or in connection with the Transfer.</w:t>
      </w:r>
    </w:p>
    <w:p>
      <w:pPr>
        <w:spacing w:after="0" w:line="137" w:lineRule="exact"/>
        <w:rPr>
          <w:rFonts w:ascii="Arial" w:cs="Arial" w:eastAsia="Arial" w:hAnsi="Arial"/>
          <w:sz w:val="21"/>
          <w:szCs w:val="21"/>
          <w:color w:val="auto"/>
        </w:rPr>
      </w:pPr>
    </w:p>
    <w:p>
      <w:pPr>
        <w:jc w:val="both"/>
        <w:ind w:firstLine="1305"/>
        <w:spacing w:after="0" w:line="254" w:lineRule="auto"/>
        <w:tabs>
          <w:tab w:leader="none" w:pos="1769"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Regulatory Matters</w:t>
      </w:r>
      <w:r>
        <w:rPr>
          <w:rFonts w:ascii="Arial" w:cs="Arial" w:eastAsia="Arial" w:hAnsi="Arial"/>
          <w:sz w:val="22"/>
          <w:szCs w:val="22"/>
          <w:color w:val="auto"/>
        </w:rPr>
        <w:t>. Such Transfer shall not result in (a) any Project ceasing to be or a Qualifying Facility, to the extent applicable, (b) any Subject Company becoming subject to regulation under PUHCA other than with respect to regulations pertaining to maintaining Qualifying Facility status or (c) any Subject Company ceasing to hold any other Energy Regulatory Approval.</w:t>
      </w:r>
    </w:p>
    <w:p>
      <w:pPr>
        <w:spacing w:after="0" w:line="185" w:lineRule="exact"/>
        <w:rPr>
          <w:rFonts w:ascii="Arial" w:cs="Arial" w:eastAsia="Arial" w:hAnsi="Arial"/>
          <w:sz w:val="22"/>
          <w:szCs w:val="22"/>
          <w:color w:val="auto"/>
        </w:rPr>
      </w:pPr>
    </w:p>
    <w:p>
      <w:pPr>
        <w:ind w:left="1820" w:hanging="515"/>
        <w:spacing w:after="0"/>
        <w:tabs>
          <w:tab w:leader="none" w:pos="1820" w:val="left"/>
        </w:tabs>
        <w:numPr>
          <w:ilvl w:val="0"/>
          <w:numId w:val="275"/>
        </w:numPr>
        <w:rPr>
          <w:rFonts w:ascii="Arial" w:cs="Arial" w:eastAsia="Arial" w:hAnsi="Arial"/>
          <w:sz w:val="19"/>
          <w:szCs w:val="19"/>
          <w:color w:val="auto"/>
        </w:rPr>
      </w:pPr>
      <w:r>
        <w:rPr>
          <w:rFonts w:ascii="Arial" w:cs="Arial" w:eastAsia="Arial" w:hAnsi="Arial"/>
          <w:sz w:val="19"/>
          <w:szCs w:val="19"/>
          <w:u w:val="single" w:color="auto"/>
          <w:color w:val="auto"/>
        </w:rPr>
        <w:t>Consents and Permits</w:t>
      </w:r>
      <w:r>
        <w:rPr>
          <w:rFonts w:ascii="Arial" w:cs="Arial" w:eastAsia="Arial" w:hAnsi="Arial"/>
          <w:sz w:val="19"/>
          <w:szCs w:val="19"/>
          <w:color w:val="auto"/>
        </w:rPr>
        <w:t>. All consents, approvals and Licenses and Permits with respect to such Transfer shall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have been obtained.</w:t>
      </w:r>
    </w:p>
    <w:p>
      <w:pPr>
        <w:spacing w:after="0" w:line="215" w:lineRule="exact"/>
        <w:rPr>
          <w:rFonts w:ascii="Arial" w:cs="Arial" w:eastAsia="Arial" w:hAnsi="Arial"/>
          <w:sz w:val="19"/>
          <w:szCs w:val="19"/>
          <w:color w:val="auto"/>
        </w:rPr>
      </w:pPr>
    </w:p>
    <w:p>
      <w:pPr>
        <w:ind w:right="20" w:firstLine="1305"/>
        <w:spacing w:after="0" w:line="276" w:lineRule="auto"/>
        <w:tabs>
          <w:tab w:leader="none" w:pos="1694"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Such Transfer does not require the Company to register as an “investment company” under the Investment Company Act of 1940, as amended.</w:t>
      </w:r>
    </w:p>
    <w:p>
      <w:pPr>
        <w:spacing w:after="0" w:line="155"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9.4</w:t>
      </w:r>
      <w:r>
        <w:rPr>
          <w:sz w:val="20"/>
          <w:szCs w:val="20"/>
          <w:color w:val="auto"/>
        </w:rPr>
        <w:tab/>
      </w:r>
      <w:r>
        <w:rPr>
          <w:rFonts w:ascii="Arial" w:cs="Arial" w:eastAsia="Arial" w:hAnsi="Arial"/>
          <w:sz w:val="19"/>
          <w:szCs w:val="19"/>
          <w:b w:val="1"/>
          <w:bCs w:val="1"/>
          <w:u w:val="single" w:color="auto"/>
          <w:color w:val="auto"/>
        </w:rPr>
        <w:t>Encumbrances of Membership Interest.</w:t>
      </w:r>
    </w:p>
    <w:p>
      <w:pPr>
        <w:spacing w:after="0" w:line="23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A Member may Encumber its Membership Interest, and any Parent of a Member may Encumber such Membership Interest indirectly, so long as the instrument creating such Encumbrance provides that any Transfer upon foreclosure of such Encumbrance (or Transfer in lieu of such foreclosure) shall, and the actual Transfer relating to such Encumbrance (whether through foreclosure or in lieu of foreclosure) shall (a) not be to a Disqualified Transferee, (b) during the Investment Period, shall only be to a Qualified Transferee and (c) otherwise comply with the requirements of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Notwithstanding the foregoing provisions of this </w:t>
      </w:r>
      <w:r>
        <w:rPr>
          <w:rFonts w:ascii="Arial" w:cs="Arial" w:eastAsia="Arial" w:hAnsi="Arial"/>
          <w:sz w:val="21"/>
          <w:szCs w:val="21"/>
          <w:u w:val="single" w:color="auto"/>
          <w:color w:val="auto"/>
        </w:rPr>
        <w:t>Section 9.4</w:t>
      </w:r>
      <w:r>
        <w:rPr>
          <w:rFonts w:ascii="Arial" w:cs="Arial" w:eastAsia="Arial" w:hAnsi="Arial"/>
          <w:sz w:val="21"/>
          <w:szCs w:val="21"/>
          <w:color w:val="auto"/>
        </w:rPr>
        <w:t xml:space="preserve"> (a) the Members agree to act in a commercially reasonable manner in connection with a financing in which a Member intends to grant a security interest in its Units and take such actions (or refrain from taking such actions) as are reasonably requested by such Member to facilitate the closing of such financing, including reasonably cooperating with such Member to enter into a consent to assignment, provided that such consent to assignment is reasonably acceptable to the Members, with such Member’s financing parties and (b) such Member may Encumber its Membership Interests pursuant to and subject to the terms of any such consent.</w:t>
      </w:r>
    </w:p>
    <w:p>
      <w:pPr>
        <w:spacing w:after="0" w:line="177"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9.5</w:t>
      </w:r>
      <w:r>
        <w:rPr>
          <w:sz w:val="20"/>
          <w:szCs w:val="20"/>
          <w:color w:val="auto"/>
        </w:rPr>
        <w:tab/>
      </w:r>
      <w:r>
        <w:rPr>
          <w:rFonts w:ascii="Arial" w:cs="Arial" w:eastAsia="Arial" w:hAnsi="Arial"/>
          <w:sz w:val="19"/>
          <w:szCs w:val="19"/>
          <w:b w:val="1"/>
          <w:bCs w:val="1"/>
          <w:u w:val="single" w:color="auto"/>
          <w:color w:val="auto"/>
        </w:rPr>
        <w:t>Admission of Transferee as a Member.</w:t>
      </w:r>
    </w:p>
    <w:p>
      <w:pPr>
        <w:spacing w:after="0" w:line="239"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Any Transferee in a Transfer permitted under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shall be admitted to the Company as a Member, with the Membership Interest so transferred to such Transferee, to the extent that (a) the Transferring Member making the Transfer has granted the Transferee the Transferring Member’s entire Membership Interest, or, in the case of Transfer of a part of such Member’s Membership Interest, the express right to be so admitted as a Member and (b) such Transfer is effected in strict compliance with </w:t>
      </w:r>
      <w:r>
        <w:rPr>
          <w:rFonts w:ascii="Arial" w:cs="Arial" w:eastAsia="Arial" w:hAnsi="Arial"/>
          <w:sz w:val="22"/>
          <w:szCs w:val="22"/>
          <w:u w:val="single" w:color="auto"/>
          <w:color w:val="auto"/>
        </w:rPr>
        <w:t>Section 9.3</w:t>
      </w:r>
      <w:r>
        <w:rPr>
          <w:rFonts w:ascii="Arial" w:cs="Arial" w:eastAsia="Arial" w:hAnsi="Arial"/>
          <w:sz w:val="22"/>
          <w:szCs w:val="22"/>
          <w:color w:val="auto"/>
        </w:rPr>
        <w:t>.</w:t>
      </w:r>
    </w:p>
    <w:p>
      <w:pPr>
        <w:spacing w:after="0" w:line="186"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9.6</w:t>
      </w:r>
      <w:r>
        <w:rPr>
          <w:sz w:val="20"/>
          <w:szCs w:val="20"/>
          <w:color w:val="auto"/>
        </w:rPr>
        <w:tab/>
      </w:r>
      <w:r>
        <w:rPr>
          <w:rFonts w:ascii="Arial" w:cs="Arial" w:eastAsia="Arial" w:hAnsi="Arial"/>
          <w:sz w:val="19"/>
          <w:szCs w:val="19"/>
          <w:b w:val="1"/>
          <w:bCs w:val="1"/>
          <w:u w:val="single" w:color="auto"/>
          <w:color w:val="auto"/>
        </w:rPr>
        <w:t>Change in Control.</w:t>
      </w:r>
    </w:p>
    <w:p>
      <w:pPr>
        <w:spacing w:after="0" w:line="23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The Class B Member shall provide prompt written notice to the Class A Member of execution of definitive agreements, which if consummated would result in a Change in Control (a </w:t>
      </w:r>
      <w:r>
        <w:rPr>
          <w:rFonts w:ascii="Arial" w:cs="Arial" w:eastAsia="Arial" w:hAnsi="Arial"/>
          <w:sz w:val="21"/>
          <w:szCs w:val="21"/>
          <w:b w:val="1"/>
          <w:bCs w:val="1"/>
          <w:color w:val="auto"/>
        </w:rPr>
        <w:t>“Change in Control Notice</w:t>
      </w:r>
      <w:r>
        <w:rPr>
          <w:rFonts w:ascii="Arial" w:cs="Arial" w:eastAsia="Arial" w:hAnsi="Arial"/>
          <w:sz w:val="21"/>
          <w:szCs w:val="21"/>
          <w:color w:val="auto"/>
        </w:rPr>
        <w:t>”). The Class A Member shall have the right (the “</w:t>
      </w:r>
      <w:r>
        <w:rPr>
          <w:rFonts w:ascii="Arial" w:cs="Arial" w:eastAsia="Arial" w:hAnsi="Arial"/>
          <w:sz w:val="21"/>
          <w:szCs w:val="21"/>
          <w:b w:val="1"/>
          <w:bCs w:val="1"/>
          <w:color w:val="auto"/>
        </w:rPr>
        <w:t>Affiliate Termination Right</w:t>
      </w:r>
      <w:r>
        <w:rPr>
          <w:rFonts w:ascii="Arial" w:cs="Arial" w:eastAsia="Arial" w:hAnsi="Arial"/>
          <w:sz w:val="21"/>
          <w:szCs w:val="21"/>
          <w:color w:val="auto"/>
        </w:rPr>
        <w:t>”), exercisable within twelve (12) months after the Class A Member’s receipt of a Change in Control Notice, to give notice (the “</w:t>
      </w:r>
      <w:r>
        <w:rPr>
          <w:rFonts w:ascii="Arial" w:cs="Arial" w:eastAsia="Arial" w:hAnsi="Arial"/>
          <w:sz w:val="21"/>
          <w:szCs w:val="21"/>
          <w:b w:val="1"/>
          <w:bCs w:val="1"/>
          <w:color w:val="auto"/>
        </w:rPr>
        <w:t>Affiliate Termination Notice</w:t>
      </w:r>
      <w:r>
        <w:rPr>
          <w:rFonts w:ascii="Arial" w:cs="Arial" w:eastAsia="Arial" w:hAnsi="Arial"/>
          <w:sz w:val="21"/>
          <w:szCs w:val="21"/>
          <w:color w:val="auto"/>
        </w:rPr>
        <w:t>”) to the Class B Member that upon such Change in Control the Class A Member desires to terminate the O&amp;M Agreement and the AMA. Such Affiliate Termination Notice shall specify the proposed replacement operator and/or manager (“</w:t>
      </w:r>
      <w:r>
        <w:rPr>
          <w:rFonts w:ascii="Arial" w:cs="Arial" w:eastAsia="Arial" w:hAnsi="Arial"/>
          <w:sz w:val="21"/>
          <w:szCs w:val="21"/>
          <w:b w:val="1"/>
          <w:bCs w:val="1"/>
          <w:color w:val="auto"/>
        </w:rPr>
        <w:t>Replacement Service Provider(s)</w:t>
      </w:r>
      <w:r>
        <w:rPr>
          <w:rFonts w:ascii="Arial" w:cs="Arial" w:eastAsia="Arial" w:hAnsi="Arial"/>
          <w:sz w:val="21"/>
          <w:szCs w:val="21"/>
          <w:color w:val="auto"/>
        </w:rPr>
        <w:t>”), as applicable, and include form replacement service contract(s) (“</w:t>
      </w:r>
      <w:r>
        <w:rPr>
          <w:rFonts w:ascii="Arial" w:cs="Arial" w:eastAsia="Arial" w:hAnsi="Arial"/>
          <w:sz w:val="21"/>
          <w:szCs w:val="21"/>
          <w:b w:val="1"/>
          <w:bCs w:val="1"/>
          <w:color w:val="auto"/>
        </w:rPr>
        <w:t>Replacement Service Contract(s)</w:t>
      </w:r>
      <w:r>
        <w:rPr>
          <w:rFonts w:ascii="Arial" w:cs="Arial" w:eastAsia="Arial" w:hAnsi="Arial"/>
          <w:sz w:val="21"/>
          <w:szCs w:val="21"/>
          <w:color w:val="auto"/>
        </w:rPr>
        <w:t>”).</w:t>
      </w:r>
    </w:p>
    <w:p>
      <w:pPr>
        <w:spacing w:after="0" w:line="181" w:lineRule="exact"/>
        <w:rPr>
          <w:sz w:val="20"/>
          <w:szCs w:val="20"/>
          <w:color w:val="auto"/>
        </w:rPr>
      </w:pPr>
    </w:p>
    <w:p>
      <w:pPr>
        <w:jc w:val="both"/>
        <w:ind w:firstLine="1305"/>
        <w:spacing w:after="0" w:line="259" w:lineRule="auto"/>
        <w:tabs>
          <w:tab w:leader="none" w:pos="1730" w:val="left"/>
        </w:tabs>
        <w:numPr>
          <w:ilvl w:val="0"/>
          <w:numId w:val="276"/>
        </w:numPr>
        <w:rPr>
          <w:rFonts w:ascii="Arial" w:cs="Arial" w:eastAsia="Arial" w:hAnsi="Arial"/>
          <w:sz w:val="21"/>
          <w:szCs w:val="21"/>
          <w:color w:val="auto"/>
        </w:rPr>
      </w:pPr>
      <w:r>
        <w:rPr>
          <w:rFonts w:ascii="Arial" w:cs="Arial" w:eastAsia="Arial" w:hAnsi="Arial"/>
          <w:sz w:val="21"/>
          <w:szCs w:val="21"/>
          <w:color w:val="auto"/>
        </w:rPr>
        <w:t xml:space="preserve">Promptly upon receipt of the Affiliate Termination Notice, the Class B Member shall, at the Class B Member’s sole cost and expense, cause the Independent Engineer to (i) determine whether (A) the creditworthiness and operational capabilities of the Replacement Service Provider(s) and its or their Affiliates are reasonably equivalent to the creditworthiness and operational capabilities of the providers under the O&amp;M Agreement and the AMA and (B) the terms of the Replacement Service Contracts are in the aggregate at least as favorable to NRG Chestnut Fund LLC as the terms of the O&amp;M Agreement and the AMA, and (ii) provide notice to the Class A Member and the Class B Member of such determination. If the Independent Engineer determines that the Replacement Service Providers are reasonably equivalent to the providers under the O&amp;M Agreement and AMA and the Replacement Service Contracts are at least as favorable to NRG Chestnut Fund LLC as the terms of the O&amp;M Agreement, such determination shall be an </w:t>
      </w:r>
      <w:r>
        <w:rPr>
          <w:rFonts w:ascii="Arial" w:cs="Arial" w:eastAsia="Arial" w:hAnsi="Arial"/>
          <w:sz w:val="21"/>
          <w:szCs w:val="21"/>
          <w:b w:val="1"/>
          <w:bCs w:val="1"/>
          <w:color w:val="auto"/>
        </w:rPr>
        <w:t>“IE Approval</w:t>
      </w:r>
      <w:r>
        <w:rPr>
          <w:rFonts w:ascii="Arial" w:cs="Arial" w:eastAsia="Arial" w:hAnsi="Arial"/>
          <w:sz w:val="21"/>
          <w:szCs w:val="21"/>
          <w:color w:val="auto"/>
        </w:rPr>
        <w:t xml:space="preserve">”. If such determination is not an IE Approval, the Class B Member may specify different proposed Replacement Service Provider(s) and Replacement Service Contract(s) for the Independent Engineer’s determination pursuant to this Section 9.6(a). The final determination of the Independent Engineer which is not an IE Approval shall be an </w:t>
      </w:r>
      <w:r>
        <w:rPr>
          <w:rFonts w:ascii="Arial" w:cs="Arial" w:eastAsia="Arial" w:hAnsi="Arial"/>
          <w:sz w:val="21"/>
          <w:szCs w:val="21"/>
          <w:b w:val="1"/>
          <w:bCs w:val="1"/>
          <w:color w:val="auto"/>
        </w:rPr>
        <w:t>“IE Rejection”</w:t>
      </w:r>
      <w:r>
        <w:rPr>
          <w:rFonts w:ascii="Arial" w:cs="Arial" w:eastAsia="Arial" w:hAnsi="Arial"/>
          <w:sz w:val="21"/>
          <w:szCs w:val="21"/>
          <w:color w:val="auto"/>
        </w:rPr>
        <w:t>.</w:t>
      </w:r>
    </w:p>
    <w:p>
      <w:pPr>
        <w:spacing w:after="0" w:line="181" w:lineRule="exact"/>
        <w:rPr>
          <w:rFonts w:ascii="Arial" w:cs="Arial" w:eastAsia="Arial" w:hAnsi="Arial"/>
          <w:sz w:val="21"/>
          <w:szCs w:val="21"/>
          <w:color w:val="auto"/>
        </w:rPr>
      </w:pPr>
    </w:p>
    <w:p>
      <w:pPr>
        <w:jc w:val="both"/>
        <w:ind w:firstLine="1305"/>
        <w:spacing w:after="0" w:line="320" w:lineRule="auto"/>
        <w:tabs>
          <w:tab w:leader="none" w:pos="1823" w:val="left"/>
        </w:tabs>
        <w:numPr>
          <w:ilvl w:val="0"/>
          <w:numId w:val="276"/>
        </w:numPr>
        <w:rPr>
          <w:rFonts w:ascii="Arial" w:cs="Arial" w:eastAsia="Arial" w:hAnsi="Arial"/>
          <w:sz w:val="19"/>
          <w:szCs w:val="19"/>
          <w:color w:val="auto"/>
        </w:rPr>
      </w:pPr>
      <w:r>
        <w:rPr>
          <w:rFonts w:ascii="Arial" w:cs="Arial" w:eastAsia="Arial" w:hAnsi="Arial"/>
          <w:sz w:val="19"/>
          <w:szCs w:val="19"/>
          <w:color w:val="auto"/>
        </w:rPr>
        <w:t>Upon receipt of the IE Approval, the Class A Member shall have thirty (30) days to determine whether to proceed with termination of the O&amp;M Agreement and AMA. If an IE Approval is received and the Class A Member determines to proceed with termination of the O&amp;M Agreement and AMA, the Class B Member shall use commercially reasonable efforts to</w:t>
      </w:r>
    </w:p>
    <w:p>
      <w:pPr>
        <w:sectPr>
          <w:pgSz w:w="11900" w:h="16838" w:orient="portrait"/>
          <w:cols w:equalWidth="0" w:num="1">
            <w:col w:w="11420"/>
          </w:cols>
          <w:pgMar w:left="240" w:top="122" w:right="239" w:bottom="0" w:gutter="0" w:footer="0" w:header="0"/>
        </w:sectPr>
      </w:pPr>
    </w:p>
    <w:bookmarkStart w:id="263" w:name="page264"/>
    <w:bookmarkEnd w:id="263"/>
    <w:p>
      <w:pPr>
        <w:ind w:right="20"/>
        <w:spacing w:after="0" w:line="263" w:lineRule="auto"/>
        <w:rPr>
          <w:sz w:val="20"/>
          <w:szCs w:val="20"/>
          <w:color w:val="auto"/>
        </w:rPr>
      </w:pPr>
      <w:r>
        <w:rPr>
          <w:rFonts w:ascii="Arial" w:cs="Arial" w:eastAsia="Arial" w:hAnsi="Arial"/>
          <w:sz w:val="22"/>
          <w:szCs w:val="22"/>
          <w:color w:val="auto"/>
        </w:rPr>
        <w:t>obtain the consent of any Fund Investor, backleverage lender or other Person whose consent is required to (i) terminate the O&amp;M Agreement and AMA and (ii) replace such agreements with the Replacement Service Contracts.</w:t>
      </w:r>
    </w:p>
    <w:p>
      <w:pPr>
        <w:spacing w:after="0" w:line="175" w:lineRule="exact"/>
        <w:rPr>
          <w:sz w:val="20"/>
          <w:szCs w:val="20"/>
          <w:color w:val="auto"/>
        </w:rPr>
      </w:pPr>
    </w:p>
    <w:p>
      <w:pPr>
        <w:jc w:val="both"/>
        <w:ind w:firstLine="1305"/>
        <w:spacing w:after="0" w:line="254" w:lineRule="auto"/>
        <w:tabs>
          <w:tab w:leader="none" w:pos="1878" w:val="left"/>
        </w:tabs>
        <w:numPr>
          <w:ilvl w:val="0"/>
          <w:numId w:val="277"/>
        </w:numPr>
        <w:rPr>
          <w:rFonts w:ascii="Arial" w:cs="Arial" w:eastAsia="Arial" w:hAnsi="Arial"/>
          <w:sz w:val="22"/>
          <w:szCs w:val="22"/>
          <w:color w:val="auto"/>
        </w:rPr>
      </w:pPr>
      <w:r>
        <w:rPr>
          <w:rFonts w:ascii="Arial" w:cs="Arial" w:eastAsia="Arial" w:hAnsi="Arial"/>
          <w:sz w:val="22"/>
          <w:szCs w:val="22"/>
          <w:color w:val="auto"/>
        </w:rPr>
        <w:t xml:space="preserve">Upon obtaining the consents described in clause (b) above, the Class B Member and the Sponsor shall promptly, but in any event within sixty (60) days after receipt of such consents, terminate, or cause to be terminated, the O&amp;M Agreement and AMA for convenience without any payment with respect to such termination other than the payment of any Termination Costs required pursuant to this </w:t>
      </w:r>
      <w:r>
        <w:rPr>
          <w:rFonts w:ascii="Arial" w:cs="Arial" w:eastAsia="Arial" w:hAnsi="Arial"/>
          <w:sz w:val="22"/>
          <w:szCs w:val="22"/>
          <w:u w:val="single" w:color="auto"/>
          <w:color w:val="auto"/>
        </w:rPr>
        <w:t>Section 9.6</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5"/>
        <w:spacing w:after="0" w:line="248" w:lineRule="auto"/>
        <w:tabs>
          <w:tab w:leader="none" w:pos="181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 xml:space="preserve">In the event the O&amp;M Agreement and/or the AMA are terminated pursuant to this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the Class A Member shall be required to pay to the operator or manager under the O&amp;M Agreement and/or AMA, as applicable, Termination Costs (as determined in accordance with </w:t>
      </w:r>
      <w:r>
        <w:rPr>
          <w:rFonts w:ascii="Arial" w:cs="Arial" w:eastAsia="Arial" w:hAnsi="Arial"/>
          <w:sz w:val="22"/>
          <w:szCs w:val="22"/>
          <w:u w:val="single" w:color="auto"/>
          <w:color w:val="auto"/>
        </w:rPr>
        <w:t>Section 9.6(e)</w:t>
      </w:r>
      <w:r>
        <w:rPr>
          <w:rFonts w:ascii="Arial" w:cs="Arial" w:eastAsia="Arial" w:hAnsi="Arial"/>
          <w:sz w:val="22"/>
          <w:szCs w:val="22"/>
          <w:color w:val="auto"/>
        </w:rPr>
        <w:t xml:space="preserve">) only if following the Change in Control the Person who ultimately Controls the Class B Member will not also ultimately control the Class A Member (through the ownership of the non-public shares of NRG Yield, Inc.) (the </w:t>
      </w:r>
      <w:r>
        <w:rPr>
          <w:rFonts w:ascii="Arial" w:cs="Arial" w:eastAsia="Arial" w:hAnsi="Arial"/>
          <w:sz w:val="22"/>
          <w:szCs w:val="22"/>
          <w:b w:val="1"/>
          <w:bCs w:val="1"/>
          <w:color w:val="auto"/>
        </w:rPr>
        <w:t>“Unaffiliated Scenario”</w:t>
      </w:r>
      <w:r>
        <w:rPr>
          <w:rFonts w:ascii="Arial" w:cs="Arial" w:eastAsia="Arial" w:hAnsi="Arial"/>
          <w:sz w:val="22"/>
          <w:szCs w:val="22"/>
          <w:color w:val="auto"/>
        </w:rPr>
        <w:t>). For clarity, the Class A Member shall have no obligation to pay Termination Costs where (A) there is an IE Approval and the Unaffiliated Scenario does not occur or (B) there is an IE Rejection (whether or not the Unaffiliated Scenario occurs).</w:t>
      </w:r>
    </w:p>
    <w:p>
      <w:pPr>
        <w:spacing w:after="0" w:line="195" w:lineRule="exact"/>
        <w:rPr>
          <w:rFonts w:ascii="Arial" w:cs="Arial" w:eastAsia="Arial" w:hAnsi="Arial"/>
          <w:sz w:val="22"/>
          <w:szCs w:val="22"/>
          <w:color w:val="auto"/>
        </w:rPr>
      </w:pPr>
    </w:p>
    <w:p>
      <w:pPr>
        <w:jc w:val="both"/>
        <w:ind w:firstLine="1305"/>
        <w:spacing w:after="0" w:line="287" w:lineRule="auto"/>
        <w:tabs>
          <w:tab w:leader="none" w:pos="1811" w:val="left"/>
        </w:tabs>
        <w:numPr>
          <w:ilvl w:val="0"/>
          <w:numId w:val="277"/>
        </w:numPr>
        <w:rPr>
          <w:rFonts w:ascii="Arial" w:cs="Arial" w:eastAsia="Arial" w:hAnsi="Arial"/>
          <w:sz w:val="19"/>
          <w:szCs w:val="19"/>
          <w:color w:val="auto"/>
        </w:rPr>
      </w:pPr>
      <w:r>
        <w:rPr>
          <w:rFonts w:ascii="Arial" w:cs="Arial" w:eastAsia="Arial" w:hAnsi="Arial"/>
          <w:sz w:val="19"/>
          <w:szCs w:val="19"/>
          <w:color w:val="auto"/>
        </w:rPr>
        <w:t xml:space="preserve">Within thirty (30) days after the Class B Member’s receipt of an Affiliate Termination Notice, the Class B Member shall prepare in good faith and deliver to the Class A Member a reasonable estimate of the Termination Costs (defined below), including reasonable supporting detail thereof (the </w:t>
      </w:r>
      <w:r>
        <w:rPr>
          <w:rFonts w:ascii="Arial" w:cs="Arial" w:eastAsia="Arial" w:hAnsi="Arial"/>
          <w:sz w:val="19"/>
          <w:szCs w:val="19"/>
          <w:b w:val="1"/>
          <w:bCs w:val="1"/>
          <w:color w:val="auto"/>
        </w:rPr>
        <w:t>“Estimated Termination Costs”</w:t>
      </w:r>
      <w:r>
        <w:rPr>
          <w:rFonts w:ascii="Arial" w:cs="Arial" w:eastAsia="Arial" w:hAnsi="Arial"/>
          <w:sz w:val="19"/>
          <w:szCs w:val="19"/>
          <w:color w:val="auto"/>
        </w:rPr>
        <w:t>). The Parties shall work together in good faith to resolve any disagreements with respect to the Estimated Termination Costs. No later than thirty (30) days following the effectiveness of the termination of the O&amp;M Agreement and AMA, as applicable, the Class B Member shall deliver to the Class A Member a written statement (the “</w:t>
      </w:r>
      <w:r>
        <w:rPr>
          <w:rFonts w:ascii="Arial" w:cs="Arial" w:eastAsia="Arial" w:hAnsi="Arial"/>
          <w:sz w:val="19"/>
          <w:szCs w:val="19"/>
          <w:b w:val="1"/>
          <w:bCs w:val="1"/>
          <w:color w:val="auto"/>
        </w:rPr>
        <w:t>Termination Fee Statement</w:t>
      </w:r>
      <w:r>
        <w:rPr>
          <w:rFonts w:ascii="Arial" w:cs="Arial" w:eastAsia="Arial" w:hAnsi="Arial"/>
          <w:sz w:val="19"/>
          <w:szCs w:val="19"/>
          <w:color w:val="auto"/>
        </w:rPr>
        <w:t>”), certified by an officer of the operator or manager under the O&amp;M Agreement and AMA, setting forth the final (x) Wind-down Costs, including reasonable supporting detail thereof, and (y) Investment Costs, including reasonable supporting detail thereof that (i) have actually been incurred with respect to the O&amp;M Agreement or AMA, as applicable, (ii) are not readily redeployed or amortized across other projects, (iii) have been incurred or committed to be incurred between the Effective Date and twelve (12) months following the effective date of termination of the O&amp;M Agreement and AMA, and (iv) have not already been recovered through fees actually paid under the O&amp;M Agreement or AMA, as applicable (such Wind-down Costs and Investment Costs collectively, the “</w:t>
      </w:r>
      <w:r>
        <w:rPr>
          <w:rFonts w:ascii="Arial" w:cs="Arial" w:eastAsia="Arial" w:hAnsi="Arial"/>
          <w:sz w:val="19"/>
          <w:szCs w:val="19"/>
          <w:b w:val="1"/>
          <w:bCs w:val="1"/>
          <w:color w:val="auto"/>
        </w:rPr>
        <w:t>Termination Costs</w:t>
      </w:r>
      <w:r>
        <w:rPr>
          <w:rFonts w:ascii="Arial" w:cs="Arial" w:eastAsia="Arial" w:hAnsi="Arial"/>
          <w:sz w:val="19"/>
          <w:szCs w:val="19"/>
          <w:color w:val="auto"/>
        </w:rPr>
        <w:t>”). If Termination Costs are payable pursuant to clause (d) above, the Class A Member shall pay all Termination Costs to the operator or manager, as applicable, within thirty (30) days of receipt of the Termination Fee Statement; provided, that the maximum amount of Termination Costs that the Class A Member shall be required to pay under this Agreement shall not exceed one hundred thirty percent (130%) of the Estimated Termination Costs.</w:t>
      </w:r>
    </w:p>
    <w:p>
      <w:pPr>
        <w:spacing w:after="0" w:line="200" w:lineRule="exact"/>
        <w:rPr>
          <w:sz w:val="20"/>
          <w:szCs w:val="20"/>
          <w:color w:val="auto"/>
        </w:rPr>
      </w:pP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Notwithstanding anything in this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to the contrary, if (x) the Class A Member does not provide the Class B Member with an Affiliate Termination Notice within twelve (12) months of the effective date of a Change in Control (y) the Class A Member receives an IE Rejection or (z) the Class A Member determines not to proceed with termination of the O&amp;M Agreement and AMA pursuant to clause (b) above, the Affiliate Termination Right and the provisions of this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shall expire and be of no further force and effect.</w:t>
      </w:r>
    </w:p>
    <w:p>
      <w:pPr>
        <w:spacing w:after="0" w:line="186"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9.7</w:t>
      </w:r>
      <w:r>
        <w:rPr>
          <w:sz w:val="20"/>
          <w:szCs w:val="20"/>
          <w:color w:val="auto"/>
        </w:rPr>
        <w:tab/>
      </w:r>
      <w:r>
        <w:rPr>
          <w:rFonts w:ascii="Arial" w:cs="Arial" w:eastAsia="Arial" w:hAnsi="Arial"/>
          <w:sz w:val="19"/>
          <w:szCs w:val="19"/>
          <w:b w:val="1"/>
          <w:bCs w:val="1"/>
          <w:u w:val="single" w:color="auto"/>
          <w:color w:val="auto"/>
        </w:rPr>
        <w:t>Terminated Member</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 xml:space="preserve">Upon the closing of a Transfer by a Member of all of its Membership Interest in the Company in accordance with this </w:t>
      </w:r>
      <w:r>
        <w:rPr>
          <w:rFonts w:ascii="Arial" w:cs="Arial" w:eastAsia="Arial" w:hAnsi="Arial"/>
          <w:sz w:val="21"/>
          <w:szCs w:val="21"/>
          <w:u w:val="single" w:color="auto"/>
          <w:color w:val="auto"/>
        </w:rPr>
        <w:t>Article IX</w:t>
      </w:r>
      <w:r>
        <w:rPr>
          <w:rFonts w:ascii="Arial" w:cs="Arial" w:eastAsia="Arial" w:hAnsi="Arial"/>
          <w:sz w:val="21"/>
          <w:szCs w:val="21"/>
          <w:color w:val="auto"/>
        </w:rPr>
        <w:t>, the following provisions shall apply to the Transferring Member (now a “</w:t>
      </w:r>
      <w:r>
        <w:rPr>
          <w:rFonts w:ascii="Arial" w:cs="Arial" w:eastAsia="Arial" w:hAnsi="Arial"/>
          <w:sz w:val="21"/>
          <w:szCs w:val="21"/>
          <w:b w:val="1"/>
          <w:bCs w:val="1"/>
          <w:color w:val="auto"/>
        </w:rPr>
        <w:t>Terminated Member</w:t>
      </w:r>
      <w:r>
        <w:rPr>
          <w:rFonts w:ascii="Arial" w:cs="Arial" w:eastAsia="Arial" w:hAnsi="Arial"/>
          <w:sz w:val="21"/>
          <w:szCs w:val="21"/>
          <w:color w:val="auto"/>
        </w:rPr>
        <w:t>”):</w:t>
      </w:r>
    </w:p>
    <w:p>
      <w:pPr>
        <w:spacing w:after="0" w:line="152" w:lineRule="exact"/>
        <w:rPr>
          <w:sz w:val="20"/>
          <w:szCs w:val="20"/>
          <w:color w:val="auto"/>
        </w:rPr>
      </w:pPr>
    </w:p>
    <w:p>
      <w:pPr>
        <w:ind w:left="1720" w:hanging="415"/>
        <w:spacing w:after="0"/>
        <w:tabs>
          <w:tab w:leader="none" w:pos="1720" w:val="left"/>
        </w:tabs>
        <w:numPr>
          <w:ilvl w:val="0"/>
          <w:numId w:val="278"/>
        </w:numPr>
        <w:rPr>
          <w:rFonts w:ascii="Arial" w:cs="Arial" w:eastAsia="Arial" w:hAnsi="Arial"/>
          <w:sz w:val="21"/>
          <w:szCs w:val="21"/>
          <w:color w:val="auto"/>
        </w:rPr>
      </w:pPr>
      <w:r>
        <w:rPr>
          <w:rFonts w:ascii="Arial" w:cs="Arial" w:eastAsia="Arial" w:hAnsi="Arial"/>
          <w:sz w:val="21"/>
          <w:szCs w:val="21"/>
          <w:color w:val="auto"/>
        </w:rPr>
        <w:t>The Terminated Member shall cease to be a Member immediately upon the occurrence of such closing.</w:t>
      </w:r>
    </w:p>
    <w:p>
      <w:pPr>
        <w:spacing w:after="0" w:line="244" w:lineRule="exact"/>
        <w:rPr>
          <w:rFonts w:ascii="Arial" w:cs="Arial" w:eastAsia="Arial" w:hAnsi="Arial"/>
          <w:sz w:val="21"/>
          <w:szCs w:val="21"/>
          <w:color w:val="auto"/>
        </w:rPr>
      </w:pPr>
    </w:p>
    <w:p>
      <w:pPr>
        <w:jc w:val="both"/>
        <w:ind w:firstLine="1305"/>
        <w:spacing w:after="0" w:line="254" w:lineRule="auto"/>
        <w:tabs>
          <w:tab w:leader="none" w:pos="1931" w:val="left"/>
        </w:tabs>
        <w:numPr>
          <w:ilvl w:val="0"/>
          <w:numId w:val="278"/>
        </w:numPr>
        <w:rPr>
          <w:rFonts w:ascii="Arial" w:cs="Arial" w:eastAsia="Arial" w:hAnsi="Arial"/>
          <w:sz w:val="22"/>
          <w:szCs w:val="22"/>
          <w:color w:val="auto"/>
        </w:rPr>
      </w:pPr>
      <w:r>
        <w:rPr>
          <w:rFonts w:ascii="Arial" w:cs="Arial" w:eastAsia="Arial" w:hAnsi="Arial"/>
          <w:sz w:val="22"/>
          <w:szCs w:val="22"/>
          <w:color w:val="auto"/>
        </w:rPr>
        <w:t xml:space="preserve">The Terminated Member shall no longer be entitled to receive any distributions (including liquidating distributions pursuant to </w:t>
      </w:r>
      <w:r>
        <w:rPr>
          <w:rFonts w:ascii="Arial" w:cs="Arial" w:eastAsia="Arial" w:hAnsi="Arial"/>
          <w:sz w:val="22"/>
          <w:szCs w:val="22"/>
          <w:u w:val="single" w:color="auto"/>
          <w:color w:val="auto"/>
        </w:rPr>
        <w:t>Section 12.2</w:t>
      </w:r>
      <w:r>
        <w:rPr>
          <w:rFonts w:ascii="Arial" w:cs="Arial" w:eastAsia="Arial" w:hAnsi="Arial"/>
          <w:sz w:val="22"/>
          <w:szCs w:val="22"/>
          <w:color w:val="auto"/>
        </w:rPr>
        <w:t>) or allocations from the Company, and it shall not be entitled to exercise any voting or consent rights or to receive any further information (or access to information) from the Company (other than any required tax information).</w:t>
      </w:r>
    </w:p>
    <w:p>
      <w:pPr>
        <w:spacing w:after="0" w:line="185" w:lineRule="exact"/>
        <w:rPr>
          <w:rFonts w:ascii="Arial" w:cs="Arial" w:eastAsia="Arial" w:hAnsi="Arial"/>
          <w:sz w:val="22"/>
          <w:szCs w:val="22"/>
          <w:color w:val="auto"/>
        </w:rPr>
      </w:pPr>
    </w:p>
    <w:p>
      <w:pPr>
        <w:ind w:firstLine="1305"/>
        <w:spacing w:after="0" w:line="276" w:lineRule="auto"/>
        <w:tabs>
          <w:tab w:leader="none" w:pos="1784" w:val="left"/>
        </w:tabs>
        <w:numPr>
          <w:ilvl w:val="0"/>
          <w:numId w:val="278"/>
        </w:numPr>
        <w:rPr>
          <w:rFonts w:ascii="Arial" w:cs="Arial" w:eastAsia="Arial" w:hAnsi="Arial"/>
          <w:sz w:val="22"/>
          <w:szCs w:val="22"/>
          <w:color w:val="auto"/>
        </w:rPr>
      </w:pPr>
      <w:r>
        <w:rPr>
          <w:rFonts w:ascii="Arial" w:cs="Arial" w:eastAsia="Arial" w:hAnsi="Arial"/>
          <w:sz w:val="22"/>
          <w:szCs w:val="22"/>
          <w:color w:val="auto"/>
        </w:rPr>
        <w:t>The Terminated Member must pay (i) to the Company all amounts owed to the Company by the Terminated Member and (ii) to each other Member all amounts owed to such Member by the Terminated Member.</w:t>
      </w:r>
    </w:p>
    <w:p>
      <w:pPr>
        <w:spacing w:after="0" w:line="160" w:lineRule="exact"/>
        <w:rPr>
          <w:rFonts w:ascii="Arial" w:cs="Arial" w:eastAsia="Arial" w:hAnsi="Arial"/>
          <w:sz w:val="22"/>
          <w:szCs w:val="22"/>
          <w:color w:val="auto"/>
        </w:rPr>
      </w:pPr>
    </w:p>
    <w:p>
      <w:pPr>
        <w:ind w:firstLine="1305"/>
        <w:spacing w:after="0" w:line="276" w:lineRule="auto"/>
        <w:tabs>
          <w:tab w:leader="none" w:pos="1728" w:val="left"/>
        </w:tabs>
        <w:numPr>
          <w:ilvl w:val="0"/>
          <w:numId w:val="278"/>
        </w:numPr>
        <w:rPr>
          <w:rFonts w:ascii="Arial" w:cs="Arial" w:eastAsia="Arial" w:hAnsi="Arial"/>
          <w:sz w:val="22"/>
          <w:szCs w:val="22"/>
          <w:color w:val="auto"/>
        </w:rPr>
      </w:pPr>
      <w:r>
        <w:rPr>
          <w:rFonts w:ascii="Arial" w:cs="Arial" w:eastAsia="Arial" w:hAnsi="Arial"/>
          <w:sz w:val="22"/>
          <w:szCs w:val="22"/>
          <w:color w:val="auto"/>
        </w:rPr>
        <w:t>The Terminated Member shall remain obligated for all liabilities it may have under this Agreement or otherwise with respect to the Company that accrue prior to the closing.</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905" w:val="left"/>
        </w:tabs>
        <w:numPr>
          <w:ilvl w:val="0"/>
          <w:numId w:val="278"/>
        </w:numPr>
        <w:rPr>
          <w:rFonts w:ascii="Arial" w:cs="Arial" w:eastAsia="Arial" w:hAnsi="Arial"/>
          <w:sz w:val="22"/>
          <w:szCs w:val="22"/>
          <w:color w:val="auto"/>
        </w:rPr>
      </w:pPr>
      <w:r>
        <w:rPr>
          <w:rFonts w:ascii="Arial" w:cs="Arial" w:eastAsia="Arial" w:hAnsi="Arial"/>
          <w:sz w:val="22"/>
          <w:szCs w:val="22"/>
          <w:color w:val="auto"/>
        </w:rPr>
        <w:t>The Membership Interest, including the Capital Account balance attributable thereto, of the Terminated Member shall be allocated among the applicable Transferees in proportion to the relative Transferred Units acquired by such Transferee.</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AGGREGATE TRACKING MODEL AND DISPUTE</w:t>
      </w:r>
    </w:p>
    <w:p>
      <w:pPr>
        <w:spacing w:after="0" w:line="20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b w:val="1"/>
          <w:bCs w:val="1"/>
          <w:u w:val="single" w:color="auto"/>
          <w:color w:val="auto"/>
        </w:rPr>
        <w:t>Aggregate Tracking Model.</w:t>
      </w:r>
    </w:p>
    <w:p>
      <w:pPr>
        <w:sectPr>
          <w:pgSz w:w="11900" w:h="16838" w:orient="portrait"/>
          <w:cols w:equalWidth="0" w:num="1">
            <w:col w:w="11420"/>
          </w:cols>
          <w:pgMar w:left="240" w:top="132" w:right="239" w:bottom="0" w:gutter="0" w:footer="0" w:header="0"/>
        </w:sectPr>
      </w:pPr>
    </w:p>
    <w:bookmarkStart w:id="264" w:name="page265"/>
    <w:bookmarkEnd w:id="264"/>
    <w:p>
      <w:pPr>
        <w:spacing w:after="0" w:line="28" w:lineRule="exact"/>
        <w:rPr>
          <w:sz w:val="20"/>
          <w:szCs w:val="20"/>
          <w:color w:val="auto"/>
        </w:rPr>
      </w:pPr>
    </w:p>
    <w:p>
      <w:pPr>
        <w:ind w:firstLine="1305"/>
        <w:spacing w:after="0" w:line="276" w:lineRule="auto"/>
        <w:tabs>
          <w:tab w:leader="none" w:pos="1716" w:val="left"/>
        </w:tabs>
        <w:numPr>
          <w:ilvl w:val="0"/>
          <w:numId w:val="279"/>
        </w:numPr>
        <w:rPr>
          <w:rFonts w:ascii="Arial" w:cs="Arial" w:eastAsia="Arial" w:hAnsi="Arial"/>
          <w:sz w:val="22"/>
          <w:szCs w:val="22"/>
          <w:color w:val="auto"/>
        </w:rPr>
      </w:pPr>
      <w:r>
        <w:rPr>
          <w:rFonts w:ascii="Arial" w:cs="Arial" w:eastAsia="Arial" w:hAnsi="Arial"/>
          <w:sz w:val="22"/>
          <w:szCs w:val="22"/>
          <w:color w:val="auto"/>
        </w:rPr>
        <w:t>The Manager will send the Members, within one hundred twenty (120) days after the date of the Tax Return for the immediately preceding Fiscal Year was filed, a report in the form of the Aggregate Tracking Model.</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279"/>
        </w:numPr>
        <w:rPr>
          <w:rFonts w:ascii="Arial" w:cs="Arial" w:eastAsia="Arial" w:hAnsi="Arial"/>
          <w:sz w:val="22"/>
          <w:szCs w:val="22"/>
          <w:color w:val="auto"/>
        </w:rPr>
      </w:pPr>
      <w:r>
        <w:rPr>
          <w:rFonts w:ascii="Arial" w:cs="Arial" w:eastAsia="Arial" w:hAnsi="Arial"/>
          <w:sz w:val="22"/>
          <w:szCs w:val="22"/>
          <w:color w:val="auto"/>
        </w:rPr>
        <w:t xml:space="preserve">Prior to making any liquidating distribution pursuant to </w:t>
      </w:r>
      <w:r>
        <w:rPr>
          <w:rFonts w:ascii="Arial" w:cs="Arial" w:eastAsia="Arial" w:hAnsi="Arial"/>
          <w:sz w:val="22"/>
          <w:szCs w:val="22"/>
          <w:u w:val="single" w:color="auto"/>
          <w:color w:val="auto"/>
        </w:rPr>
        <w:t>Section 12.2</w:t>
      </w:r>
      <w:r>
        <w:rPr>
          <w:rFonts w:ascii="Arial" w:cs="Arial" w:eastAsia="Arial" w:hAnsi="Arial"/>
          <w:sz w:val="22"/>
          <w:szCs w:val="22"/>
          <w:color w:val="auto"/>
        </w:rPr>
        <w:t xml:space="preserve">, the Manager shall provide the Members an Aggregate Tracking Model specifying the portion of the liquidation proceeds to be distributed to the Class A Members and the portion of the Company Items to be allocated to the Class A Members under </w:t>
      </w:r>
      <w:r>
        <w:rPr>
          <w:rFonts w:ascii="Arial" w:cs="Arial" w:eastAsia="Arial" w:hAnsi="Arial"/>
          <w:sz w:val="22"/>
          <w:szCs w:val="22"/>
          <w:u w:val="single" w:color="auto"/>
          <w:color w:val="auto"/>
        </w:rPr>
        <w:t>Section 12.2</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16" w:val="left"/>
        </w:tabs>
        <w:numPr>
          <w:ilvl w:val="0"/>
          <w:numId w:val="279"/>
        </w:numPr>
        <w:rPr>
          <w:rFonts w:ascii="Arial" w:cs="Arial" w:eastAsia="Arial" w:hAnsi="Arial"/>
          <w:sz w:val="22"/>
          <w:szCs w:val="22"/>
          <w:color w:val="auto"/>
        </w:rPr>
      </w:pPr>
      <w:r>
        <w:rPr>
          <w:rFonts w:ascii="Arial" w:cs="Arial" w:eastAsia="Arial" w:hAnsi="Arial"/>
          <w:sz w:val="22"/>
          <w:szCs w:val="22"/>
          <w:color w:val="auto"/>
        </w:rPr>
        <w:t xml:space="preserve">The Manager will make its advisers (if any) available to answer any questions about its calculations and reports made under this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Any Class A Member may invoke the dispute resolution procedures in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to resolve any item or procedure that is in dispute.</w:t>
      </w:r>
    </w:p>
    <w:p>
      <w:pPr>
        <w:spacing w:after="0" w:line="171"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u w:val="single" w:color="auto"/>
          <w:color w:val="auto"/>
        </w:rPr>
        <w:t>Dispute.</w:t>
      </w:r>
    </w:p>
    <w:p>
      <w:pPr>
        <w:spacing w:after="0" w:line="23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If any Class A Member shall dispute any item or procedure or calculation of, or which affects, its Capital Contribution set forth in a Capital Contribution Request delivered to such Class A Member, such Class A Member shall notify the Manager within ten (10) days following receipt of the notice or report disputed. In such case, such Class A Member’s notification will set forth in reasonable detail such Class A Member’s objections or disagreements, and the Parties shall attempt in good faith to promptly resolve any differences as to the matters so disputed. If the Parties are unable to resolve any such differences within ten</w:t>
      </w:r>
    </w:p>
    <w:p>
      <w:pPr>
        <w:spacing w:after="0" w:line="4" w:lineRule="exact"/>
        <w:rPr>
          <w:sz w:val="20"/>
          <w:szCs w:val="20"/>
          <w:color w:val="auto"/>
        </w:rPr>
      </w:pPr>
    </w:p>
    <w:p>
      <w:pPr>
        <w:jc w:val="both"/>
        <w:ind w:firstLine="8"/>
        <w:spacing w:after="0" w:line="286" w:lineRule="auto"/>
        <w:tabs>
          <w:tab w:leader="none" w:pos="438" w:val="left"/>
        </w:tabs>
        <w:numPr>
          <w:ilvl w:val="0"/>
          <w:numId w:val="280"/>
        </w:numPr>
        <w:rPr>
          <w:rFonts w:ascii="Arial" w:cs="Arial" w:eastAsia="Arial" w:hAnsi="Arial"/>
          <w:sz w:val="19"/>
          <w:szCs w:val="19"/>
          <w:color w:val="auto"/>
        </w:rPr>
      </w:pPr>
      <w:r>
        <w:rPr>
          <w:rFonts w:ascii="Arial" w:cs="Arial" w:eastAsia="Arial" w:hAnsi="Arial"/>
          <w:sz w:val="19"/>
          <w:szCs w:val="19"/>
          <w:color w:val="auto"/>
        </w:rPr>
        <w:t xml:space="preserve">days after the date of such Class A Member’s notice, then the actual determination shall be finally referred to a nationally recognized independent public accounting firm (which may or may not be the Certified Public Accountant) selected by the Class A Members (by vote of the Consent of the Class A Members), which accounting firm will be asked to designate one of its partners to act as an independent expert for purposes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(the “</w:t>
      </w:r>
      <w:r>
        <w:rPr>
          <w:rFonts w:ascii="Arial" w:cs="Arial" w:eastAsia="Arial" w:hAnsi="Arial"/>
          <w:sz w:val="19"/>
          <w:szCs w:val="19"/>
          <w:b w:val="1"/>
          <w:bCs w:val="1"/>
          <w:color w:val="auto"/>
        </w:rPr>
        <w:t>Independent Expert</w:t>
      </w:r>
      <w:r>
        <w:rPr>
          <w:rFonts w:ascii="Arial" w:cs="Arial" w:eastAsia="Arial" w:hAnsi="Arial"/>
          <w:sz w:val="19"/>
          <w:szCs w:val="19"/>
          <w:color w:val="auto"/>
        </w:rPr>
        <w:t xml:space="preserve">”). Such Class A Member and the Manager shall submit the pertinent information, books and records, as applicable, and all other data necessary for the Independent Expert to make his determination, including any additional data requested by the Independent Expert. The Independent Expert shall keep confidential all information submitted to him in connection with his resolution of the dispute(s) hereunder. The Independent Expert shall be requested to render his determination as promptly as possible after he receives all necessary data and materials. The determination of the Independent Expert resolving a dispute pursuant to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shall be final and binding upon the disputing parties, and such determination shall apply for all subsequent periods to any item or procedure substantially similar to that determined hereunder. The Company shall pay the fees of the Independent Expert incurred for such determination.</w:t>
      </w:r>
    </w:p>
    <w:p>
      <w:pPr>
        <w:spacing w:after="0" w:line="151"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INDEMNIFICATION</w:t>
      </w:r>
    </w:p>
    <w:p>
      <w:pPr>
        <w:spacing w:after="0" w:line="20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11.1</w:t>
      </w:r>
      <w:r>
        <w:rPr>
          <w:sz w:val="20"/>
          <w:szCs w:val="20"/>
          <w:color w:val="auto"/>
        </w:rPr>
        <w:tab/>
      </w:r>
      <w:r>
        <w:rPr>
          <w:rFonts w:ascii="Arial" w:cs="Arial" w:eastAsia="Arial" w:hAnsi="Arial"/>
          <w:sz w:val="19"/>
          <w:szCs w:val="19"/>
          <w:b w:val="1"/>
          <w:bCs w:val="1"/>
          <w:u w:val="single" w:color="auto"/>
          <w:color w:val="auto"/>
        </w:rPr>
        <w:t>Indemnification by the Members.</w:t>
      </w:r>
    </w:p>
    <w:p>
      <w:pPr>
        <w:spacing w:after="0" w:line="239" w:lineRule="exact"/>
        <w:rPr>
          <w:sz w:val="20"/>
          <w:szCs w:val="20"/>
          <w:color w:val="auto"/>
        </w:rPr>
      </w:pPr>
    </w:p>
    <w:p>
      <w:pPr>
        <w:jc w:val="both"/>
        <w:ind w:firstLine="1305"/>
        <w:spacing w:after="0" w:line="284" w:lineRule="auto"/>
        <w:tabs>
          <w:tab w:leader="none" w:pos="1770"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auto"/>
        </w:rPr>
        <w:t>Indemnification by the Class B Member</w:t>
      </w:r>
      <w:r>
        <w:rPr>
          <w:rFonts w:ascii="Arial" w:cs="Arial" w:eastAsia="Arial" w:hAnsi="Arial"/>
          <w:sz w:val="19"/>
          <w:szCs w:val="19"/>
          <w:color w:val="auto"/>
        </w:rPr>
        <w:t xml:space="preserve">. Subject to the terms and conditions of this </w:t>
      </w:r>
      <w:r>
        <w:rPr>
          <w:rFonts w:ascii="Arial" w:cs="Arial" w:eastAsia="Arial" w:hAnsi="Arial"/>
          <w:sz w:val="19"/>
          <w:szCs w:val="19"/>
          <w:u w:val="single" w:color="auto"/>
          <w:color w:val="auto"/>
        </w:rPr>
        <w:t>Article XI</w:t>
      </w:r>
      <w:r>
        <w:rPr>
          <w:rFonts w:ascii="Arial" w:cs="Arial" w:eastAsia="Arial" w:hAnsi="Arial"/>
          <w:sz w:val="19"/>
          <w:szCs w:val="19"/>
          <w:color w:val="auto"/>
        </w:rPr>
        <w:t>, each Class B Member shall indemnify, defend, reimburse and hold harmless each Class A Member and its respective parent or subsidiary companies, shareholders, partners, members and other Affiliates, and each of their respective officers, directors, managers, employees, attorneys, contractors and agents (collectively, the “</w:t>
      </w:r>
      <w:r>
        <w:rPr>
          <w:rFonts w:ascii="Arial" w:cs="Arial" w:eastAsia="Arial" w:hAnsi="Arial"/>
          <w:sz w:val="19"/>
          <w:szCs w:val="19"/>
          <w:b w:val="1"/>
          <w:bCs w:val="1"/>
          <w:color w:val="auto"/>
        </w:rPr>
        <w:t>Class A Parties</w:t>
      </w:r>
      <w:r>
        <w:rPr>
          <w:rFonts w:ascii="Arial" w:cs="Arial" w:eastAsia="Arial" w:hAnsi="Arial"/>
          <w:sz w:val="19"/>
          <w:szCs w:val="19"/>
          <w:color w:val="auto"/>
        </w:rPr>
        <w:t>”), from and against any and all claims, actions, causes of action, demands, assessments, losses, damages, liabilities, judgments, settlements, Taxes, penalties, costs, and expenses (including reasonable attorneys’ fees and expenses, including such fees and expenses at trial and on any appeal), of any nature whatsoever (collectively, “</w:t>
      </w:r>
      <w:r>
        <w:rPr>
          <w:rFonts w:ascii="Arial" w:cs="Arial" w:eastAsia="Arial" w:hAnsi="Arial"/>
          <w:sz w:val="19"/>
          <w:szCs w:val="19"/>
          <w:b w:val="1"/>
          <w:bCs w:val="1"/>
          <w:color w:val="auto"/>
        </w:rPr>
        <w:t>Damages</w:t>
      </w:r>
      <w:r>
        <w:rPr>
          <w:rFonts w:ascii="Arial" w:cs="Arial" w:eastAsia="Arial" w:hAnsi="Arial"/>
          <w:sz w:val="19"/>
          <w:szCs w:val="19"/>
          <w:color w:val="auto"/>
        </w:rPr>
        <w:t>”) asserted against, resulting to, imposed upon, or incurred by the Class A Parties, directly or indirectly, by reason of or resulting from: (i) any breach or failure by a Class B Member (whether in its capacity as a Class B Member, the Manager, the Tax Matters Member or otherwise), of any of its respective representations, warranties, covenants, obligations or agreements contained in any Investment Document or any certificate delivered thereunder or hereunder; (ii) any indemnity obligation due and payable to a Fund Investor under the Fund Documents, solely to the extent relating to (x) a breach of Sections 3.1 (Organization and Good Standing), 3.2 (Authorization, Execution and Enforceability), 3.4 (Subsidiaries; Non-Related Liabilities), 3.5 (Members of the Company; Additional Membership Interests), 3.6 (Warranty of Title; Personal Property), 3.9 (Brokers), 4.1 (Organization and Good Standing), 4.2 (Authorization, Execution and Enforceability), 4.4 (Brokers) and 4.8 (Ownership) of the ECCA or breach of any similar representations set forth in any other Fund Document (y) a breach of Sections 3.23 (Taxes) and 3.24(a)-(c), (f), and (g) (Tax Representations) of the ECCA or breach of any similar representations set forth in any other Fund Document (but for the avoidance of doubt, not including any representation with respect to the tax structure of any transaction or with respect to, or which becomes incorrect as a result of, a change in law including a change in Tax law) (unless caused by the breach or failure by a Class A Member of any of its representations, warranties, covenants, obligations or agreements contained in this Agreement or any other Investment Document) or (z) a breach by an affiliate of the Class B Member under the MIPAs, the NRG Guaranty, the Sponsor Guaranty, the O&amp;M Agreement, or the Management Services Agreement (all as defined in the ECCA); (iii) any indemnity obligation due and payable to a Fund Investor under the Fund Documents, in connection with a breach not covered by (ii) above (unless caused by the breach or failure by the a Class A Member of any of its representations, warranties, covenants, obligations or agreements contained in this Agreement or any other Investment Document); provided, that, notwithstanding anything to the contrary contained herein, the Damages indemnified by the Class B Members pursuant to this clause (iii) shall be limited to an amount equal to 20% of the applicable indemnity obligation due and payable to a Fund Investor under the Fund Documents; (iv) any underdeployment penalty or other amount due and payable to a Fund Investor under the Fund Documents as a result of a reduction of such Fund Investor’s capital contributions under the Fund Documents; (v) any upfront fees or penalties payable to a Fund Investor or backleverage lender in connection with the Fund Documents or backleverage of a Backleveraged Fund Company, as applicable or (vi) any breach or failure of any representations or warranties of any Subject</w:t>
      </w:r>
    </w:p>
    <w:p>
      <w:pPr>
        <w:sectPr>
          <w:pgSz w:w="11900" w:h="16867" w:orient="portrait"/>
          <w:cols w:equalWidth="0" w:num="1">
            <w:col w:w="11420"/>
          </w:cols>
          <w:pgMar w:left="240" w:top="132" w:right="239" w:bottom="0" w:gutter="0" w:footer="0" w:header="0"/>
        </w:sectPr>
      </w:pPr>
    </w:p>
    <w:bookmarkStart w:id="265" w:name="page266"/>
    <w:bookmarkEnd w:id="265"/>
    <w:p>
      <w:pPr>
        <w:jc w:val="both"/>
        <w:spacing w:after="0" w:line="259" w:lineRule="auto"/>
        <w:rPr>
          <w:sz w:val="20"/>
          <w:szCs w:val="20"/>
          <w:color w:val="auto"/>
        </w:rPr>
      </w:pPr>
      <w:r>
        <w:rPr>
          <w:rFonts w:ascii="Arial" w:cs="Arial" w:eastAsia="Arial" w:hAnsi="Arial"/>
          <w:sz w:val="21"/>
          <w:szCs w:val="21"/>
          <w:color w:val="auto"/>
        </w:rPr>
        <w:t>Company to any Fund Investor regarding any Project which are contained in any Fund Document (collectively, “</w:t>
      </w:r>
      <w:r>
        <w:rPr>
          <w:rFonts w:ascii="Arial" w:cs="Arial" w:eastAsia="Arial" w:hAnsi="Arial"/>
          <w:sz w:val="21"/>
          <w:szCs w:val="21"/>
          <w:b w:val="1"/>
          <w:bCs w:val="1"/>
          <w:color w:val="auto"/>
        </w:rPr>
        <w:t>Class A Claims</w:t>
      </w:r>
      <w:r>
        <w:rPr>
          <w:rFonts w:ascii="Arial" w:cs="Arial" w:eastAsia="Arial" w:hAnsi="Arial"/>
          <w:sz w:val="21"/>
          <w:szCs w:val="21"/>
          <w:color w:val="auto"/>
        </w:rPr>
        <w:t xml:space="preserve">”). For the avoidance of doubt, in the event that representations or warranties under the agreements described in clause (ii)(z) of the preceding sentence are made to a Fund Investor and not to the applicable Fund Company, Damages in respect of breaches thereof shall: (i) include Damages resulting from a claim by the Fund Investor, and (ii) be determined as if such representations and warranties were made to the Fund Company as well as the Fund Investor. To the extent that any such Damages relating to an Investor Claim remain unpaid after a claim has been properly made therefor pursuant to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that is not subject to a bona fide dispute, any distributions otherwise payable to the Class B Members under this Agreement shall be used to satisfy the obligations of each Class B Member (whether in its capacity as a Class B Member, the Manager, the Tax Matters Member or otherwise), hereunder.</w:t>
      </w:r>
    </w:p>
    <w:p>
      <w:pPr>
        <w:spacing w:after="0" w:line="186" w:lineRule="exact"/>
        <w:rPr>
          <w:sz w:val="20"/>
          <w:szCs w:val="20"/>
          <w:color w:val="auto"/>
        </w:rPr>
      </w:pPr>
    </w:p>
    <w:p>
      <w:pPr>
        <w:jc w:val="both"/>
        <w:ind w:firstLine="1305"/>
        <w:spacing w:after="0" w:line="286" w:lineRule="auto"/>
        <w:tabs>
          <w:tab w:leader="none" w:pos="1769" w:val="left"/>
        </w:tabs>
        <w:numPr>
          <w:ilvl w:val="0"/>
          <w:numId w:val="282"/>
        </w:numPr>
        <w:rPr>
          <w:rFonts w:ascii="Arial" w:cs="Arial" w:eastAsia="Arial" w:hAnsi="Arial"/>
          <w:sz w:val="19"/>
          <w:szCs w:val="19"/>
          <w:color w:val="auto"/>
        </w:rPr>
      </w:pPr>
      <w:r>
        <w:rPr>
          <w:rFonts w:ascii="Arial" w:cs="Arial" w:eastAsia="Arial" w:hAnsi="Arial"/>
          <w:sz w:val="19"/>
          <w:szCs w:val="19"/>
          <w:u w:val="single" w:color="auto"/>
          <w:color w:val="auto"/>
        </w:rPr>
        <w:t>Indemnification by the Class A Member</w:t>
      </w:r>
      <w:r>
        <w:rPr>
          <w:rFonts w:ascii="Arial" w:cs="Arial" w:eastAsia="Arial" w:hAnsi="Arial"/>
          <w:sz w:val="19"/>
          <w:szCs w:val="19"/>
          <w:color w:val="auto"/>
        </w:rPr>
        <w:t xml:space="preserve">. Subject to the terms and conditions of this </w:t>
      </w:r>
      <w:r>
        <w:rPr>
          <w:rFonts w:ascii="Arial" w:cs="Arial" w:eastAsia="Arial" w:hAnsi="Arial"/>
          <w:sz w:val="19"/>
          <w:szCs w:val="19"/>
          <w:u w:val="single" w:color="auto"/>
          <w:color w:val="auto"/>
        </w:rPr>
        <w:t>Article XI</w:t>
      </w:r>
      <w:r>
        <w:rPr>
          <w:rFonts w:ascii="Arial" w:cs="Arial" w:eastAsia="Arial" w:hAnsi="Arial"/>
          <w:sz w:val="19"/>
          <w:szCs w:val="19"/>
          <w:color w:val="auto"/>
        </w:rPr>
        <w:t>, each Class A Member shall indemnify, defend, reimburse and hold harmless each Class B Member and its respective parent or subsidiary companies, shareholders, partners, members and other Affiliates, and each of their respective officers, directors, managers, employees, attorneys, contractors and agents (collectively, the “</w:t>
      </w:r>
      <w:r>
        <w:rPr>
          <w:rFonts w:ascii="Arial" w:cs="Arial" w:eastAsia="Arial" w:hAnsi="Arial"/>
          <w:sz w:val="19"/>
          <w:szCs w:val="19"/>
          <w:b w:val="1"/>
          <w:bCs w:val="1"/>
          <w:color w:val="auto"/>
        </w:rPr>
        <w:t>Class B Parties</w:t>
      </w:r>
      <w:r>
        <w:rPr>
          <w:rFonts w:ascii="Arial" w:cs="Arial" w:eastAsia="Arial" w:hAnsi="Arial"/>
          <w:sz w:val="19"/>
          <w:szCs w:val="19"/>
          <w:color w:val="auto"/>
        </w:rPr>
        <w:t>” and together with the Class A Parties, the “</w:t>
      </w:r>
      <w:r>
        <w:rPr>
          <w:rFonts w:ascii="Arial" w:cs="Arial" w:eastAsia="Arial" w:hAnsi="Arial"/>
          <w:sz w:val="19"/>
          <w:szCs w:val="19"/>
          <w:b w:val="1"/>
          <w:bCs w:val="1"/>
          <w:color w:val="auto"/>
        </w:rPr>
        <w:t>Indemnified Parties</w:t>
      </w:r>
      <w:r>
        <w:rPr>
          <w:rFonts w:ascii="Arial" w:cs="Arial" w:eastAsia="Arial" w:hAnsi="Arial"/>
          <w:sz w:val="19"/>
          <w:szCs w:val="19"/>
          <w:color w:val="auto"/>
        </w:rPr>
        <w:t xml:space="preserve">”), from and against any and Damages asserted against, resulting to, imposed upon, or incurred by the Class B Parties, directly or indirectly, by reason of or resulting from (i) any breach or failure by the Class A Member of any of its representations, warranties, covenants, obligations or agreements contained in this Agreement or any other Investment Document or any certificate delivered thereunder or hereunder; (ii) any indemnity obligation due and payable to a Fund Investor under the Fund Documents, in connection with a breach not addressed in </w:t>
      </w:r>
      <w:r>
        <w:rPr>
          <w:rFonts w:ascii="Arial" w:cs="Arial" w:eastAsia="Arial" w:hAnsi="Arial"/>
          <w:sz w:val="19"/>
          <w:szCs w:val="19"/>
          <w:u w:val="single" w:color="auto"/>
          <w:color w:val="auto"/>
        </w:rPr>
        <w:t>Section 11.1(a)(ii)</w:t>
      </w:r>
      <w:r>
        <w:rPr>
          <w:rFonts w:ascii="Arial" w:cs="Arial" w:eastAsia="Arial" w:hAnsi="Arial"/>
          <w:sz w:val="19"/>
          <w:szCs w:val="19"/>
          <w:color w:val="auto"/>
        </w:rPr>
        <w:t xml:space="preserve"> (unless caused by the breach or failure by a Class B Member of any of its representations, warranties, covenants, obligations or agreements contained in this Agreement or any other Investment Document); provided, that, notwithstanding anything to the contrary contained herein, the Damages indemnified by the Class A Member pursuant to this clause (ii) shall be limited to an amount equal to 80% of the applicable indemnity obligation due and payable to a Fund Investor under the Fund Documents; or (iii) any indemnity obligation due and payable to a Fund Investor under the Fund Documents if caused by the breach or failure by a Class A Member of any of its representations, warranties, covenants, obligations or agreements contained in this Agreement or any other Investment Document (collectively, “</w:t>
      </w:r>
      <w:r>
        <w:rPr>
          <w:rFonts w:ascii="Arial" w:cs="Arial" w:eastAsia="Arial" w:hAnsi="Arial"/>
          <w:sz w:val="19"/>
          <w:szCs w:val="19"/>
          <w:b w:val="1"/>
          <w:bCs w:val="1"/>
          <w:color w:val="auto"/>
        </w:rPr>
        <w:t>Class B Claim</w:t>
      </w:r>
      <w:r>
        <w:rPr>
          <w:rFonts w:ascii="Arial" w:cs="Arial" w:eastAsia="Arial" w:hAnsi="Arial"/>
          <w:sz w:val="19"/>
          <w:szCs w:val="19"/>
          <w:color w:val="auto"/>
        </w:rPr>
        <w:t>” and together with an Investor Claim, an “</w:t>
      </w:r>
      <w:r>
        <w:rPr>
          <w:rFonts w:ascii="Arial" w:cs="Arial" w:eastAsia="Arial" w:hAnsi="Arial"/>
          <w:sz w:val="19"/>
          <w:szCs w:val="19"/>
          <w:b w:val="1"/>
          <w:bCs w:val="1"/>
          <w:color w:val="auto"/>
        </w:rPr>
        <w:t>Indemnity Claim</w:t>
      </w:r>
      <w:r>
        <w:rPr>
          <w:rFonts w:ascii="Arial" w:cs="Arial" w:eastAsia="Arial" w:hAnsi="Arial"/>
          <w:sz w:val="19"/>
          <w:szCs w:val="19"/>
          <w:color w:val="auto"/>
        </w:rPr>
        <w:t xml:space="preserve">”). To the extent that any such Damages relating to a Class B Claim remain unpaid after a claim has been properly made therefor pursuant to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that is not subject to a bona fide dispute, any distributions otherwise payable to the Class A Members under this Agreement shall be used to satisfy the obligations of each Class A Member hereunder.</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1305"/>
        <w:spacing w:after="0" w:line="266" w:lineRule="auto"/>
        <w:tabs>
          <w:tab w:leader="none" w:pos="1770" w:val="left"/>
        </w:tabs>
        <w:numPr>
          <w:ilvl w:val="0"/>
          <w:numId w:val="282"/>
        </w:numPr>
        <w:rPr>
          <w:rFonts w:ascii="Arial" w:cs="Arial" w:eastAsia="Arial" w:hAnsi="Arial"/>
          <w:sz w:val="21"/>
          <w:szCs w:val="21"/>
          <w:color w:val="auto"/>
        </w:rPr>
      </w:pPr>
      <w:r>
        <w:rPr>
          <w:rFonts w:ascii="Arial" w:cs="Arial" w:eastAsia="Arial" w:hAnsi="Arial"/>
          <w:sz w:val="21"/>
          <w:szCs w:val="21"/>
          <w:u w:val="single" w:color="auto"/>
          <w:color w:val="auto"/>
        </w:rPr>
        <w:t>Indemnification by the Sponsor</w:t>
      </w:r>
      <w:r>
        <w:rPr>
          <w:rFonts w:ascii="Arial" w:cs="Arial" w:eastAsia="Arial" w:hAnsi="Arial"/>
          <w:sz w:val="21"/>
          <w:szCs w:val="21"/>
          <w:color w:val="auto"/>
        </w:rPr>
        <w:t xml:space="preserve">. Subject to the terms and conditions of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to the extent that any Damages relating to a Class A Claim remain unpaid after a claim has been properly made therefor pursuant to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that is not subject to a bona fide dispute, the Sponsor shall pay to the Class A Parties any amounts validly due from the Class B Members under the indemnity obligations set out in </w:t>
      </w:r>
      <w:r>
        <w:rPr>
          <w:rFonts w:ascii="Arial" w:cs="Arial" w:eastAsia="Arial" w:hAnsi="Arial"/>
          <w:sz w:val="21"/>
          <w:szCs w:val="21"/>
          <w:u w:val="single" w:color="auto"/>
          <w:color w:val="auto"/>
        </w:rPr>
        <w:t>Section 11.1(a)</w:t>
      </w:r>
      <w:r>
        <w:rPr>
          <w:rFonts w:ascii="Arial" w:cs="Arial" w:eastAsia="Arial" w:hAnsi="Arial"/>
          <w:sz w:val="21"/>
          <w:szCs w:val="21"/>
          <w:color w:val="auto"/>
        </w:rPr>
        <w:t xml:space="preserve"> above. If any claim is made under this Section 11.1(c), the Sponsor shall have all of the rights of an Indemnifying Member (as defined below).</w:t>
      </w:r>
    </w:p>
    <w:p>
      <w:pPr>
        <w:spacing w:after="0" w:line="16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11.2</w:t>
      </w:r>
      <w:r>
        <w:rPr>
          <w:sz w:val="20"/>
          <w:szCs w:val="20"/>
          <w:color w:val="auto"/>
        </w:rPr>
        <w:tab/>
      </w:r>
      <w:r>
        <w:rPr>
          <w:rFonts w:ascii="Arial" w:cs="Arial" w:eastAsia="Arial" w:hAnsi="Arial"/>
          <w:sz w:val="19"/>
          <w:szCs w:val="19"/>
          <w:b w:val="1"/>
          <w:bCs w:val="1"/>
          <w:u w:val="single" w:color="auto"/>
          <w:color w:val="auto"/>
        </w:rPr>
        <w:t>Limitation on Liability.</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The indemnification obligations pursuant to this </w:t>
      </w: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shall be subject to the following limitations:</w:t>
      </w:r>
    </w:p>
    <w:p>
      <w:pPr>
        <w:spacing w:after="0" w:line="220" w:lineRule="exact"/>
        <w:rPr>
          <w:sz w:val="20"/>
          <w:szCs w:val="20"/>
          <w:color w:val="auto"/>
        </w:rPr>
      </w:pPr>
    </w:p>
    <w:p>
      <w:pPr>
        <w:jc w:val="both"/>
        <w:ind w:firstLine="1305"/>
        <w:spacing w:after="0" w:line="300" w:lineRule="auto"/>
        <w:tabs>
          <w:tab w:leader="none" w:pos="1770"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The amount of Damages for which a Member is obligated to indemnify with respect to any Indemnity Claim shall be reduced to the extent of any amounts actually received by the applicable Class A Parties or Class B Parties, as applicable, after the Effective Date pursuant to the terms of the insurance policies obtained and maintained by the Company or any Subject Company (if any) covering such claim or any insurance proceeds from policies obtained and maintained by or for the benefit of any such Person or any Affiliate thereof be considered in connection with a reduction of Damages pursuant to this </w:t>
      </w:r>
      <w:r>
        <w:rPr>
          <w:rFonts w:ascii="Arial" w:cs="Arial" w:eastAsia="Arial" w:hAnsi="Arial"/>
          <w:sz w:val="19"/>
          <w:szCs w:val="19"/>
          <w:u w:val="single" w:color="auto"/>
          <w:color w:val="auto"/>
        </w:rPr>
        <w:t>Section 11.2(a)</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firstLine="1305"/>
        <w:spacing w:after="0" w:line="261" w:lineRule="exact"/>
        <w:tabs>
          <w:tab w:leader="none" w:pos="1823"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Damages paid pursuant to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shall be treated as a non-taxable adjustment to purchase price or return of capital for federal income tax purposes unless the Class A Member receives an opinion at a “more likely than not” level or higher from a nationally-recognized law firm that such amount is taxable. If such opinion is received, Damages paid pursuant to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shall be grossed-up and paid on an After</w:t>
      </w:r>
      <w:r>
        <w:rPr>
          <w:rFonts w:ascii="MS PGothic" w:cs="MS PGothic" w:eastAsia="MS PGothic" w:hAnsi="MS PGothic"/>
          <w:sz w:val="19"/>
          <w:szCs w:val="19"/>
          <w:color w:val="auto"/>
        </w:rPr>
        <w:t>‑</w:t>
      </w:r>
      <w:r>
        <w:rPr>
          <w:rFonts w:ascii="Arial" w:cs="Arial" w:eastAsia="Arial" w:hAnsi="Arial"/>
          <w:sz w:val="19"/>
          <w:szCs w:val="19"/>
          <w:color w:val="auto"/>
        </w:rPr>
        <w:t xml:space="preserve">Tax Basis. To the extent an Indemnified Party subsequently recovers all or a part of the Damages indemnified under this </w:t>
      </w:r>
      <w:r>
        <w:rPr>
          <w:rFonts w:ascii="Arial" w:cs="Arial" w:eastAsia="Arial" w:hAnsi="Arial"/>
          <w:sz w:val="19"/>
          <w:szCs w:val="19"/>
          <w:u w:val="single" w:color="auto"/>
          <w:color w:val="auto"/>
        </w:rPr>
        <w:t>Article XI</w:t>
      </w:r>
      <w:r>
        <w:rPr>
          <w:rFonts w:ascii="Arial" w:cs="Arial" w:eastAsia="Arial" w:hAnsi="Arial"/>
          <w:sz w:val="19"/>
          <w:szCs w:val="19"/>
          <w:color w:val="auto"/>
        </w:rPr>
        <w:t>, the Indemnified Party shall promptly refund the applicable Member(s) that paid such Damages the recovered Damages on an After</w:t>
      </w:r>
      <w:r>
        <w:rPr>
          <w:rFonts w:ascii="MS PGothic" w:cs="MS PGothic" w:eastAsia="MS PGothic" w:hAnsi="MS PGothic"/>
          <w:sz w:val="19"/>
          <w:szCs w:val="19"/>
          <w:i w:val="1"/>
          <w:iCs w:val="1"/>
          <w:color w:val="auto"/>
        </w:rPr>
        <w:t>‑</w:t>
      </w:r>
      <w:r>
        <w:rPr>
          <w:rFonts w:ascii="Arial" w:cs="Arial" w:eastAsia="Arial" w:hAnsi="Arial"/>
          <w:sz w:val="19"/>
          <w:szCs w:val="19"/>
          <w:color w:val="auto"/>
        </w:rPr>
        <w:t xml:space="preserve">Tax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refund shall not exceed the original amount paid to the Indemnified Party by the applicable Member(s) (on an After</w:t>
      </w:r>
      <w:r>
        <w:rPr>
          <w:rFonts w:ascii="MS PGothic" w:cs="MS PGothic" w:eastAsia="MS PGothic" w:hAnsi="MS PGothic"/>
          <w:sz w:val="19"/>
          <w:szCs w:val="19"/>
          <w:color w:val="auto"/>
        </w:rPr>
        <w:t>‑</w:t>
      </w:r>
      <w:r>
        <w:rPr>
          <w:rFonts w:ascii="Arial" w:cs="Arial" w:eastAsia="Arial" w:hAnsi="Arial"/>
          <w:sz w:val="19"/>
          <w:szCs w:val="19"/>
          <w:color w:val="auto"/>
        </w:rPr>
        <w:t>Tax Basis) hereunder.</w:t>
      </w:r>
    </w:p>
    <w:p>
      <w:pPr>
        <w:spacing w:after="0" w:line="203" w:lineRule="exact"/>
        <w:rPr>
          <w:rFonts w:ascii="Arial" w:cs="Arial" w:eastAsia="Arial" w:hAnsi="Arial"/>
          <w:sz w:val="19"/>
          <w:szCs w:val="19"/>
          <w:color w:val="auto"/>
        </w:rPr>
      </w:pPr>
    </w:p>
    <w:p>
      <w:pPr>
        <w:jc w:val="both"/>
        <w:ind w:firstLine="1305"/>
        <w:spacing w:after="0" w:line="260" w:lineRule="auto"/>
        <w:tabs>
          <w:tab w:leader="none" w:pos="1743" w:val="left"/>
        </w:tabs>
        <w:numPr>
          <w:ilvl w:val="0"/>
          <w:numId w:val="283"/>
        </w:numPr>
        <w:rPr>
          <w:rFonts w:ascii="Arial" w:cs="Arial" w:eastAsia="Arial" w:hAnsi="Arial"/>
          <w:sz w:val="21"/>
          <w:szCs w:val="21"/>
          <w:color w:val="auto"/>
        </w:rPr>
      </w:pPr>
      <w:r>
        <w:rPr>
          <w:rFonts w:ascii="Arial" w:cs="Arial" w:eastAsia="Arial" w:hAnsi="Arial"/>
          <w:sz w:val="21"/>
          <w:szCs w:val="21"/>
          <w:color w:val="auto"/>
        </w:rPr>
        <w:t xml:space="preserve">The indemnification obligations under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shall be limited to actual Damages and shall not include special, incidental, consequential, indirect, punitive, or exemplary Damages (including lost profits and damages for a lost opportunity);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incidental, consequential, indirect, punitive, or exemplary Damages recovered by a third party (including Governmental Authorities) against a Person entitled to indemnity pursuant to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shall be included in the Damages recoverable under such indemnity;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the loss, disallowance or reduction of ITCs shall not be considered as special, incidental, consequential, indirect, punitive or exemplary Damage and shall be included in the Damages recoverable under this indemnity, but, with respect to Damages for the loss, disallowance or reduction of ITCs, only with respect to a loss, disallowance or reduction arising after the Effective Date and prior to the ten (10) year anniversary of the latest Placed in Service Date for any Project.</w:t>
      </w:r>
    </w:p>
    <w:p>
      <w:pPr>
        <w:sectPr>
          <w:pgSz w:w="11900" w:h="16838" w:orient="portrait"/>
          <w:cols w:equalWidth="0" w:num="1">
            <w:col w:w="11420"/>
          </w:cols>
          <w:pgMar w:left="240" w:top="126" w:right="239" w:bottom="147" w:gutter="0" w:footer="0" w:header="0"/>
        </w:sectPr>
      </w:pPr>
    </w:p>
    <w:bookmarkStart w:id="266" w:name="page267"/>
    <w:bookmarkEnd w:id="266"/>
    <w:p>
      <w:pPr>
        <w:jc w:val="both"/>
        <w:ind w:firstLine="1305"/>
        <w:spacing w:after="0" w:line="254" w:lineRule="auto"/>
        <w:tabs>
          <w:tab w:leader="none" w:pos="1769" w:val="left"/>
        </w:tabs>
        <w:numPr>
          <w:ilvl w:val="0"/>
          <w:numId w:val="284"/>
        </w:numPr>
        <w:rPr>
          <w:rFonts w:ascii="Arial" w:cs="Arial" w:eastAsia="Arial" w:hAnsi="Arial"/>
          <w:sz w:val="22"/>
          <w:szCs w:val="22"/>
          <w:color w:val="auto"/>
        </w:rPr>
      </w:pPr>
      <w:r>
        <w:rPr>
          <w:rFonts w:ascii="Arial" w:cs="Arial" w:eastAsia="Arial" w:hAnsi="Arial"/>
          <w:sz w:val="22"/>
          <w:szCs w:val="22"/>
          <w:color w:val="auto"/>
        </w:rPr>
        <w:t>No Indemnified Party may receive compensation for Damages suffered by such Person to the extent that such Damages are attributable to (i) the gross negligence or willful misconduct of such Indemnified Party or (ii) the breach of any representation or warranty by such Indemnified Party in this Agreement to the extent such representation or warranty was false when made.</w:t>
      </w:r>
    </w:p>
    <w:p>
      <w:pPr>
        <w:spacing w:after="0" w:line="185" w:lineRule="exact"/>
        <w:rPr>
          <w:rFonts w:ascii="Arial" w:cs="Arial" w:eastAsia="Arial" w:hAnsi="Arial"/>
          <w:sz w:val="22"/>
          <w:szCs w:val="22"/>
          <w:color w:val="auto"/>
        </w:rPr>
      </w:pPr>
    </w:p>
    <w:p>
      <w:pPr>
        <w:jc w:val="both"/>
        <w:ind w:firstLine="1305"/>
        <w:spacing w:after="0" w:line="266" w:lineRule="auto"/>
        <w:tabs>
          <w:tab w:leader="none" w:pos="1770" w:val="left"/>
        </w:tabs>
        <w:numPr>
          <w:ilvl w:val="0"/>
          <w:numId w:val="284"/>
        </w:numPr>
        <w:rPr>
          <w:rFonts w:ascii="Arial" w:cs="Arial" w:eastAsia="Arial" w:hAnsi="Arial"/>
          <w:sz w:val="21"/>
          <w:szCs w:val="21"/>
          <w:color w:val="auto"/>
        </w:rPr>
      </w:pPr>
      <w:r>
        <w:rPr>
          <w:rFonts w:ascii="Arial" w:cs="Arial" w:eastAsia="Arial" w:hAnsi="Arial"/>
          <w:sz w:val="21"/>
          <w:szCs w:val="21"/>
          <w:color w:val="auto"/>
        </w:rPr>
        <w:t xml:space="preserve">Notwithstanding any limitation of liability contained in the O&amp;M Agreement or the AMA, as applicable, the Class B Member’s liability for Damages under </w:t>
      </w:r>
      <w:r>
        <w:rPr>
          <w:rFonts w:ascii="Arial" w:cs="Arial" w:eastAsia="Arial" w:hAnsi="Arial"/>
          <w:sz w:val="21"/>
          <w:szCs w:val="21"/>
          <w:u w:val="single" w:color="auto"/>
          <w:color w:val="auto"/>
        </w:rPr>
        <w:t>Section 11.2(a)(ii)(z)</w:t>
      </w:r>
      <w:r>
        <w:rPr>
          <w:rFonts w:ascii="Arial" w:cs="Arial" w:eastAsia="Arial" w:hAnsi="Arial"/>
          <w:sz w:val="21"/>
          <w:szCs w:val="21"/>
          <w:color w:val="auto"/>
        </w:rPr>
        <w:t xml:space="preserve"> in respect of a breach by an Affiliate of the Class B Member under the O&amp;M Agreement or the AMA, as applicable, shall not exceed: (i) an amount equal to two (2) years of the fees paid under the O&amp;M Agreement or AMA, as applicable, minus (ii) any payments made to the NRG Chestnut Fund LLC in respect of such Damages under the O&amp;M Agreement or AMA, as applicable.</w:t>
      </w:r>
    </w:p>
    <w:p>
      <w:pPr>
        <w:spacing w:after="0" w:line="16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11.3</w:t>
      </w:r>
      <w:r>
        <w:rPr>
          <w:sz w:val="20"/>
          <w:szCs w:val="20"/>
          <w:color w:val="auto"/>
        </w:rPr>
        <w:tab/>
      </w:r>
      <w:r>
        <w:rPr>
          <w:rFonts w:ascii="Arial" w:cs="Arial" w:eastAsia="Arial" w:hAnsi="Arial"/>
          <w:sz w:val="19"/>
          <w:szCs w:val="19"/>
          <w:b w:val="1"/>
          <w:bCs w:val="1"/>
          <w:u w:val="single" w:color="auto"/>
          <w:color w:val="auto"/>
        </w:rPr>
        <w:t>Procedure for Indemnification.</w:t>
      </w:r>
    </w:p>
    <w:p>
      <w:pPr>
        <w:spacing w:after="0" w:line="239"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After receipt by an Indemnified Party under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notice of the commencement of any action, or any other actual or potential Indemnity Claim, such Indemnified Party shall, if a claim in respect thereof is to be made against a Member (the “</w:t>
      </w:r>
      <w:r>
        <w:rPr>
          <w:rFonts w:ascii="Arial" w:cs="Arial" w:eastAsia="Arial" w:hAnsi="Arial"/>
          <w:sz w:val="19"/>
          <w:szCs w:val="19"/>
          <w:b w:val="1"/>
          <w:bCs w:val="1"/>
          <w:color w:val="auto"/>
        </w:rPr>
        <w:t>Indemnifying Member</w:t>
      </w:r>
      <w:r>
        <w:rPr>
          <w:rFonts w:ascii="Arial" w:cs="Arial" w:eastAsia="Arial" w:hAnsi="Arial"/>
          <w:sz w:val="19"/>
          <w:szCs w:val="19"/>
          <w:color w:val="auto"/>
        </w:rPr>
        <w:t xml:space="preserve">”), give written notice thereof to such Indemnifying Member. The failure to promptly notify the Indemnifying Member shall not relieve such Indemnifying Member of any liability that it may have to any Indemnified Party with respect to such action;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to the extent that any such failure to provide prompt notice is responsible for an increase in the indemnity obligations of the Indemnifying Member, the Indemnifying Member shall not be responsible for any such increase. In the case of any such action brought against an Indemnified Party for which the Indemnified Party has given written notice to the Indemnifying Member of the commencement thereof, the Indemnifying Member shall be entitled to participate therein and, to the extent that it may wish, to assume the defense thereof with counsel reasonably satisfactory to such indemnified party. If the Indemnifying Member elects to assume the defense of such action, the Indemnified Party shall have the right to employ separate counsel at its own expense and to participate in the defense thereof. If the Indemnifying Member elects not to assume (or fails to assume) the defense of such action, or at any time fails diligently to pursue such defense, the Indemnified Party shall be entitled to assume the defense of such action with counsel of its own choice, at the expense of the Indemnifying Member. If the action is asserted against both the Indemnifying Member and the Indemnified Party and (a) there is a conflict of interests which renders it inappropriate for the same counsel to represent both the Indemnifying Member and the Indemnified Party or (b) such action could reasonably be expected to result in the imposition of criminal liability, the Indemnifying Member shall be responsible for paying for separate counsel for the indemnified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there is more than one Indemnified Party and it is practical for all such parties to be represented by common counsel, the Indemnifying Member shall not be responsible for paying for more than one separate firm of attorneys to represent the indemnified parties, regardless of the number of indemnified parties. If the Indemnifying Member elects to assume the defense of such action, (y) no compromise or settlement thereof may be effected by the Indemnifying Member without the indemnified party’s written consent (which shall not be unreasonably withheld) unless the sole relief provided is monetary damages that are paid in full by the Indemnifying Member and (z) the Indemnifying Member shall have no liability with respect to any compromise or settlement thereof effected without its written consent (which shall not be unreasonably withheld) unless the Indemnifying Member has failed to defend such Indemnified Party against such action.</w:t>
      </w:r>
    </w:p>
    <w:p>
      <w:pPr>
        <w:spacing w:after="0" w:line="163"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11.4</w:t>
      </w:r>
      <w:r>
        <w:rPr>
          <w:sz w:val="20"/>
          <w:szCs w:val="20"/>
          <w:color w:val="auto"/>
        </w:rPr>
        <w:tab/>
      </w:r>
      <w:r>
        <w:rPr>
          <w:rFonts w:ascii="Arial" w:cs="Arial" w:eastAsia="Arial" w:hAnsi="Arial"/>
          <w:sz w:val="19"/>
          <w:szCs w:val="19"/>
          <w:b w:val="1"/>
          <w:bCs w:val="1"/>
          <w:u w:val="single" w:color="auto"/>
          <w:color w:val="auto"/>
        </w:rPr>
        <w:t>Exclusivity.</w:t>
      </w:r>
    </w:p>
    <w:p>
      <w:pPr>
        <w:spacing w:after="0" w:line="23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The Parties agree that, (a) except with respect to fraud or willful misconduct, in relation to any breach, default, or nonperformance of any representation, warranty, covenant, or agreement made or entered into by a Member (whether in its capacity as a Member, the Manager, the Tax Matters Member or otherwise) pursuant to this Agreement or any certificate, instrument, or document delivered pursuant hereto or arising out of the transactions contemplated herein, the only relief and remedy available to the other Members in respect of Damages fully recoverable and addressed by the payment of money shall be as set forth in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but only to the extent properly claimable hereunder and as limited pursuant to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or otherwise hereunder. For the avoidance of doubt, no Party has waived any rights to pursue equitable remedies under this Agreement or the other Investment Documents.</w:t>
      </w:r>
    </w:p>
    <w:p>
      <w:pPr>
        <w:spacing w:after="0" w:line="17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11.5</w:t>
      </w:r>
      <w:r>
        <w:rPr>
          <w:sz w:val="20"/>
          <w:szCs w:val="20"/>
          <w:color w:val="auto"/>
        </w:rPr>
        <w:tab/>
      </w:r>
      <w:r>
        <w:rPr>
          <w:rFonts w:ascii="Arial" w:cs="Arial" w:eastAsia="Arial" w:hAnsi="Arial"/>
          <w:sz w:val="19"/>
          <w:szCs w:val="19"/>
          <w:b w:val="1"/>
          <w:bCs w:val="1"/>
          <w:u w:val="single" w:color="auto"/>
          <w:color w:val="auto"/>
        </w:rPr>
        <w:t>No Right of Contribution.</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After the Effective Date, the Company shall have no liability to indemnify a Member on account of the breach of any representation or warranty or the nonfulfillment of any covenant or agreement of the Company; and no Member shall have any right of contribution against the Company.</w:t>
      </w:r>
    </w:p>
    <w:p>
      <w:pPr>
        <w:spacing w:after="0" w:line="180"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11.6</w:t>
      </w:r>
      <w:r>
        <w:rPr>
          <w:sz w:val="20"/>
          <w:szCs w:val="20"/>
          <w:color w:val="auto"/>
        </w:rPr>
        <w:tab/>
      </w:r>
      <w:r>
        <w:rPr>
          <w:rFonts w:ascii="Arial" w:cs="Arial" w:eastAsia="Arial" w:hAnsi="Arial"/>
          <w:sz w:val="19"/>
          <w:szCs w:val="19"/>
          <w:b w:val="1"/>
          <w:bCs w:val="1"/>
          <w:u w:val="single" w:color="auto"/>
          <w:color w:val="auto"/>
        </w:rPr>
        <w:t>Entire Agreement.</w:t>
      </w:r>
    </w:p>
    <w:p>
      <w:pPr>
        <w:spacing w:after="0" w:line="23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of this Agreement constitutes the entire agreement and understanding of the parties with respect to indemnification hereunder.</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DISSOLUTION, LIQUIDATION AND TERMINATION</w:t>
      </w:r>
    </w:p>
    <w:p>
      <w:pPr>
        <w:spacing w:after="0" w:line="20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12.1</w:t>
      </w:r>
      <w:r>
        <w:rPr>
          <w:sz w:val="20"/>
          <w:szCs w:val="20"/>
          <w:color w:val="auto"/>
        </w:rPr>
        <w:tab/>
      </w:r>
      <w:r>
        <w:rPr>
          <w:rFonts w:ascii="Arial" w:cs="Arial" w:eastAsia="Arial" w:hAnsi="Arial"/>
          <w:sz w:val="19"/>
          <w:szCs w:val="19"/>
          <w:b w:val="1"/>
          <w:bCs w:val="1"/>
          <w:u w:val="single" w:color="auto"/>
          <w:color w:val="auto"/>
        </w:rPr>
        <w:t>Dissolution.</w:t>
      </w:r>
    </w:p>
    <w:p>
      <w:pPr>
        <w:sectPr>
          <w:pgSz w:w="11900" w:h="16838" w:orient="portrait"/>
          <w:cols w:equalWidth="0" w:num="1">
            <w:col w:w="11420"/>
          </w:cols>
          <w:pgMar w:left="240" w:top="132" w:right="239" w:bottom="80" w:gutter="0" w:footer="0" w:header="0"/>
        </w:sectPr>
      </w:pPr>
    </w:p>
    <w:bookmarkStart w:id="267" w:name="page268"/>
    <w:bookmarkEnd w:id="267"/>
    <w:p>
      <w:pPr>
        <w:ind w:left="-660" w:firstLine="1305"/>
        <w:spacing w:after="0" w:line="276" w:lineRule="auto"/>
        <w:tabs>
          <w:tab w:leader="none" w:pos="1083" w:val="left"/>
        </w:tabs>
        <w:numPr>
          <w:ilvl w:val="0"/>
          <w:numId w:val="285"/>
        </w:numPr>
        <w:rPr>
          <w:rFonts w:ascii="Arial" w:cs="Arial" w:eastAsia="Arial" w:hAnsi="Arial"/>
          <w:sz w:val="22"/>
          <w:szCs w:val="22"/>
          <w:color w:val="auto"/>
        </w:rPr>
      </w:pPr>
      <w:r>
        <w:rPr>
          <w:rFonts w:ascii="Arial" w:cs="Arial" w:eastAsia="Arial" w:hAnsi="Arial"/>
          <w:sz w:val="22"/>
          <w:szCs w:val="22"/>
          <w:color w:val="auto"/>
        </w:rPr>
        <w:t>The Company will dissolve and its business and affairs will be wound up on the first to occur of the following (the “</w:t>
      </w:r>
      <w:r>
        <w:rPr>
          <w:rFonts w:ascii="Arial" w:cs="Arial" w:eastAsia="Arial" w:hAnsi="Arial"/>
          <w:sz w:val="22"/>
          <w:szCs w:val="22"/>
          <w:b w:val="1"/>
          <w:bCs w:val="1"/>
          <w:color w:val="auto"/>
        </w:rPr>
        <w:t>Liquidating Events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1680" w:hanging="387"/>
        <w:spacing w:after="0"/>
        <w:tabs>
          <w:tab w:leader="none" w:pos="1680" w:val="left"/>
        </w:tabs>
        <w:numPr>
          <w:ilvl w:val="1"/>
          <w:numId w:val="285"/>
        </w:numPr>
        <w:rPr>
          <w:rFonts w:ascii="Arial" w:cs="Arial" w:eastAsia="Arial" w:hAnsi="Arial"/>
          <w:sz w:val="22"/>
          <w:szCs w:val="22"/>
          <w:color w:val="auto"/>
        </w:rPr>
      </w:pPr>
      <w:r>
        <w:rPr>
          <w:rFonts w:ascii="Arial" w:cs="Arial" w:eastAsia="Arial" w:hAnsi="Arial"/>
          <w:sz w:val="22"/>
          <w:szCs w:val="22"/>
          <w:color w:val="auto"/>
        </w:rPr>
        <w:t>The unanimous consent of the Members to dissolve the Company;</w:t>
      </w:r>
    </w:p>
    <w:p>
      <w:pPr>
        <w:spacing w:after="0" w:line="233" w:lineRule="exact"/>
        <w:rPr>
          <w:rFonts w:ascii="Arial" w:cs="Arial" w:eastAsia="Arial" w:hAnsi="Arial"/>
          <w:sz w:val="22"/>
          <w:szCs w:val="22"/>
          <w:color w:val="auto"/>
        </w:rPr>
      </w:pPr>
    </w:p>
    <w:p>
      <w:pPr>
        <w:jc w:val="both"/>
        <w:ind w:firstLine="1293"/>
        <w:spacing w:after="0" w:line="251" w:lineRule="auto"/>
        <w:tabs>
          <w:tab w:leader="none" w:pos="1768" w:val="left"/>
        </w:tabs>
        <w:numPr>
          <w:ilvl w:val="1"/>
          <w:numId w:val="285"/>
        </w:numPr>
        <w:rPr>
          <w:rFonts w:ascii="Arial" w:cs="Arial" w:eastAsia="Arial" w:hAnsi="Arial"/>
          <w:sz w:val="22"/>
          <w:szCs w:val="22"/>
          <w:color w:val="auto"/>
        </w:rPr>
      </w:pPr>
      <w:r>
        <w:rPr>
          <w:rFonts w:ascii="Arial" w:cs="Arial" w:eastAsia="Arial" w:hAnsi="Arial"/>
          <w:sz w:val="22"/>
          <w:szCs w:val="22"/>
          <w:color w:val="auto"/>
        </w:rPr>
        <w:t xml:space="preserve">Any other event upon the occurrence of which dissolution is required by the Act (that the Act does not allow to be waived by agreement of the Parties), unless, to the extent permitted by the Act, Members (other than the Member with respect to which such event occurs) unanimously elect in writing, within ninety (90) days of the date such event described in this </w:t>
      </w:r>
      <w:r>
        <w:rPr>
          <w:rFonts w:ascii="Arial" w:cs="Arial" w:eastAsia="Arial" w:hAnsi="Arial"/>
          <w:sz w:val="22"/>
          <w:szCs w:val="22"/>
          <w:u w:val="single" w:color="auto"/>
          <w:color w:val="auto"/>
        </w:rPr>
        <w:t>Section 12.1(a)(ii)</w:t>
      </w:r>
      <w:r>
        <w:rPr>
          <w:rFonts w:ascii="Arial" w:cs="Arial" w:eastAsia="Arial" w:hAnsi="Arial"/>
          <w:sz w:val="22"/>
          <w:szCs w:val="22"/>
          <w:color w:val="auto"/>
        </w:rPr>
        <w:t xml:space="preserve"> occurs, to continue the business of the Company, in which case the Company will not dissolve; or</w:t>
      </w:r>
    </w:p>
    <w:p>
      <w:pPr>
        <w:spacing w:after="0" w:line="189" w:lineRule="exact"/>
        <w:rPr>
          <w:rFonts w:ascii="Arial" w:cs="Arial" w:eastAsia="Arial" w:hAnsi="Arial"/>
          <w:sz w:val="22"/>
          <w:szCs w:val="22"/>
          <w:color w:val="auto"/>
        </w:rPr>
      </w:pPr>
    </w:p>
    <w:p>
      <w:pPr>
        <w:ind w:left="1880" w:hanging="587"/>
        <w:spacing w:after="0"/>
        <w:tabs>
          <w:tab w:leader="none" w:pos="1880" w:val="left"/>
        </w:tabs>
        <w:numPr>
          <w:ilvl w:val="1"/>
          <w:numId w:val="285"/>
        </w:numPr>
        <w:rPr>
          <w:rFonts w:ascii="Arial" w:cs="Arial" w:eastAsia="Arial" w:hAnsi="Arial"/>
          <w:sz w:val="19"/>
          <w:szCs w:val="19"/>
          <w:color w:val="auto"/>
        </w:rPr>
      </w:pPr>
      <w:r>
        <w:rPr>
          <w:rFonts w:ascii="Arial" w:cs="Arial" w:eastAsia="Arial" w:hAnsi="Arial"/>
          <w:sz w:val="19"/>
          <w:szCs w:val="19"/>
          <w:color w:val="auto"/>
        </w:rPr>
        <w:t>The sale, transfer or other disposition by the Company of all or substantially all of its business and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Assets.</w:t>
      </w:r>
    </w:p>
    <w:p>
      <w:pPr>
        <w:spacing w:after="0" w:line="215" w:lineRule="exact"/>
        <w:rPr>
          <w:rFonts w:ascii="Arial" w:cs="Arial" w:eastAsia="Arial" w:hAnsi="Arial"/>
          <w:sz w:val="19"/>
          <w:szCs w:val="19"/>
          <w:color w:val="auto"/>
        </w:rPr>
      </w:pPr>
    </w:p>
    <w:p>
      <w:pPr>
        <w:ind w:left="-660" w:firstLine="1305"/>
        <w:spacing w:after="0" w:line="276" w:lineRule="auto"/>
        <w:tabs>
          <w:tab w:leader="none" w:pos="1109" w:val="left"/>
        </w:tabs>
        <w:numPr>
          <w:ilvl w:val="0"/>
          <w:numId w:val="285"/>
        </w:numPr>
        <w:rPr>
          <w:rFonts w:ascii="Arial" w:cs="Arial" w:eastAsia="Arial" w:hAnsi="Arial"/>
          <w:sz w:val="22"/>
          <w:szCs w:val="22"/>
          <w:color w:val="auto"/>
        </w:rPr>
      </w:pPr>
      <w:r>
        <w:rPr>
          <w:rFonts w:ascii="Arial" w:cs="Arial" w:eastAsia="Arial" w:hAnsi="Arial"/>
          <w:sz w:val="22"/>
          <w:szCs w:val="22"/>
          <w:color w:val="auto"/>
        </w:rPr>
        <w:t xml:space="preserve">Each Member agrees that, to the fullest extent permitted by Law, it will not dissolve itself or the Company or withdraw from the Company except as set forth in </w:t>
      </w:r>
      <w:r>
        <w:rPr>
          <w:rFonts w:ascii="Arial" w:cs="Arial" w:eastAsia="Arial" w:hAnsi="Arial"/>
          <w:sz w:val="22"/>
          <w:szCs w:val="22"/>
          <w:u w:val="single" w:color="auto"/>
          <w:color w:val="auto"/>
        </w:rPr>
        <w:t>Section 12.1(a)</w:t>
      </w:r>
      <w:r>
        <w:rPr>
          <w:rFonts w:ascii="Arial" w:cs="Arial" w:eastAsia="Arial" w:hAnsi="Arial"/>
          <w:sz w:val="22"/>
          <w:szCs w:val="22"/>
          <w:color w:val="auto"/>
        </w:rPr>
        <w:t>.</w:t>
      </w:r>
    </w:p>
    <w:p>
      <w:pPr>
        <w:spacing w:after="0" w:line="155"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2"/>
          <w:szCs w:val="22"/>
          <w:b w:val="1"/>
          <w:bCs w:val="1"/>
          <w:color w:val="auto"/>
        </w:rPr>
        <w:t>Section 12.2</w:t>
      </w:r>
      <w:r>
        <w:rPr>
          <w:sz w:val="20"/>
          <w:szCs w:val="20"/>
          <w:color w:val="auto"/>
        </w:rPr>
        <w:tab/>
      </w:r>
      <w:r>
        <w:rPr>
          <w:rFonts w:ascii="Arial" w:cs="Arial" w:eastAsia="Arial" w:hAnsi="Arial"/>
          <w:sz w:val="19"/>
          <w:szCs w:val="19"/>
          <w:b w:val="1"/>
          <w:bCs w:val="1"/>
          <w:u w:val="single" w:color="auto"/>
          <w:color w:val="auto"/>
        </w:rPr>
        <w:t>Liquidation and Termination.</w:t>
      </w:r>
    </w:p>
    <w:p>
      <w:pPr>
        <w:spacing w:after="0" w:line="239" w:lineRule="exact"/>
        <w:rPr>
          <w:sz w:val="20"/>
          <w:szCs w:val="20"/>
          <w:color w:val="auto"/>
        </w:rPr>
      </w:pPr>
    </w:p>
    <w:p>
      <w:pPr>
        <w:jc w:val="both"/>
        <w:ind w:left="-660" w:firstLine="1305"/>
        <w:spacing w:after="0" w:line="251" w:lineRule="auto"/>
        <w:tabs>
          <w:tab w:leader="none" w:pos="1070" w:val="left"/>
        </w:tabs>
        <w:numPr>
          <w:ilvl w:val="0"/>
          <w:numId w:val="286"/>
        </w:numPr>
        <w:rPr>
          <w:rFonts w:ascii="Arial" w:cs="Arial" w:eastAsia="Arial" w:hAnsi="Arial"/>
          <w:sz w:val="22"/>
          <w:szCs w:val="22"/>
          <w:color w:val="auto"/>
        </w:rPr>
      </w:pPr>
      <w:r>
        <w:rPr>
          <w:rFonts w:ascii="Arial" w:cs="Arial" w:eastAsia="Arial" w:hAnsi="Arial"/>
          <w:sz w:val="22"/>
          <w:szCs w:val="22"/>
          <w:color w:val="auto"/>
        </w:rPr>
        <w:t>On dissolution of the Company, the Manager shall, with the Consent of the Class A Members, act as liquidator. The liquidator shall proceed diligently to wind up the affairs of the Company and make final distributions as provided in this Agreement. The costs of liquidation will be borne as a Company Expense. Until final distribution, the liquidator shall continue to operate the Company with all of the power and authority of the Members. The steps to be accomplished by the liquidator are as follows:</w:t>
      </w:r>
    </w:p>
    <w:p>
      <w:pPr>
        <w:spacing w:after="0" w:line="189" w:lineRule="exact"/>
        <w:rPr>
          <w:rFonts w:ascii="Arial" w:cs="Arial" w:eastAsia="Arial" w:hAnsi="Arial"/>
          <w:sz w:val="22"/>
          <w:szCs w:val="22"/>
          <w:color w:val="auto"/>
        </w:rPr>
      </w:pPr>
    </w:p>
    <w:p>
      <w:pPr>
        <w:jc w:val="both"/>
        <w:ind w:firstLine="1293"/>
        <w:spacing w:after="0" w:line="254" w:lineRule="auto"/>
        <w:tabs>
          <w:tab w:leader="none" w:pos="1734" w:val="left"/>
        </w:tabs>
        <w:numPr>
          <w:ilvl w:val="1"/>
          <w:numId w:val="286"/>
        </w:numPr>
        <w:rPr>
          <w:rFonts w:ascii="Arial" w:cs="Arial" w:eastAsia="Arial" w:hAnsi="Arial"/>
          <w:sz w:val="22"/>
          <w:szCs w:val="22"/>
          <w:color w:val="auto"/>
        </w:rPr>
      </w:pPr>
      <w:r>
        <w:rPr>
          <w:rFonts w:ascii="Arial" w:cs="Arial" w:eastAsia="Arial" w:hAnsi="Arial"/>
          <w:sz w:val="22"/>
          <w:szCs w:val="22"/>
          <w:color w:val="auto"/>
        </w:rPr>
        <w:t>As promptly as reasonably practicable after dissolution and again after final liquidation, the liquidator shall cause a proper accounting to be made by the Certified Public Accountant of the Company’s Assets, liabilities, and operations through the last day of the calendar month in which the dissolution occurs or the final liquidation is completed, as applicable.</w:t>
      </w:r>
    </w:p>
    <w:p>
      <w:pPr>
        <w:spacing w:after="0" w:line="185" w:lineRule="exact"/>
        <w:rPr>
          <w:rFonts w:ascii="Arial" w:cs="Arial" w:eastAsia="Arial" w:hAnsi="Arial"/>
          <w:sz w:val="22"/>
          <w:szCs w:val="22"/>
          <w:color w:val="auto"/>
        </w:rPr>
      </w:pPr>
    </w:p>
    <w:p>
      <w:pPr>
        <w:jc w:val="both"/>
        <w:ind w:firstLine="1293"/>
        <w:spacing w:after="0" w:line="278" w:lineRule="auto"/>
        <w:tabs>
          <w:tab w:leader="none" w:pos="1903" w:val="left"/>
        </w:tabs>
        <w:numPr>
          <w:ilvl w:val="1"/>
          <w:numId w:val="286"/>
        </w:numPr>
        <w:rPr>
          <w:rFonts w:ascii="Arial" w:cs="Arial" w:eastAsia="Arial" w:hAnsi="Arial"/>
          <w:sz w:val="21"/>
          <w:szCs w:val="21"/>
          <w:color w:val="auto"/>
        </w:rPr>
      </w:pPr>
      <w:r>
        <w:rPr>
          <w:rFonts w:ascii="Arial" w:cs="Arial" w:eastAsia="Arial" w:hAnsi="Arial"/>
          <w:sz w:val="21"/>
          <w:szCs w:val="21"/>
          <w:color w:val="auto"/>
        </w:rPr>
        <w:t>The liquidator shall pay from Company funds all of the debts and liabilities of the Company or otherwise make adequate provision for them (including the establishment of a cash escrow fund for contingent, conditional or unmatured liabilities in such amount and for such term as the liquidator may reasonably determine).</w:t>
      </w:r>
    </w:p>
    <w:p>
      <w:pPr>
        <w:spacing w:after="0" w:line="160" w:lineRule="exact"/>
        <w:rPr>
          <w:rFonts w:ascii="Arial" w:cs="Arial" w:eastAsia="Arial" w:hAnsi="Arial"/>
          <w:sz w:val="21"/>
          <w:szCs w:val="21"/>
          <w:color w:val="auto"/>
        </w:rPr>
      </w:pPr>
    </w:p>
    <w:p>
      <w:pPr>
        <w:ind w:left="1800" w:hanging="507"/>
        <w:spacing w:after="0"/>
        <w:tabs>
          <w:tab w:leader="none" w:pos="180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With respect to the remaining Assets of the Company:</w:t>
      </w:r>
    </w:p>
    <w:p>
      <w:pPr>
        <w:spacing w:after="0" w:line="233" w:lineRule="exact"/>
        <w:rPr>
          <w:rFonts w:ascii="Arial" w:cs="Arial" w:eastAsia="Arial" w:hAnsi="Arial"/>
          <w:sz w:val="22"/>
          <w:szCs w:val="22"/>
          <w:color w:val="auto"/>
        </w:rPr>
      </w:pPr>
    </w:p>
    <w:p>
      <w:pPr>
        <w:jc w:val="both"/>
        <w:ind w:left="640" w:firstLine="1301"/>
        <w:spacing w:after="0" w:line="320" w:lineRule="auto"/>
        <w:tabs>
          <w:tab w:leader="none" w:pos="2443" w:val="left"/>
        </w:tabs>
        <w:numPr>
          <w:ilvl w:val="2"/>
          <w:numId w:val="286"/>
        </w:numPr>
        <w:rPr>
          <w:rFonts w:ascii="Arial" w:cs="Arial" w:eastAsia="Arial" w:hAnsi="Arial"/>
          <w:sz w:val="19"/>
          <w:szCs w:val="19"/>
          <w:color w:val="auto"/>
        </w:rPr>
      </w:pPr>
      <w:r>
        <w:rPr>
          <w:rFonts w:ascii="Arial" w:cs="Arial" w:eastAsia="Arial" w:hAnsi="Arial"/>
          <w:sz w:val="19"/>
          <w:szCs w:val="19"/>
          <w:color w:val="auto"/>
        </w:rPr>
        <w:t>the liquidator shall use all commercially reasonable efforts to obtain the best possible price and may sell any or all Company Assets (subject to any and all restrictions to which any Project is subject), including to the Members at such price, but in no event lower than the Fair Market Value thereof; and</w:t>
      </w:r>
    </w:p>
    <w:p>
      <w:pPr>
        <w:spacing w:after="0" w:line="125" w:lineRule="exact"/>
        <w:rPr>
          <w:rFonts w:ascii="Arial" w:cs="Arial" w:eastAsia="Arial" w:hAnsi="Arial"/>
          <w:sz w:val="19"/>
          <w:szCs w:val="19"/>
          <w:color w:val="auto"/>
        </w:rPr>
      </w:pPr>
    </w:p>
    <w:p>
      <w:pPr>
        <w:ind w:left="640" w:firstLine="1301"/>
        <w:spacing w:after="0" w:line="276" w:lineRule="auto"/>
        <w:tabs>
          <w:tab w:leader="none" w:pos="2445" w:val="left"/>
        </w:tabs>
        <w:numPr>
          <w:ilvl w:val="2"/>
          <w:numId w:val="286"/>
        </w:numPr>
        <w:rPr>
          <w:rFonts w:ascii="Arial" w:cs="Arial" w:eastAsia="Arial" w:hAnsi="Arial"/>
          <w:sz w:val="22"/>
          <w:szCs w:val="22"/>
          <w:color w:val="auto"/>
        </w:rPr>
      </w:pPr>
      <w:r>
        <w:rPr>
          <w:rFonts w:ascii="Arial" w:cs="Arial" w:eastAsia="Arial" w:hAnsi="Arial"/>
          <w:sz w:val="22"/>
          <w:szCs w:val="22"/>
          <w:color w:val="auto"/>
        </w:rPr>
        <w:t xml:space="preserve">with respect to all Company Assets that have not been sold, the Values of such Assets shall be determined pursuant to </w:t>
      </w:r>
      <w:r>
        <w:rPr>
          <w:rFonts w:ascii="Arial" w:cs="Arial" w:eastAsia="Arial" w:hAnsi="Arial"/>
          <w:sz w:val="22"/>
          <w:szCs w:val="22"/>
          <w:u w:val="single" w:color="auto"/>
          <w:color w:val="auto"/>
        </w:rPr>
        <w:t>subparagraph (b)</w:t>
      </w:r>
      <w:r>
        <w:rPr>
          <w:rFonts w:ascii="Arial" w:cs="Arial" w:eastAsia="Arial" w:hAnsi="Arial"/>
          <w:sz w:val="22"/>
          <w:szCs w:val="22"/>
          <w:color w:val="auto"/>
        </w:rPr>
        <w:t xml:space="preserve"> of the definition of Value.</w:t>
      </w:r>
    </w:p>
    <w:p>
      <w:pPr>
        <w:spacing w:after="0" w:line="160" w:lineRule="exact"/>
        <w:rPr>
          <w:rFonts w:ascii="Arial" w:cs="Arial" w:eastAsia="Arial" w:hAnsi="Arial"/>
          <w:sz w:val="22"/>
          <w:szCs w:val="22"/>
          <w:color w:val="auto"/>
        </w:rPr>
      </w:pPr>
    </w:p>
    <w:p>
      <w:pPr>
        <w:jc w:val="both"/>
        <w:ind w:firstLine="1293"/>
        <w:spacing w:after="0" w:line="290" w:lineRule="auto"/>
        <w:tabs>
          <w:tab w:leader="none" w:pos="1856" w:val="left"/>
        </w:tabs>
        <w:numPr>
          <w:ilvl w:val="1"/>
          <w:numId w:val="286"/>
        </w:numPr>
        <w:rPr>
          <w:rFonts w:ascii="Arial" w:cs="Arial" w:eastAsia="Arial" w:hAnsi="Arial"/>
          <w:sz w:val="19"/>
          <w:szCs w:val="19"/>
          <w:color w:val="auto"/>
        </w:rPr>
      </w:pPr>
      <w:r>
        <w:rPr>
          <w:rFonts w:ascii="Arial" w:cs="Arial" w:eastAsia="Arial" w:hAnsi="Arial"/>
          <w:sz w:val="19"/>
          <w:szCs w:val="19"/>
          <w:color w:val="auto"/>
        </w:rPr>
        <w:t xml:space="preserve">Any Company Items of income and gain (including any such items attributable to the disposition or deemed disposition of Assets pursuant to </w:t>
      </w:r>
      <w:r>
        <w:rPr>
          <w:rFonts w:ascii="Arial" w:cs="Arial" w:eastAsia="Arial" w:hAnsi="Arial"/>
          <w:sz w:val="19"/>
          <w:szCs w:val="19"/>
          <w:u w:val="single" w:color="auto"/>
          <w:color w:val="auto"/>
        </w:rPr>
        <w:t>Section 12.2(a)(iii)</w:t>
      </w:r>
      <w:r>
        <w:rPr>
          <w:rFonts w:ascii="Arial" w:cs="Arial" w:eastAsia="Arial" w:hAnsi="Arial"/>
          <w:sz w:val="19"/>
          <w:szCs w:val="19"/>
          <w:color w:val="auto"/>
        </w:rPr>
        <w:t xml:space="preserve"> for the Taxable Year during which the distribution of liquidation proceeds occurs that have not been allocated pursuant to the Regulatory Allocations shall first be allocated to each Member having a deficit balance in its Capital Account, in the proportion that such deficit balance bears to the total deficit balances in the Capital Accounts of all Members, until each Member has been allocated Company Items of income and gain equal to any such deficit balance in its Capital Account and such deficit balance has thereby been eliminated. Any remaining Company Items for such Taxable Year during which the distribution of liquidation proceeds occurs shall be allocated among the Members in such manner as to ensure that, to the greatest extent feasible, following these allocations, the balances in the Capital Accounts of the Members are expected to result in distributions pursuant to </w:t>
      </w:r>
      <w:r>
        <w:rPr>
          <w:rFonts w:ascii="Arial" w:cs="Arial" w:eastAsia="Arial" w:hAnsi="Arial"/>
          <w:sz w:val="19"/>
          <w:szCs w:val="19"/>
          <w:u w:val="single" w:color="auto"/>
          <w:color w:val="auto"/>
        </w:rPr>
        <w:t>Section 12.2(a)(v)</w:t>
      </w:r>
      <w:r>
        <w:rPr>
          <w:rFonts w:ascii="Arial" w:cs="Arial" w:eastAsia="Arial" w:hAnsi="Arial"/>
          <w:sz w:val="19"/>
          <w:szCs w:val="19"/>
          <w:color w:val="auto"/>
        </w:rPr>
        <w:t xml:space="preserve"> to the Class A Members and the Class B Members in accordance with the sharing ratios set forth in Section 5.1(a); and</w:t>
      </w:r>
    </w:p>
    <w:p>
      <w:pPr>
        <w:spacing w:after="0" w:line="155" w:lineRule="exact"/>
        <w:rPr>
          <w:rFonts w:ascii="Arial" w:cs="Arial" w:eastAsia="Arial" w:hAnsi="Arial"/>
          <w:sz w:val="19"/>
          <w:szCs w:val="19"/>
          <w:color w:val="auto"/>
        </w:rPr>
      </w:pPr>
    </w:p>
    <w:p>
      <w:pPr>
        <w:jc w:val="both"/>
        <w:ind w:firstLine="1293"/>
        <w:spacing w:after="0" w:line="307" w:lineRule="auto"/>
        <w:tabs>
          <w:tab w:leader="none" w:pos="1729" w:val="left"/>
        </w:tabs>
        <w:numPr>
          <w:ilvl w:val="1"/>
          <w:numId w:val="286"/>
        </w:numPr>
        <w:rPr>
          <w:rFonts w:ascii="Arial" w:cs="Arial" w:eastAsia="Arial" w:hAnsi="Arial"/>
          <w:sz w:val="19"/>
          <w:szCs w:val="19"/>
          <w:color w:val="auto"/>
        </w:rPr>
      </w:pPr>
      <w:r>
        <w:rPr>
          <w:rFonts w:ascii="Arial" w:cs="Arial" w:eastAsia="Arial" w:hAnsi="Arial"/>
          <w:sz w:val="19"/>
          <w:szCs w:val="19"/>
          <w:color w:val="auto"/>
        </w:rPr>
        <w:t xml:space="preserve">After giving effect to all allocations (including those under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12.2(a)(iv)</w:t>
      </w:r>
      <w:r>
        <w:rPr>
          <w:rFonts w:ascii="Arial" w:cs="Arial" w:eastAsia="Arial" w:hAnsi="Arial"/>
          <w:sz w:val="19"/>
          <w:szCs w:val="19"/>
          <w:color w:val="auto"/>
        </w:rPr>
        <w:t xml:space="preserve">), all prior distributions (including those under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and all Capital Contributions (including those under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3.3</w:t>
      </w:r>
      <w:r>
        <w:rPr>
          <w:rFonts w:ascii="Arial" w:cs="Arial" w:eastAsia="Arial" w:hAnsi="Arial"/>
          <w:sz w:val="19"/>
          <w:szCs w:val="19"/>
          <w:color w:val="auto"/>
        </w:rPr>
        <w:t>) for all periods, all remaining cash and property (including any Available Cash Flow and liquidation proceeds) shall be distributed to the Members in accordance with the positive balances in their Capital Accounts.</w:t>
      </w:r>
    </w:p>
    <w:p>
      <w:pPr>
        <w:spacing w:after="0" w:line="138" w:lineRule="exact"/>
        <w:rPr>
          <w:rFonts w:ascii="Arial" w:cs="Arial" w:eastAsia="Arial" w:hAnsi="Arial"/>
          <w:sz w:val="19"/>
          <w:szCs w:val="19"/>
          <w:color w:val="auto"/>
        </w:rPr>
      </w:pPr>
    </w:p>
    <w:p>
      <w:pPr>
        <w:jc w:val="both"/>
        <w:ind w:firstLine="1293"/>
        <w:spacing w:after="0" w:line="260" w:lineRule="auto"/>
        <w:tabs>
          <w:tab w:leader="none" w:pos="1788" w:val="left"/>
        </w:tabs>
        <w:numPr>
          <w:ilvl w:val="1"/>
          <w:numId w:val="286"/>
        </w:numPr>
        <w:rPr>
          <w:rFonts w:ascii="Arial" w:cs="Arial" w:eastAsia="Arial" w:hAnsi="Arial"/>
          <w:sz w:val="22"/>
          <w:szCs w:val="22"/>
          <w:color w:val="auto"/>
        </w:rPr>
      </w:pPr>
      <w:r>
        <w:rPr>
          <w:rFonts w:ascii="Arial" w:cs="Arial" w:eastAsia="Arial" w:hAnsi="Arial"/>
          <w:sz w:val="22"/>
          <w:szCs w:val="22"/>
          <w:color w:val="auto"/>
        </w:rPr>
        <w:t xml:space="preserve">Any distribution to the Members in respect of their Capital Accounts pursuant to this </w:t>
      </w:r>
      <w:r>
        <w:rPr>
          <w:rFonts w:ascii="Arial" w:cs="Arial" w:eastAsia="Arial" w:hAnsi="Arial"/>
          <w:sz w:val="22"/>
          <w:szCs w:val="22"/>
          <w:u w:val="single" w:color="auto"/>
          <w:color w:val="auto"/>
        </w:rPr>
        <w:t>Section 12.2</w:t>
      </w:r>
      <w:r>
        <w:rPr>
          <w:rFonts w:ascii="Arial" w:cs="Arial" w:eastAsia="Arial" w:hAnsi="Arial"/>
          <w:sz w:val="22"/>
          <w:szCs w:val="22"/>
          <w:color w:val="auto"/>
        </w:rPr>
        <w:t xml:space="preserve"> shall be made by the end of the Company taxable year in which a Liquidating Event occurs (or if later, within ninety (90) days after the date of such Liquidating Event).</w:t>
      </w:r>
    </w:p>
    <w:p>
      <w:pPr>
        <w:spacing w:after="0" w:line="177" w:lineRule="exact"/>
        <w:rPr>
          <w:rFonts w:ascii="Arial" w:cs="Arial" w:eastAsia="Arial" w:hAnsi="Arial"/>
          <w:sz w:val="22"/>
          <w:szCs w:val="22"/>
          <w:color w:val="auto"/>
        </w:rPr>
      </w:pPr>
    </w:p>
    <w:p>
      <w:pPr>
        <w:jc w:val="both"/>
        <w:ind w:left="-660" w:right="20" w:firstLine="1305"/>
        <w:spacing w:after="0" w:line="358" w:lineRule="auto"/>
        <w:tabs>
          <w:tab w:leader="none" w:pos="1204" w:val="left"/>
        </w:tabs>
        <w:numPr>
          <w:ilvl w:val="0"/>
          <w:numId w:val="286"/>
        </w:numPr>
        <w:rPr>
          <w:rFonts w:ascii="Arial" w:cs="Arial" w:eastAsia="Arial" w:hAnsi="Arial"/>
          <w:sz w:val="19"/>
          <w:szCs w:val="19"/>
          <w:color w:val="auto"/>
        </w:rPr>
      </w:pPr>
      <w:r>
        <w:rPr>
          <w:rFonts w:ascii="Arial" w:cs="Arial" w:eastAsia="Arial" w:hAnsi="Arial"/>
          <w:sz w:val="19"/>
          <w:szCs w:val="19"/>
          <w:color w:val="auto"/>
        </w:rPr>
        <w:t xml:space="preserve">The distribution of cash or property to a Member in accordance with the provisions of this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constitutes a complete return to the Member of its Capital Contributions and a complete distribution to the Member on account of</w:t>
      </w:r>
    </w:p>
    <w:p>
      <w:pPr>
        <w:sectPr>
          <w:pgSz w:w="11900" w:h="16838" w:orient="portrait"/>
          <w:cols w:equalWidth="0" w:num="1">
            <w:col w:w="10760"/>
          </w:cols>
          <w:pgMar w:left="900" w:top="132" w:right="239" w:bottom="0" w:gutter="0" w:footer="0" w:header="0"/>
        </w:sectPr>
      </w:pPr>
    </w:p>
    <w:bookmarkStart w:id="268" w:name="page269"/>
    <w:bookmarkEnd w:id="268"/>
    <w:p>
      <w:pPr>
        <w:spacing w:after="0" w:line="263" w:lineRule="auto"/>
        <w:rPr>
          <w:sz w:val="20"/>
          <w:szCs w:val="20"/>
          <w:color w:val="auto"/>
        </w:rPr>
      </w:pPr>
      <w:r>
        <w:rPr>
          <w:rFonts w:ascii="Arial" w:cs="Arial" w:eastAsia="Arial" w:hAnsi="Arial"/>
          <w:sz w:val="22"/>
          <w:szCs w:val="22"/>
          <w:color w:val="auto"/>
        </w:rPr>
        <w:t>its Membership Interest and all the Company’s property and constitutes a compromise to which all Members have consented pursuant to Section 18-502(b) of the Act.</w:t>
      </w:r>
    </w:p>
    <w:p>
      <w:pPr>
        <w:spacing w:after="0" w:line="16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12.3</w:t>
      </w:r>
      <w:r>
        <w:rPr>
          <w:sz w:val="20"/>
          <w:szCs w:val="20"/>
          <w:color w:val="auto"/>
        </w:rPr>
        <w:tab/>
      </w:r>
      <w:r>
        <w:rPr>
          <w:rFonts w:ascii="Arial" w:cs="Arial" w:eastAsia="Arial" w:hAnsi="Arial"/>
          <w:sz w:val="19"/>
          <w:szCs w:val="19"/>
          <w:b w:val="1"/>
          <w:bCs w:val="1"/>
          <w:u w:val="single" w:color="auto"/>
          <w:color w:val="auto"/>
        </w:rPr>
        <w:t>Deficit Capital Accounts.</w:t>
      </w:r>
    </w:p>
    <w:p>
      <w:pPr>
        <w:spacing w:after="0" w:line="239" w:lineRule="exact"/>
        <w:rPr>
          <w:sz w:val="20"/>
          <w:szCs w:val="20"/>
          <w:color w:val="auto"/>
        </w:rPr>
      </w:pPr>
    </w:p>
    <w:p>
      <w:pPr>
        <w:ind w:firstLine="1305"/>
        <w:spacing w:after="0" w:line="276" w:lineRule="auto"/>
        <w:tabs>
          <w:tab w:leader="none" w:pos="1743" w:val="left"/>
        </w:tabs>
        <w:numPr>
          <w:ilvl w:val="1"/>
          <w:numId w:val="287"/>
        </w:numPr>
        <w:rPr>
          <w:rFonts w:ascii="Arial" w:cs="Arial" w:eastAsia="Arial" w:hAnsi="Arial"/>
          <w:sz w:val="22"/>
          <w:szCs w:val="22"/>
          <w:color w:val="auto"/>
        </w:rPr>
      </w:pPr>
      <w:r>
        <w:rPr>
          <w:rFonts w:ascii="Arial" w:cs="Arial" w:eastAsia="Arial" w:hAnsi="Arial"/>
          <w:sz w:val="22"/>
          <w:szCs w:val="22"/>
          <w:color w:val="auto"/>
        </w:rPr>
        <w:t xml:space="preserve">Except as expressly provided in this </w:t>
      </w:r>
      <w:r>
        <w:rPr>
          <w:rFonts w:ascii="Arial" w:cs="Arial" w:eastAsia="Arial" w:hAnsi="Arial"/>
          <w:sz w:val="22"/>
          <w:szCs w:val="22"/>
          <w:u w:val="single" w:color="auto"/>
          <w:color w:val="auto"/>
        </w:rPr>
        <w:t>Section 12.3</w:t>
      </w:r>
      <w:r>
        <w:rPr>
          <w:rFonts w:ascii="Arial" w:cs="Arial" w:eastAsia="Arial" w:hAnsi="Arial"/>
          <w:sz w:val="22"/>
          <w:szCs w:val="22"/>
          <w:color w:val="auto"/>
        </w:rPr>
        <w:t>, no Member shall be obligated to contribute cash to restore a deficit in its Capital Account balance.</w:t>
      </w:r>
    </w:p>
    <w:p>
      <w:pPr>
        <w:spacing w:after="0" w:line="160" w:lineRule="exact"/>
        <w:rPr>
          <w:rFonts w:ascii="Arial" w:cs="Arial" w:eastAsia="Arial" w:hAnsi="Arial"/>
          <w:sz w:val="22"/>
          <w:szCs w:val="22"/>
          <w:color w:val="auto"/>
        </w:rPr>
      </w:pPr>
    </w:p>
    <w:p>
      <w:pPr>
        <w:jc w:val="both"/>
        <w:ind w:firstLine="1305"/>
        <w:spacing w:after="0" w:line="293" w:lineRule="auto"/>
        <w:tabs>
          <w:tab w:leader="none" w:pos="1769" w:val="left"/>
        </w:tabs>
        <w:numPr>
          <w:ilvl w:val="1"/>
          <w:numId w:val="287"/>
        </w:numPr>
        <w:rPr>
          <w:rFonts w:ascii="Arial" w:cs="Arial" w:eastAsia="Arial" w:hAnsi="Arial"/>
          <w:sz w:val="19"/>
          <w:szCs w:val="19"/>
          <w:color w:val="auto"/>
        </w:rPr>
      </w:pPr>
      <w:r>
        <w:rPr>
          <w:rFonts w:ascii="Arial" w:cs="Arial" w:eastAsia="Arial" w:hAnsi="Arial"/>
          <w:sz w:val="19"/>
          <w:szCs w:val="19"/>
          <w:color w:val="auto"/>
        </w:rPr>
        <w:t>In the event the Class A Member’s interests in the Company are “liquidated” within the meaning of Treasury Regulations Section 1.704-1(b)(2)(ii)(g), if the Class A Member has a deficit Capital Account balance in excess of the amount such Class A Member is deemed obligated to restore pursuant to the penultimate sentences of Treasury Regulations Section 1.704-2(g)</w:t>
      </w:r>
    </w:p>
    <w:p>
      <w:pPr>
        <w:spacing w:after="0" w:line="1" w:lineRule="exact"/>
        <w:rPr>
          <w:rFonts w:ascii="Arial" w:cs="Arial" w:eastAsia="Arial" w:hAnsi="Arial"/>
          <w:sz w:val="19"/>
          <w:szCs w:val="19"/>
          <w:color w:val="auto"/>
        </w:rPr>
      </w:pPr>
    </w:p>
    <w:p>
      <w:pPr>
        <w:jc w:val="both"/>
        <w:ind w:firstLine="8"/>
        <w:spacing w:after="0" w:line="295" w:lineRule="auto"/>
        <w:tabs>
          <w:tab w:leader="none" w:pos="330" w:val="left"/>
        </w:tabs>
        <w:numPr>
          <w:ilvl w:val="0"/>
          <w:numId w:val="288"/>
        </w:numPr>
        <w:rPr>
          <w:rFonts w:ascii="Arial" w:cs="Arial" w:eastAsia="Arial" w:hAnsi="Arial"/>
          <w:sz w:val="19"/>
          <w:szCs w:val="19"/>
          <w:color w:val="auto"/>
        </w:rPr>
      </w:pPr>
      <w:r>
        <w:rPr>
          <w:rFonts w:ascii="Arial" w:cs="Arial" w:eastAsia="Arial" w:hAnsi="Arial"/>
          <w:sz w:val="19"/>
          <w:szCs w:val="19"/>
          <w:color w:val="auto"/>
        </w:rPr>
        <w:t>and 1.704-2(i)(5) (an “</w:t>
      </w:r>
      <w:r>
        <w:rPr>
          <w:rFonts w:ascii="Arial" w:cs="Arial" w:eastAsia="Arial" w:hAnsi="Arial"/>
          <w:sz w:val="19"/>
          <w:szCs w:val="19"/>
          <w:u w:val="single" w:color="auto"/>
          <w:color w:val="auto"/>
        </w:rPr>
        <w:t>Adjusted Deficit Capital Account Balance</w:t>
      </w:r>
      <w:r>
        <w:rPr>
          <w:rFonts w:ascii="Arial" w:cs="Arial" w:eastAsia="Arial" w:hAnsi="Arial"/>
          <w:sz w:val="19"/>
          <w:szCs w:val="19"/>
          <w:color w:val="auto"/>
        </w:rPr>
        <w:t xml:space="preserve">”), then the Class A Member shall be obligated to pay and restore to the Company cash in an amount equal to such Adjusted Deficit Capital Account Balance by the end of the Taxable Year during which the liquidation of the Company occurs, or if later, within ninety (90) days after the date of such liquidation;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restoration obligation of the Class A Member shall not, under any circumstances be more than its DRO Amount.</w:t>
      </w:r>
    </w:p>
    <w:p>
      <w:pPr>
        <w:spacing w:after="0" w:line="144"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12.4</w:t>
      </w:r>
      <w:r>
        <w:rPr>
          <w:sz w:val="20"/>
          <w:szCs w:val="20"/>
          <w:color w:val="auto"/>
        </w:rPr>
        <w:tab/>
      </w:r>
      <w:r>
        <w:rPr>
          <w:rFonts w:ascii="Arial" w:cs="Arial" w:eastAsia="Arial" w:hAnsi="Arial"/>
          <w:sz w:val="19"/>
          <w:szCs w:val="19"/>
          <w:b w:val="1"/>
          <w:bCs w:val="1"/>
          <w:u w:val="single" w:color="auto"/>
          <w:color w:val="auto"/>
        </w:rPr>
        <w:t>Termination.</w:t>
      </w:r>
    </w:p>
    <w:p>
      <w:pPr>
        <w:spacing w:after="0" w:line="239"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On completion of the satisfaction of liabilities and distribution of Assets as provided in this Agreement, the Manager (or such other Person or Persons as the Act may require or permit) shall file a certificate of cancellation with the Secretary of State of the State of Delaware and cancel any other filings made as provided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and shall take such other actions as may be necessary to terminate the existence of the Company. Upon the filing of such certificate of cancellation, the existence of the Company shall terminate (and the term of the Company shall end), except as may be otherwise provided by the Act or other applicable Law. All costs and expenses in fulfilling the obligations under this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shall be borne by the Company.</w:t>
      </w:r>
    </w:p>
    <w:p>
      <w:pPr>
        <w:spacing w:after="0" w:line="144"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XIII</w:t>
      </w:r>
    </w:p>
    <w:p>
      <w:pPr>
        <w:spacing w:after="0" w:line="28"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GENERAL PROVISIONS</w:t>
      </w:r>
    </w:p>
    <w:p>
      <w:pPr>
        <w:spacing w:after="0" w:line="20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13.1</w:t>
      </w:r>
      <w:r>
        <w:rPr>
          <w:sz w:val="20"/>
          <w:szCs w:val="20"/>
          <w:color w:val="auto"/>
        </w:rPr>
        <w:tab/>
      </w:r>
      <w:r>
        <w:rPr>
          <w:rFonts w:ascii="Arial" w:cs="Arial" w:eastAsia="Arial" w:hAnsi="Arial"/>
          <w:sz w:val="19"/>
          <w:szCs w:val="19"/>
          <w:b w:val="1"/>
          <w:bCs w:val="1"/>
          <w:u w:val="single" w:color="auto"/>
          <w:color w:val="auto"/>
        </w:rPr>
        <w:t>Offset.</w:t>
      </w:r>
    </w:p>
    <w:p>
      <w:pPr>
        <w:spacing w:after="0" w:line="23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 xml:space="preserve">Whenever the Company (or another Person on behalf of the Company) is to pay any sum to any Member, any amounts then owed by such Member to the Company may be deducted from such sum before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Member’s obligation to make Capital Contributions may be deducted from any payment amounts without such Member’s consent.</w:t>
      </w:r>
    </w:p>
    <w:p>
      <w:pPr>
        <w:spacing w:after="0" w:line="12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13.2</w:t>
      </w:r>
      <w:r>
        <w:rPr>
          <w:sz w:val="20"/>
          <w:szCs w:val="20"/>
          <w:color w:val="auto"/>
        </w:rPr>
        <w:tab/>
      </w:r>
      <w:r>
        <w:rPr>
          <w:rFonts w:ascii="Arial" w:cs="Arial" w:eastAsia="Arial" w:hAnsi="Arial"/>
          <w:sz w:val="19"/>
          <w:szCs w:val="19"/>
          <w:b w:val="1"/>
          <w:bCs w:val="1"/>
          <w:u w:val="single" w:color="auto"/>
          <w:color w:val="auto"/>
        </w:rPr>
        <w:t>Notices.</w:t>
      </w:r>
    </w:p>
    <w:p>
      <w:pPr>
        <w:spacing w:after="0" w:line="239"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 xml:space="preserve">All notices, consents, demands, requests or other communications which may be or are required to be given under this Agreement shall be in writing and shall (a) be sent by overnight courier, facsimile, electronic mail or United States mail, addressed to the recipient, postage paid, and registered or certified, return receipt requested, or delivered to the recipient in person and (b) be sent or delivered, in each case, at the addresses set forth on the signature page of this Agreement or such other address as a Member may specify by notice to the Company and the other Members; </w:t>
      </w:r>
      <w:r>
        <w:rPr>
          <w:rFonts w:ascii="Arial" w:cs="Arial" w:eastAsia="Arial" w:hAnsi="Arial"/>
          <w:sz w:val="19"/>
          <w:szCs w:val="19"/>
          <w:i w:val="1"/>
          <w:iCs w:val="1"/>
          <w:color w:val="auto"/>
        </w:rPr>
        <w:t>provided</w:t>
      </w:r>
      <w:r>
        <w:rPr>
          <w:rFonts w:ascii="Arial" w:cs="Arial" w:eastAsia="Arial" w:hAnsi="Arial"/>
          <w:sz w:val="19"/>
          <w:szCs w:val="19"/>
          <w:color w:val="auto"/>
        </w:rPr>
        <w:t>, that any Fund Documents, financial models or reports required to be delivered under this Agreement shall be emailed to (i) with respect to residential Projects, NRGRPVHoldCo3LLC@nrg.com, and (ii) with respect to commercial or industrial Projects, NRGDGPVHoldCo3LLC@nrg.com, and additionally, may be uploaded to a data site mutually agreed to by the Members, including by allowing access to a Member to a Fund Company data site, as long as such Members are delivered notice by one of the other means allowed hereunder when and where such documents are available. Any notice, request or consent to the Company must be given to the Manager. Notices, consents, demands, requests and other communications shall be deemed effective or served on the date of receipt at the address of the Person to receive it.</w:t>
      </w:r>
    </w:p>
    <w:p>
      <w:pPr>
        <w:spacing w:after="0" w:line="7"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13.3</w:t>
      </w:r>
      <w:r>
        <w:rPr>
          <w:sz w:val="20"/>
          <w:szCs w:val="20"/>
          <w:color w:val="auto"/>
        </w:rPr>
        <w:tab/>
      </w:r>
      <w:r>
        <w:rPr>
          <w:rFonts w:ascii="Arial" w:cs="Arial" w:eastAsia="Arial" w:hAnsi="Arial"/>
          <w:sz w:val="19"/>
          <w:szCs w:val="19"/>
          <w:b w:val="1"/>
          <w:bCs w:val="1"/>
          <w:u w:val="single" w:color="auto"/>
          <w:color w:val="auto"/>
        </w:rPr>
        <w:t>Counterparts.</w:t>
      </w:r>
    </w:p>
    <w:p>
      <w:pPr>
        <w:spacing w:after="0" w:line="21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This Agreement may be executed in one or more counterparts, each bearing the signatures of one or more Members. Each such counterpart shall be considered an original and all of such counterparts shall constitute a single agreement binding all the parties as if all had signed a single document. Facsimile, electronic mail or pdf signatures shall be accepted as original signatures for purposes of this Agreement.</w:t>
      </w:r>
    </w:p>
    <w:p>
      <w:pPr>
        <w:spacing w:after="0" w:line="18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13.4</w:t>
      </w:r>
      <w:r>
        <w:rPr>
          <w:sz w:val="20"/>
          <w:szCs w:val="20"/>
          <w:color w:val="auto"/>
        </w:rPr>
        <w:tab/>
      </w:r>
      <w:r>
        <w:rPr>
          <w:rFonts w:ascii="Arial" w:cs="Arial" w:eastAsia="Arial" w:hAnsi="Arial"/>
          <w:sz w:val="19"/>
          <w:szCs w:val="19"/>
          <w:b w:val="1"/>
          <w:bCs w:val="1"/>
          <w:u w:val="single" w:color="auto"/>
          <w:color w:val="auto"/>
        </w:rPr>
        <w:t>Governing Law and Severability.</w:t>
      </w:r>
    </w:p>
    <w:p>
      <w:pPr>
        <w:spacing w:after="0" w:line="239"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This Agreement shall be construed, interpreted and enforced in accordance with the internal laws and decisions of the State of Delaware without giving effect to any choice of law or conflict of law rules or provisions of any other state or jurisdiction that would cause the application of the laws of any jurisdiction other than the State of Delaware. If any provision of this Agreement shall be contrary to any other applicable Law, at the present time or in the future, such provision shall be deemed null and void, but this shall not affect the legality of the remaining provisions of this Agreement. This Agreement shall be deemed to be modified and amended so as to be in compliance with applicable Law and this Agreement shall then be construed in such a way as will best serve the intention of the Parties at the time of the execution of this Agreement.</w:t>
      </w:r>
    </w:p>
    <w:p>
      <w:pPr>
        <w:spacing w:after="0" w:line="145"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13.5</w:t>
      </w:r>
      <w:r>
        <w:rPr>
          <w:sz w:val="20"/>
          <w:szCs w:val="20"/>
          <w:color w:val="auto"/>
        </w:rPr>
        <w:tab/>
      </w:r>
      <w:r>
        <w:rPr>
          <w:rFonts w:ascii="Arial" w:cs="Arial" w:eastAsia="Arial" w:hAnsi="Arial"/>
          <w:sz w:val="19"/>
          <w:szCs w:val="19"/>
          <w:b w:val="1"/>
          <w:bCs w:val="1"/>
          <w:u w:val="single" w:color="auto"/>
          <w:color w:val="auto"/>
        </w:rPr>
        <w:t>Entire Agreement.</w:t>
      </w:r>
    </w:p>
    <w:p>
      <w:pPr>
        <w:sectPr>
          <w:pgSz w:w="11900" w:h="16838" w:orient="portrait"/>
          <w:cols w:equalWidth="0" w:num="1">
            <w:col w:w="11420"/>
          </w:cols>
          <w:pgMar w:left="240" w:top="132" w:right="239" w:bottom="0" w:gutter="0" w:footer="0" w:header="0"/>
        </w:sectPr>
      </w:pPr>
    </w:p>
    <w:bookmarkStart w:id="269" w:name="page270"/>
    <w:bookmarkEnd w:id="269"/>
    <w:p>
      <w:pPr>
        <w:jc w:val="both"/>
        <w:ind w:firstLine="1297"/>
        <w:spacing w:after="0" w:line="250" w:lineRule="auto"/>
        <w:rPr>
          <w:sz w:val="20"/>
          <w:szCs w:val="20"/>
          <w:color w:val="auto"/>
        </w:rPr>
      </w:pPr>
      <w:r>
        <w:rPr>
          <w:rFonts w:ascii="Arial" w:cs="Arial" w:eastAsia="Arial" w:hAnsi="Arial"/>
          <w:sz w:val="22"/>
          <w:szCs w:val="22"/>
          <w:color w:val="auto"/>
        </w:rPr>
        <w:t>This Agreement, including any Annexes, Schedules and Exhibits, together with the other Investment Documents, constitutes the entire agreement among the Members regarding the terms and operations of the Company, except as amended in writing pursuant to the requirements of this Agreement, and supersedes all prior and contemporaneous agreements, statements, understandings and representations of the Parties.</w:t>
      </w:r>
    </w:p>
    <w:p>
      <w:pPr>
        <w:spacing w:after="0" w:line="18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13.6</w:t>
      </w:r>
      <w:r>
        <w:rPr>
          <w:sz w:val="20"/>
          <w:szCs w:val="20"/>
          <w:color w:val="auto"/>
        </w:rPr>
        <w:tab/>
      </w:r>
      <w:r>
        <w:rPr>
          <w:rFonts w:ascii="Arial" w:cs="Arial" w:eastAsia="Arial" w:hAnsi="Arial"/>
          <w:sz w:val="19"/>
          <w:szCs w:val="19"/>
          <w:b w:val="1"/>
          <w:bCs w:val="1"/>
          <w:u w:val="single" w:color="auto"/>
          <w:color w:val="auto"/>
        </w:rPr>
        <w:t>Effect of Waiver or Consent.</w:t>
      </w:r>
    </w:p>
    <w:p>
      <w:pPr>
        <w:spacing w:after="0" w:line="239"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A waiver or consent, express or implied, to or of any breach or default by any Person in the performance by that Person of its obligations under this Agreement, or any Investment Document is not a consent or waiver to or of any other breach or default in the performance by that Person of the same or any other obligations of that Person under this Agreement, or any Investment Document. Failure on the part of a Person to complain of any act of any Person or to declare any Person in default with respect to its obligations under this Agreement, or any Investment Document, irrespective of how long that failure continues, does not constitute a waiver by that Person of its rights with respect to that default until the applicable statute of limitations period has run.</w:t>
      </w:r>
    </w:p>
    <w:p>
      <w:pPr>
        <w:spacing w:after="0" w:line="191"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13.7</w:t>
      </w:r>
      <w:r>
        <w:rPr>
          <w:sz w:val="20"/>
          <w:szCs w:val="20"/>
          <w:color w:val="auto"/>
        </w:rPr>
        <w:tab/>
      </w:r>
      <w:r>
        <w:rPr>
          <w:rFonts w:ascii="Arial" w:cs="Arial" w:eastAsia="Arial" w:hAnsi="Arial"/>
          <w:sz w:val="19"/>
          <w:szCs w:val="19"/>
          <w:b w:val="1"/>
          <w:bCs w:val="1"/>
          <w:u w:val="single" w:color="auto"/>
          <w:color w:val="auto"/>
        </w:rPr>
        <w:t>Amendment or Modification.</w:t>
      </w:r>
    </w:p>
    <w:p>
      <w:pPr>
        <w:spacing w:after="0" w:line="23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Except as otherwise provided herein, this Agreement may be amended or modified from time to time only by a written instrument executed by all Members.</w:t>
      </w:r>
    </w:p>
    <w:p>
      <w:pPr>
        <w:spacing w:after="0" w:line="16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13.8</w:t>
      </w:r>
      <w:r>
        <w:rPr>
          <w:sz w:val="20"/>
          <w:szCs w:val="20"/>
          <w:color w:val="auto"/>
        </w:rPr>
        <w:tab/>
      </w:r>
      <w:r>
        <w:rPr>
          <w:rFonts w:ascii="Arial" w:cs="Arial" w:eastAsia="Arial" w:hAnsi="Arial"/>
          <w:sz w:val="19"/>
          <w:szCs w:val="19"/>
          <w:b w:val="1"/>
          <w:bCs w:val="1"/>
          <w:u w:val="single" w:color="auto"/>
          <w:color w:val="auto"/>
        </w:rPr>
        <w:t>Binding Effect.</w:t>
      </w:r>
    </w:p>
    <w:p>
      <w:pPr>
        <w:spacing w:after="0" w:line="23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Subject to the restrictions on Transfers set forth in this Agreement, this Agreement is binding on and inures to the benefit of the Members and their respective legal representatives, permitted successors and permitted assigns.</w:t>
      </w:r>
    </w:p>
    <w:p>
      <w:pPr>
        <w:spacing w:after="0" w:line="146"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13.9</w:t>
      </w:r>
      <w:r>
        <w:rPr>
          <w:sz w:val="20"/>
          <w:szCs w:val="20"/>
          <w:color w:val="auto"/>
        </w:rPr>
        <w:tab/>
      </w:r>
      <w:r>
        <w:rPr>
          <w:rFonts w:ascii="Arial" w:cs="Arial" w:eastAsia="Arial" w:hAnsi="Arial"/>
          <w:sz w:val="19"/>
          <w:szCs w:val="19"/>
          <w:b w:val="1"/>
          <w:bCs w:val="1"/>
          <w:u w:val="single" w:color="auto"/>
          <w:color w:val="auto"/>
        </w:rPr>
        <w:t>Further Assurances.</w:t>
      </w:r>
    </w:p>
    <w:p>
      <w:pPr>
        <w:spacing w:after="0" w:line="23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In connection with this Agreement and the transactions contemplated hereby, each Member shall execute and deliver any additional documents and instruments and perform any additional acts that may be necessary or appropriate to effectuate and perform the provisions of this Agreement and those transactions contemplated here, including all filing, recording, publishing and other acts appropriate to comply with all requirements for the operation of a limited liability company under the laws of all jurisdictions where the Company shall conduct business.</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22"/>
          <w:szCs w:val="22"/>
          <w:b w:val="1"/>
          <w:bCs w:val="1"/>
          <w:color w:val="auto"/>
        </w:rPr>
        <w:t>Section 13.10</w:t>
      </w:r>
      <w:r>
        <w:rPr>
          <w:sz w:val="20"/>
          <w:szCs w:val="20"/>
          <w:color w:val="auto"/>
        </w:rPr>
        <w:tab/>
      </w:r>
      <w:r>
        <w:rPr>
          <w:rFonts w:ascii="Arial" w:cs="Arial" w:eastAsia="Arial" w:hAnsi="Arial"/>
          <w:sz w:val="19"/>
          <w:szCs w:val="19"/>
          <w:b w:val="1"/>
          <w:bCs w:val="1"/>
          <w:u w:val="single" w:color="auto"/>
          <w:color w:val="auto"/>
        </w:rPr>
        <w:t>Jurisdiction.</w:t>
      </w:r>
    </w:p>
    <w:p>
      <w:pPr>
        <w:spacing w:after="0" w:line="239"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The Parties agree to submit to the exclusive jurisdiction of the Supreme Court of the State of New York and the Federal District Court located in the Borough of Manhattan, State of New York, and any court of appeal from either thereof, in connection with any action or other proceeding relating to this Agreement or the transactions contemplated hereby. Each Party irrevocably waives and agrees not to make, to the fullest extent permitted by Law, any objection which it may now or hereafter have to the jurisdiction of any such court or to the laying of venue of any such action or proceeding brought in any such court and any claim that any such action or proceeding brought in any such court has been brought in an inconvenient forum.</w:t>
      </w:r>
    </w:p>
    <w:p>
      <w:pPr>
        <w:spacing w:after="0" w:line="144"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22"/>
          <w:szCs w:val="22"/>
          <w:b w:val="1"/>
          <w:bCs w:val="1"/>
          <w:color w:val="auto"/>
        </w:rPr>
        <w:t>Section 13.11</w:t>
      </w:r>
      <w:r>
        <w:rPr>
          <w:sz w:val="20"/>
          <w:szCs w:val="20"/>
          <w:color w:val="auto"/>
        </w:rPr>
        <w:tab/>
      </w:r>
      <w:r>
        <w:rPr>
          <w:rFonts w:ascii="Arial" w:cs="Arial" w:eastAsia="Arial" w:hAnsi="Arial"/>
          <w:sz w:val="22"/>
          <w:szCs w:val="22"/>
          <w:b w:val="1"/>
          <w:bCs w:val="1"/>
          <w:u w:val="single" w:color="auto"/>
          <w:color w:val="auto"/>
        </w:rPr>
        <w:t>LIMITATION ON LIABILITY.</w:t>
      </w:r>
    </w:p>
    <w:p>
      <w:pPr>
        <w:spacing w:after="0" w:line="239"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NO DAMAGES SHALL BE MADE BY ANY PARTY HERETO OR ANY OF ITS AFFILIATES, DIRECTORS, EMPLOYEES, ATTORNEYS OR AGENTS AGAINST ANY OTHER PARTY HERETO OR ANY OF ITS AFFILIATES, DIRECTORS, EMPLOYEES, ATTORNEYS OR AGENTS FOR ANY SPECIAL, INCIDENTAL, CONSEQUENTIAL, PUNITIVE, OR EXEMPLARY DAMAGES (INCLUDING DAMAGES FOR LOST OPPORTUNITY, LOST PROFITS OR REVENUES OR LOSS OF USE OF SUCH PROFITS OR REVENUES) (WHETHER OR NOT THE CLAIM THEREFORE IS BASED ON CONTRACT, TORT, DUTY IMPOSED BY LAW OR OTHERWISE), IN CONNECTION WITH, ARISING OUT OF OR IN ANY WAY RELATED TO THE TRANSACTIONS CONTEMPLATED BY THIS AGREEMENT OR THE OTHER INVESTMENT DOCUMENTS OR ANY ACT OR OMISSION OR EVENT OCCURRING IN CONNECTION THEREWITH; AND EACH PARTY HEREBY WAIVES, RELEASES AND AGREES NOT TO SUE UPON ANY SUCH CLAIM FOR ANY SUCH SPECIAL, INCIDENTAL, CONSEQUENTIAL, PUNITIVE, OR EXEMPLARY DAMAGES, WHETHER OR NOT ACCRUED AND WHETHER OR NOT KNOWN OR SUSPECTED TO EXIST IN ITS FAVOR,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TO THE EXTENT A BREACH RESULTS IN THE LOSS, DISALLOWANCE OR REDUCTION OF ITCS, THE VALUE OF SUCH LOST, DISALLOWED OR REDUCED ITCS TO THE EXTENT PROVIDED IN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SHALL NOT CONSTITUTE SPECIAL, INCIDENTAL, CONSEQUENTIAL, PUNITIVE, OR EXEMPLARY DAMAGES.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ectPr>
          <w:pgSz w:w="11900" w:h="16838" w:orient="portrait"/>
          <w:cols w:equalWidth="0" w:num="1">
            <w:col w:w="11420"/>
          </w:cols>
          <w:pgMar w:left="240" w:top="13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420"/>
          </w:cols>
          <w:pgMar w:left="240" w:top="132" w:right="239" w:bottom="0" w:gutter="0" w:footer="0" w:header="0"/>
          <w:type w:val="continuous"/>
        </w:sectPr>
      </w:pPr>
    </w:p>
    <w:bookmarkStart w:id="270" w:name="page271"/>
    <w:bookmarkEnd w:id="270"/>
    <w:p>
      <w:pPr>
        <w:ind w:left="100"/>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9560"/>
          </w:cols>
          <w:pgMar w:left="1440" w:top="60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CLASS B MEMBER</w:t>
      </w:r>
      <w:r>
        <w:rPr>
          <w:rFonts w:ascii="Arial" w:cs="Arial" w:eastAsia="Arial" w:hAnsi="Arial"/>
          <w:sz w:val="22"/>
          <w:szCs w:val="22"/>
          <w:color w:val="auto"/>
        </w:rPr>
        <w:t>:</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NRG RENEW DG HOLDINGS LLC</w:t>
      </w:r>
    </w:p>
    <w:p>
      <w:pPr>
        <w:spacing w:after="0" w:line="382"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-17780</wp:posOffset>
            </wp:positionV>
            <wp:extent cx="13455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3">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 w:lineRule="exact"/>
        <w:rPr>
          <w:sz w:val="20"/>
          <w:szCs w:val="20"/>
          <w:color w:val="auto"/>
        </w:rPr>
      </w:pPr>
    </w:p>
    <w:p>
      <w:pPr>
        <w:ind w:left="3080"/>
        <w:spacing w:after="0"/>
        <w:tabs>
          <w:tab w:leader="none" w:pos="38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Craig Cornelius</w:t>
      </w:r>
    </w:p>
    <w:p>
      <w:pPr>
        <w:spacing w:after="0" w:line="4"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w:t>
      </w:r>
    </w:p>
    <w:p>
      <w:pPr>
        <w:spacing w:after="0" w:line="215" w:lineRule="exact"/>
        <w:rPr>
          <w:sz w:val="20"/>
          <w:szCs w:val="20"/>
          <w:color w:val="auto"/>
        </w:rPr>
      </w:pPr>
    </w:p>
    <w:p>
      <w:pPr>
        <w:ind w:left="2700"/>
        <w:spacing w:after="0"/>
        <w:tabs>
          <w:tab w:leader="none" w:pos="36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5790 Fleet Street, Suite 200,</w:t>
      </w:r>
    </w:p>
    <w:p>
      <w:pPr>
        <w:spacing w:after="0" w:line="22"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Carlsbad, CA 92008</w:t>
      </w:r>
    </w:p>
    <w:p>
      <w:pPr>
        <w:spacing w:after="0" w:line="256" w:lineRule="exact"/>
        <w:rPr>
          <w:sz w:val="20"/>
          <w:szCs w:val="20"/>
          <w:color w:val="auto"/>
        </w:rPr>
      </w:pPr>
    </w:p>
    <w:p>
      <w:pPr>
        <w:ind w:left="2700"/>
        <w:spacing w:after="0"/>
        <w:tabs>
          <w:tab w:leader="none" w:pos="37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Office of the General Counsel</w:t>
      </w:r>
    </w:p>
    <w:p>
      <w:pPr>
        <w:spacing w:after="0" w:line="22" w:lineRule="exact"/>
        <w:rPr>
          <w:sz w:val="20"/>
          <w:szCs w:val="20"/>
          <w:color w:val="auto"/>
        </w:rPr>
      </w:pPr>
    </w:p>
    <w:p>
      <w:pPr>
        <w:ind w:left="2700"/>
        <w:spacing w:after="0"/>
        <w:tabs>
          <w:tab w:leader="none" w:pos="3900" w:val="left"/>
        </w:tabs>
        <w:rPr>
          <w:sz w:val="20"/>
          <w:szCs w:val="20"/>
          <w:color w:val="auto"/>
        </w:rPr>
      </w:pPr>
      <w:r>
        <w:rPr>
          <w:rFonts w:ascii="Arial" w:cs="Arial" w:eastAsia="Arial" w:hAnsi="Arial"/>
          <w:sz w:val="22"/>
          <w:szCs w:val="22"/>
          <w:color w:val="auto"/>
        </w:rPr>
        <w:t>Telephone:</w:t>
        <w:tab/>
        <w:t>(760) 710-2187</w:t>
      </w:r>
    </w:p>
    <w:p>
      <w:pPr>
        <w:spacing w:after="0" w:line="4" w:lineRule="exact"/>
        <w:rPr>
          <w:sz w:val="20"/>
          <w:szCs w:val="20"/>
          <w:color w:val="auto"/>
        </w:rPr>
      </w:pPr>
    </w:p>
    <w:p>
      <w:pPr>
        <w:ind w:left="2700"/>
        <w:spacing w:after="0"/>
        <w:tabs>
          <w:tab w:leader="none" w:pos="3840" w:val="left"/>
        </w:tabs>
        <w:rPr>
          <w:sz w:val="20"/>
          <w:szCs w:val="20"/>
          <w:color w:val="auto"/>
        </w:rPr>
      </w:pPr>
      <w:r>
        <w:rPr>
          <w:rFonts w:ascii="Arial" w:cs="Arial" w:eastAsia="Arial" w:hAnsi="Arial"/>
          <w:sz w:val="22"/>
          <w:szCs w:val="22"/>
          <w:color w:val="auto"/>
        </w:rPr>
        <w:t>Facsimile:</w:t>
        <w:tab/>
        <w:t>(760) 918-6780</w:t>
      </w:r>
    </w:p>
    <w:p>
      <w:pPr>
        <w:spacing w:after="0" w:line="4" w:lineRule="exact"/>
        <w:rPr>
          <w:sz w:val="20"/>
          <w:szCs w:val="20"/>
          <w:color w:val="auto"/>
        </w:rPr>
      </w:pPr>
    </w:p>
    <w:p>
      <w:pPr>
        <w:ind w:left="2700"/>
        <w:spacing w:after="0"/>
        <w:tabs>
          <w:tab w:leader="none" w:pos="3520" w:val="left"/>
        </w:tabs>
        <w:rPr>
          <w:sz w:val="20"/>
          <w:szCs w:val="20"/>
          <w:color w:val="auto"/>
        </w:rPr>
      </w:pPr>
      <w:r>
        <w:rPr>
          <w:rFonts w:ascii="Arial" w:cs="Arial" w:eastAsia="Arial" w:hAnsi="Arial"/>
          <w:sz w:val="22"/>
          <w:szCs w:val="22"/>
          <w:color w:val="auto"/>
        </w:rPr>
        <w:t>Email:</w:t>
        <w:tab/>
        <w:t>jennifer.hein@nrg.com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A&amp;R Limited Liability Company Agreement of NRG DGPV Holdco 3 LLC</w:t>
      </w:r>
    </w:p>
    <w:p>
      <w:pPr>
        <w:spacing w:after="0" w:line="35"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S-1</w:t>
      </w:r>
    </w:p>
    <w:p>
      <w:pPr>
        <w:sectPr>
          <w:pgSz w:w="11900" w:h="16838" w:orient="portrait"/>
          <w:cols w:equalWidth="0" w:num="1">
            <w:col w:w="9560"/>
          </w:cols>
          <w:pgMar w:left="1440" w:top="604" w:right="899" w:bottom="1440" w:gutter="0" w:footer="0" w:header="0"/>
          <w:type w:val="continuous"/>
        </w:sectPr>
      </w:pPr>
    </w:p>
    <w:bookmarkStart w:id="271" w:name="page272"/>
    <w:bookmarkEnd w:id="271"/>
    <w:p>
      <w:pPr>
        <w:ind w:left="2700"/>
        <w:spacing w:after="0"/>
        <w:rPr>
          <w:sz w:val="20"/>
          <w:szCs w:val="20"/>
          <w:color w:val="auto"/>
        </w:rPr>
      </w:pPr>
      <w:r>
        <w:rPr>
          <w:rFonts w:ascii="Arial" w:cs="Arial" w:eastAsia="Arial" w:hAnsi="Arial"/>
          <w:sz w:val="22"/>
          <w:szCs w:val="22"/>
          <w:u w:val="single" w:color="auto"/>
          <w:color w:val="auto"/>
        </w:rPr>
        <w:t>CLASS A MEMBER</w:t>
      </w:r>
      <w:r>
        <w:rPr>
          <w:rFonts w:ascii="Arial" w:cs="Arial" w:eastAsia="Arial" w:hAnsi="Arial"/>
          <w:sz w:val="22"/>
          <w:szCs w:val="22"/>
          <w:color w:val="auto"/>
        </w:rPr>
        <w:t>:</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NRG YIELD DGPV HOLDING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Christopher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-17780</wp:posOffset>
            </wp:positionV>
            <wp:extent cx="15970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4">
                      <a:extLst>
                        <a:ext uri="{28A0092B-C50C-407E-A947-70E740481C1C}"/>
                      </a:extLst>
                    </a:blip>
                    <a:srcRect/>
                    <a:stretch>
                      <a:fillRect/>
                    </a:stretch>
                  </pic:blipFill>
                  <pic:spPr bwMode="auto">
                    <a:xfrm>
                      <a:off x="0" y="0"/>
                      <a:ext cx="1597025" cy="8890"/>
                    </a:xfrm>
                    <a:prstGeom prst="rect">
                      <a:avLst/>
                    </a:prstGeom>
                    <a:noFill/>
                  </pic:spPr>
                </pic:pic>
              </a:graphicData>
            </a:graphic>
          </wp:anchor>
        </w:drawing>
      </w:r>
    </w:p>
    <w:p>
      <w:pPr>
        <w:spacing w:after="0" w:line="2" w:lineRule="exact"/>
        <w:rPr>
          <w:sz w:val="20"/>
          <w:szCs w:val="20"/>
          <w:color w:val="auto"/>
        </w:rPr>
      </w:pPr>
    </w:p>
    <w:p>
      <w:pPr>
        <w:ind w:left="3080"/>
        <w:spacing w:after="0"/>
        <w:tabs>
          <w:tab w:leader="none" w:pos="38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Christopher Sotos</w:t>
      </w:r>
    </w:p>
    <w:p>
      <w:pPr>
        <w:spacing w:after="0" w:line="4"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&amp; Chief Executive Officer</w:t>
      </w:r>
    </w:p>
    <w:p>
      <w:pPr>
        <w:spacing w:after="0" w:line="215" w:lineRule="exact"/>
        <w:rPr>
          <w:sz w:val="20"/>
          <w:szCs w:val="20"/>
          <w:color w:val="auto"/>
        </w:rPr>
      </w:pPr>
    </w:p>
    <w:p>
      <w:pPr>
        <w:ind w:left="2700"/>
        <w:spacing w:after="0"/>
        <w:tabs>
          <w:tab w:leader="none" w:pos="36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804 Carnegie Center</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Princeton, NJ 08540</w:t>
      </w:r>
    </w:p>
    <w:p>
      <w:pPr>
        <w:spacing w:after="0" w:line="202" w:lineRule="exact"/>
        <w:rPr>
          <w:sz w:val="20"/>
          <w:szCs w:val="20"/>
          <w:color w:val="auto"/>
        </w:rPr>
      </w:pPr>
    </w:p>
    <w:p>
      <w:pPr>
        <w:ind w:left="2700"/>
        <w:spacing w:after="0"/>
        <w:tabs>
          <w:tab w:leader="none" w:pos="37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Office of the General Counsel</w:t>
      </w:r>
    </w:p>
    <w:p>
      <w:pPr>
        <w:spacing w:after="0" w:line="22" w:lineRule="exact"/>
        <w:rPr>
          <w:sz w:val="20"/>
          <w:szCs w:val="20"/>
          <w:color w:val="auto"/>
        </w:rPr>
      </w:pPr>
    </w:p>
    <w:p>
      <w:pPr>
        <w:ind w:left="2700"/>
        <w:spacing w:after="0"/>
        <w:tabs>
          <w:tab w:leader="none" w:pos="3500" w:val="left"/>
        </w:tabs>
        <w:rPr>
          <w:sz w:val="20"/>
          <w:szCs w:val="20"/>
          <w:color w:val="auto"/>
        </w:rPr>
      </w:pPr>
      <w:r>
        <w:rPr>
          <w:rFonts w:ascii="Arial" w:cs="Arial" w:eastAsia="Arial" w:hAnsi="Arial"/>
          <w:sz w:val="22"/>
          <w:szCs w:val="22"/>
          <w:color w:val="auto"/>
        </w:rPr>
        <w:t>Phone:</w:t>
      </w:r>
      <w:r>
        <w:rPr>
          <w:sz w:val="20"/>
          <w:szCs w:val="20"/>
          <w:color w:val="auto"/>
        </w:rPr>
        <w:tab/>
      </w:r>
      <w:r>
        <w:rPr>
          <w:rFonts w:ascii="Arial" w:cs="Arial" w:eastAsia="Arial" w:hAnsi="Arial"/>
          <w:sz w:val="19"/>
          <w:szCs w:val="19"/>
          <w:color w:val="auto"/>
        </w:rPr>
        <w:t>609-524-4500</w:t>
      </w:r>
    </w:p>
    <w:p>
      <w:pPr>
        <w:spacing w:after="0" w:line="4" w:lineRule="exact"/>
        <w:rPr>
          <w:sz w:val="20"/>
          <w:szCs w:val="20"/>
          <w:color w:val="auto"/>
        </w:rPr>
      </w:pPr>
    </w:p>
    <w:p>
      <w:pPr>
        <w:ind w:left="2700"/>
        <w:spacing w:after="0"/>
        <w:tabs>
          <w:tab w:leader="none" w:pos="32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609-524-4501</w:t>
      </w:r>
    </w:p>
    <w:p>
      <w:pPr>
        <w:spacing w:after="0" w:line="4" w:lineRule="exact"/>
        <w:rPr>
          <w:sz w:val="20"/>
          <w:szCs w:val="20"/>
          <w:color w:val="auto"/>
        </w:rPr>
      </w:pPr>
    </w:p>
    <w:p>
      <w:pPr>
        <w:ind w:left="2700"/>
        <w:spacing w:after="0"/>
        <w:tabs>
          <w:tab w:leader="none" w:pos="3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ogc@nrgyield.com</w:t>
      </w:r>
    </w:p>
    <w:p>
      <w:pPr>
        <w:spacing w:after="0" w:line="200" w:lineRule="exact"/>
        <w:rPr>
          <w:sz w:val="20"/>
          <w:szCs w:val="20"/>
          <w:color w:val="auto"/>
        </w:rPr>
      </w:pP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A&amp;R Limited Liability Company Agreement of NRG DGPV Holdco 3 LLC</w:t>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9340"/>
          </w:cols>
          <w:pgMar w:left="1440" w:top="1077" w:right="1119" w:bottom="1440" w:gutter="0" w:footer="0" w:header="0"/>
        </w:sectPr>
      </w:pPr>
    </w:p>
    <w:bookmarkStart w:id="272" w:name="page273"/>
    <w:bookmarkEnd w:id="272"/>
    <w:p>
      <w:pPr>
        <w:ind w:left="2700"/>
        <w:spacing w:after="0"/>
        <w:rPr>
          <w:sz w:val="20"/>
          <w:szCs w:val="20"/>
          <w:color w:val="auto"/>
        </w:rPr>
      </w:pPr>
      <w:r>
        <w:rPr>
          <w:rFonts w:ascii="Arial" w:cs="Arial" w:eastAsia="Arial" w:hAnsi="Arial"/>
          <w:sz w:val="22"/>
          <w:szCs w:val="22"/>
          <w:u w:val="single" w:color="auto"/>
          <w:color w:val="auto"/>
        </w:rPr>
        <w:t>SOLELY FOR PURPOSES OF ARTICLE XI</w:t>
      </w:r>
      <w:r>
        <w:rPr>
          <w:rFonts w:ascii="Arial" w:cs="Arial" w:eastAsia="Arial" w:hAnsi="Arial"/>
          <w:sz w:val="22"/>
          <w:szCs w:val="22"/>
          <w:color w:val="auto"/>
        </w:rPr>
        <w:t>:</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NRG RENEW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-17780</wp:posOffset>
            </wp:positionV>
            <wp:extent cx="13455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5">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 w:lineRule="exact"/>
        <w:rPr>
          <w:sz w:val="20"/>
          <w:szCs w:val="20"/>
          <w:color w:val="auto"/>
        </w:rPr>
      </w:pPr>
    </w:p>
    <w:p>
      <w:pPr>
        <w:ind w:left="3080"/>
        <w:spacing w:after="0"/>
        <w:tabs>
          <w:tab w:leader="none" w:pos="38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Craig Cornelius</w:t>
      </w:r>
    </w:p>
    <w:p>
      <w:pPr>
        <w:spacing w:after="0" w:line="4"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15" w:lineRule="exact"/>
        <w:rPr>
          <w:sz w:val="20"/>
          <w:szCs w:val="20"/>
          <w:color w:val="auto"/>
        </w:rPr>
      </w:pPr>
    </w:p>
    <w:p>
      <w:pPr>
        <w:ind w:left="2700"/>
        <w:spacing w:after="0"/>
        <w:tabs>
          <w:tab w:leader="none" w:pos="36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5790 Fleet Street, Suite 200,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Carlsbad, CA 92008</w:t>
      </w:r>
    </w:p>
    <w:p>
      <w:pPr>
        <w:spacing w:after="0" w:line="256" w:lineRule="exact"/>
        <w:rPr>
          <w:sz w:val="20"/>
          <w:szCs w:val="20"/>
          <w:color w:val="auto"/>
        </w:rPr>
      </w:pPr>
    </w:p>
    <w:p>
      <w:pPr>
        <w:ind w:left="2700"/>
        <w:spacing w:after="0"/>
        <w:tabs>
          <w:tab w:leader="none" w:pos="37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Office of the General Counsel</w:t>
      </w:r>
    </w:p>
    <w:p>
      <w:pPr>
        <w:spacing w:after="0" w:line="22" w:lineRule="exact"/>
        <w:rPr>
          <w:sz w:val="20"/>
          <w:szCs w:val="20"/>
          <w:color w:val="auto"/>
        </w:rPr>
      </w:pPr>
    </w:p>
    <w:p>
      <w:pPr>
        <w:ind w:left="2700"/>
        <w:spacing w:after="0"/>
        <w:tabs>
          <w:tab w:leader="none" w:pos="3900" w:val="left"/>
        </w:tabs>
        <w:rPr>
          <w:sz w:val="20"/>
          <w:szCs w:val="20"/>
          <w:color w:val="auto"/>
        </w:rPr>
      </w:pPr>
      <w:r>
        <w:rPr>
          <w:rFonts w:ascii="Arial" w:cs="Arial" w:eastAsia="Arial" w:hAnsi="Arial"/>
          <w:sz w:val="22"/>
          <w:szCs w:val="22"/>
          <w:color w:val="auto"/>
        </w:rPr>
        <w:t>Telephone:</w:t>
        <w:tab/>
        <w:t>(760) 710-2187</w:t>
      </w:r>
    </w:p>
    <w:p>
      <w:pPr>
        <w:spacing w:after="0" w:line="4" w:lineRule="exact"/>
        <w:rPr>
          <w:sz w:val="20"/>
          <w:szCs w:val="20"/>
          <w:color w:val="auto"/>
        </w:rPr>
      </w:pPr>
    </w:p>
    <w:p>
      <w:pPr>
        <w:ind w:left="2700"/>
        <w:spacing w:after="0"/>
        <w:tabs>
          <w:tab w:leader="none" w:pos="3840" w:val="left"/>
        </w:tabs>
        <w:rPr>
          <w:sz w:val="20"/>
          <w:szCs w:val="20"/>
          <w:color w:val="auto"/>
        </w:rPr>
      </w:pPr>
      <w:r>
        <w:rPr>
          <w:rFonts w:ascii="Arial" w:cs="Arial" w:eastAsia="Arial" w:hAnsi="Arial"/>
          <w:sz w:val="22"/>
          <w:szCs w:val="22"/>
          <w:color w:val="auto"/>
        </w:rPr>
        <w:t>Facsimile:</w:t>
        <w:tab/>
        <w:t>(760) 918-6780</w:t>
      </w:r>
    </w:p>
    <w:p>
      <w:pPr>
        <w:spacing w:after="0" w:line="4" w:lineRule="exact"/>
        <w:rPr>
          <w:sz w:val="20"/>
          <w:szCs w:val="20"/>
          <w:color w:val="auto"/>
        </w:rPr>
      </w:pPr>
    </w:p>
    <w:p>
      <w:pPr>
        <w:ind w:left="2700"/>
        <w:spacing w:after="0"/>
        <w:tabs>
          <w:tab w:leader="none" w:pos="3520" w:val="left"/>
        </w:tabs>
        <w:rPr>
          <w:sz w:val="20"/>
          <w:szCs w:val="20"/>
          <w:color w:val="auto"/>
        </w:rPr>
      </w:pPr>
      <w:r>
        <w:rPr>
          <w:rFonts w:ascii="Arial" w:cs="Arial" w:eastAsia="Arial" w:hAnsi="Arial"/>
          <w:sz w:val="22"/>
          <w:szCs w:val="22"/>
          <w:color w:val="auto"/>
        </w:rPr>
        <w:t>Email:</w:t>
        <w:tab/>
        <w:t>jennifer.hein@nrg.com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A&amp;R Limited Liability Company Agreement of NRG DGPV Holdco 3 LLC</w:t>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S-3</w:t>
      </w:r>
    </w:p>
    <w:p>
      <w:pPr>
        <w:sectPr>
          <w:pgSz w:w="11900" w:h="16838" w:orient="portrait"/>
          <w:cols w:equalWidth="0" w:num="1">
            <w:col w:w="9340"/>
          </w:cols>
          <w:pgMar w:left="1440" w:top="861" w:right="1119" w:bottom="1440" w:gutter="0" w:footer="0" w:header="0"/>
        </w:sectPr>
      </w:pPr>
    </w:p>
    <w:bookmarkStart w:id="273" w:name="page274"/>
    <w:bookmarkEnd w:id="273"/>
    <w:p>
      <w:pPr>
        <w:ind w:left="2700"/>
        <w:spacing w:after="0"/>
        <w:rPr>
          <w:sz w:val="20"/>
          <w:szCs w:val="20"/>
          <w:color w:val="auto"/>
        </w:rPr>
      </w:pPr>
      <w:r>
        <w:rPr>
          <w:rFonts w:ascii="Arial" w:cs="Arial" w:eastAsia="Arial" w:hAnsi="Arial"/>
          <w:sz w:val="22"/>
          <w:szCs w:val="22"/>
          <w:i w:val="1"/>
          <w:iCs w:val="1"/>
          <w:color w:val="auto"/>
        </w:rPr>
        <w:t>Copies of notices to the Class B Member shall also be sent to:</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NRG DGPV HOLDCO 3 LLC</w:t>
      </w:r>
    </w:p>
    <w:p>
      <w:pPr>
        <w:spacing w:after="0" w:line="233" w:lineRule="exact"/>
        <w:rPr>
          <w:sz w:val="20"/>
          <w:szCs w:val="20"/>
          <w:color w:val="auto"/>
        </w:rPr>
      </w:pPr>
    </w:p>
    <w:p>
      <w:pPr>
        <w:ind w:left="2700"/>
        <w:spacing w:after="0"/>
        <w:tabs>
          <w:tab w:leader="none" w:pos="36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5790 Fleet Street, Suite 200,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Carlsbad, CA 92008</w:t>
      </w:r>
    </w:p>
    <w:p>
      <w:pPr>
        <w:spacing w:after="0" w:line="256" w:lineRule="exact"/>
        <w:rPr>
          <w:sz w:val="20"/>
          <w:szCs w:val="20"/>
          <w:color w:val="auto"/>
        </w:rPr>
      </w:pPr>
    </w:p>
    <w:p>
      <w:pPr>
        <w:ind w:left="2700"/>
        <w:spacing w:after="0"/>
        <w:tabs>
          <w:tab w:leader="none" w:pos="37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Office of the General Counsel</w:t>
      </w:r>
    </w:p>
    <w:p>
      <w:pPr>
        <w:spacing w:after="0" w:line="22" w:lineRule="exact"/>
        <w:rPr>
          <w:sz w:val="20"/>
          <w:szCs w:val="20"/>
          <w:color w:val="auto"/>
        </w:rPr>
      </w:pPr>
    </w:p>
    <w:p>
      <w:pPr>
        <w:ind w:left="2700"/>
        <w:spacing w:after="0"/>
        <w:tabs>
          <w:tab w:leader="none" w:pos="3900" w:val="left"/>
        </w:tabs>
        <w:rPr>
          <w:sz w:val="20"/>
          <w:szCs w:val="20"/>
          <w:color w:val="auto"/>
        </w:rPr>
      </w:pPr>
      <w:r>
        <w:rPr>
          <w:rFonts w:ascii="Arial" w:cs="Arial" w:eastAsia="Arial" w:hAnsi="Arial"/>
          <w:sz w:val="22"/>
          <w:szCs w:val="22"/>
          <w:color w:val="auto"/>
        </w:rPr>
        <w:t>Telephone:</w:t>
        <w:tab/>
        <w:t>609-524-4500</w:t>
      </w:r>
    </w:p>
    <w:p>
      <w:pPr>
        <w:spacing w:after="0" w:line="4" w:lineRule="exact"/>
        <w:rPr>
          <w:sz w:val="20"/>
          <w:szCs w:val="20"/>
          <w:color w:val="auto"/>
        </w:rPr>
      </w:pPr>
    </w:p>
    <w:p>
      <w:pPr>
        <w:ind w:left="2700"/>
        <w:spacing w:after="0"/>
        <w:tabs>
          <w:tab w:leader="none" w:pos="3840" w:val="left"/>
        </w:tabs>
        <w:rPr>
          <w:sz w:val="20"/>
          <w:szCs w:val="20"/>
          <w:color w:val="auto"/>
        </w:rPr>
      </w:pPr>
      <w:r>
        <w:rPr>
          <w:rFonts w:ascii="Arial" w:cs="Arial" w:eastAsia="Arial" w:hAnsi="Arial"/>
          <w:sz w:val="22"/>
          <w:szCs w:val="22"/>
          <w:color w:val="auto"/>
        </w:rPr>
        <w:t>Facsimile:</w:t>
        <w:tab/>
        <w:t>609-524-4501</w:t>
      </w:r>
    </w:p>
    <w:p>
      <w:pPr>
        <w:spacing w:after="0" w:line="4" w:lineRule="exact"/>
        <w:rPr>
          <w:sz w:val="20"/>
          <w:szCs w:val="20"/>
          <w:color w:val="auto"/>
        </w:rPr>
      </w:pPr>
    </w:p>
    <w:p>
      <w:pPr>
        <w:ind w:left="2700"/>
        <w:spacing w:after="0"/>
        <w:tabs>
          <w:tab w:leader="none" w:pos="3520" w:val="left"/>
        </w:tabs>
        <w:rPr>
          <w:sz w:val="20"/>
          <w:szCs w:val="20"/>
          <w:color w:val="auto"/>
        </w:rPr>
      </w:pPr>
      <w:r>
        <w:rPr>
          <w:rFonts w:ascii="Arial" w:cs="Arial" w:eastAsia="Arial" w:hAnsi="Arial"/>
          <w:sz w:val="22"/>
          <w:szCs w:val="22"/>
          <w:color w:val="auto"/>
        </w:rPr>
        <w:t>Email:</w:t>
        <w:tab/>
        <w:t>ogc@nrg.com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A&amp;R Limited Liability Company Agreement of NRG DGPV Holdco 3 LLC</w:t>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S-4</w:t>
      </w:r>
    </w:p>
    <w:p>
      <w:pPr>
        <w:sectPr>
          <w:pgSz w:w="11900" w:h="16838" w:orient="portrait"/>
          <w:cols w:equalWidth="0" w:num="1">
            <w:col w:w="9340"/>
          </w:cols>
          <w:pgMar w:left="1440" w:top="861" w:right="1119" w:bottom="1440" w:gutter="0" w:footer="0" w:header="0"/>
        </w:sectPr>
      </w:pPr>
    </w:p>
    <w:bookmarkStart w:id="274" w:name="page275"/>
    <w:bookmarkEnd w:id="274"/>
    <w:p>
      <w:pPr>
        <w:jc w:val="center"/>
        <w:ind w:right="20"/>
        <w:spacing w:after="0"/>
        <w:rPr>
          <w:sz w:val="20"/>
          <w:szCs w:val="20"/>
          <w:color w:val="auto"/>
        </w:rPr>
      </w:pPr>
      <w:r>
        <w:rPr>
          <w:rFonts w:ascii="Arial" w:cs="Arial" w:eastAsia="Arial" w:hAnsi="Arial"/>
          <w:sz w:val="22"/>
          <w:szCs w:val="22"/>
          <w:b w:val="1"/>
          <w:bCs w:val="1"/>
          <w:u w:val="single" w:color="auto"/>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Members</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860" w:type="dxa"/>
            <w:vAlign w:val="bottom"/>
            <w:tcBorders>
              <w:top w:val="single" w:sz="8" w:color="00000A"/>
              <w:left w:val="single" w:sz="8" w:color="00000A"/>
              <w:right w:val="single" w:sz="8" w:color="00000A"/>
            </w:tcBorders>
          </w:tcPr>
          <w:p>
            <w:pPr>
              <w:spacing w:after="0"/>
              <w:rPr>
                <w:sz w:val="20"/>
                <w:szCs w:val="20"/>
                <w:color w:val="auto"/>
              </w:rPr>
            </w:pPr>
          </w:p>
        </w:tc>
        <w:tc>
          <w:tcPr>
            <w:tcW w:w="4700" w:type="dxa"/>
            <w:vAlign w:val="bottom"/>
            <w:tcBorders>
              <w:top w:val="single" w:sz="8" w:color="00000A"/>
              <w:right w:val="single" w:sz="8" w:color="00000A"/>
            </w:tcBorders>
          </w:tcPr>
          <w:p>
            <w:pPr>
              <w:spacing w:after="0"/>
              <w:rPr>
                <w:sz w:val="20"/>
                <w:szCs w:val="20"/>
                <w:color w:val="auto"/>
              </w:rPr>
            </w:pPr>
          </w:p>
        </w:tc>
        <w:tc>
          <w:tcPr>
            <w:tcW w:w="18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8"/>
              </w:rPr>
              <w:t>Initial Capital</w:t>
            </w:r>
          </w:p>
        </w:tc>
        <w:tc>
          <w:tcPr>
            <w:tcW w:w="18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1"/>
              </w:rPr>
              <w:t>Capital Account</w:t>
            </w:r>
          </w:p>
        </w:tc>
        <w:tc>
          <w:tcPr>
            <w:tcW w:w="1240" w:type="dxa"/>
            <w:vAlign w:val="bottom"/>
            <w:tcBorders>
              <w:top w:val="single" w:sz="8" w:color="00000A"/>
              <w:right w:val="single" w:sz="8" w:color="00000A"/>
            </w:tcBorders>
          </w:tcPr>
          <w:p>
            <w:pPr>
              <w:ind w:left="120"/>
              <w:spacing w:after="0"/>
              <w:rPr>
                <w:sz w:val="20"/>
                <w:szCs w:val="20"/>
                <w:color w:val="auto"/>
              </w:rPr>
            </w:pPr>
            <w:r>
              <w:rPr>
                <w:rFonts w:ascii="Arial" w:cs="Arial" w:eastAsia="Arial" w:hAnsi="Arial"/>
                <w:sz w:val="18"/>
                <w:szCs w:val="18"/>
                <w:b w:val="1"/>
                <w:bCs w:val="1"/>
                <w:color w:val="auto"/>
              </w:rPr>
              <w:t>Number and</w:t>
            </w:r>
          </w:p>
        </w:tc>
      </w:tr>
      <w:tr>
        <w:trPr>
          <w:trHeight w:val="234"/>
        </w:trPr>
        <w:tc>
          <w:tcPr>
            <w:tcW w:w="1860" w:type="dxa"/>
            <w:vAlign w:val="bottom"/>
            <w:tcBorders>
              <w:left w:val="single" w:sz="8" w:color="00000A"/>
              <w:right w:val="single" w:sz="8" w:color="00000A"/>
            </w:tcBorders>
          </w:tcPr>
          <w:p>
            <w:pPr>
              <w:ind w:left="360"/>
              <w:spacing w:after="0"/>
              <w:rPr>
                <w:sz w:val="20"/>
                <w:szCs w:val="20"/>
                <w:color w:val="auto"/>
              </w:rPr>
            </w:pPr>
            <w:r>
              <w:rPr>
                <w:rFonts w:ascii="Arial" w:cs="Arial" w:eastAsia="Arial" w:hAnsi="Arial"/>
                <w:sz w:val="18"/>
                <w:szCs w:val="18"/>
                <w:b w:val="1"/>
                <w:bCs w:val="1"/>
                <w:color w:val="auto"/>
              </w:rPr>
              <w:t>Member Name</w:t>
            </w:r>
          </w:p>
        </w:tc>
        <w:tc>
          <w:tcPr>
            <w:tcW w:w="4700" w:type="dxa"/>
            <w:vAlign w:val="bottom"/>
            <w:tcBorders>
              <w:right w:val="single" w:sz="8" w:color="00000A"/>
            </w:tcBorders>
          </w:tcPr>
          <w:p>
            <w:pPr>
              <w:ind w:left="1580"/>
              <w:spacing w:after="0"/>
              <w:rPr>
                <w:sz w:val="20"/>
                <w:szCs w:val="20"/>
                <w:color w:val="auto"/>
              </w:rPr>
            </w:pPr>
            <w:r>
              <w:rPr>
                <w:rFonts w:ascii="Arial" w:cs="Arial" w:eastAsia="Arial" w:hAnsi="Arial"/>
                <w:sz w:val="18"/>
                <w:szCs w:val="18"/>
                <w:b w:val="1"/>
                <w:bCs w:val="1"/>
                <w:color w:val="auto"/>
              </w:rPr>
              <w:t>Address for Notices</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4"/>
              </w:rPr>
              <w:t>Contribution</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1240" w:type="dxa"/>
            <w:vAlign w:val="bottom"/>
            <w:tcBorders>
              <w:right w:val="single" w:sz="8" w:color="00000A"/>
            </w:tcBorders>
          </w:tcPr>
          <w:p>
            <w:pPr>
              <w:ind w:left="80"/>
              <w:spacing w:after="0"/>
              <w:rPr>
                <w:sz w:val="20"/>
                <w:szCs w:val="20"/>
                <w:color w:val="auto"/>
              </w:rPr>
            </w:pPr>
            <w:r>
              <w:rPr>
                <w:rFonts w:ascii="Arial" w:cs="Arial" w:eastAsia="Arial" w:hAnsi="Arial"/>
                <w:sz w:val="18"/>
                <w:szCs w:val="18"/>
                <w:b w:val="1"/>
                <w:bCs w:val="1"/>
                <w:color w:val="auto"/>
                <w:w w:val="93"/>
              </w:rPr>
              <w:t>Class of Units</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470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NRG Yield DGPV</w:t>
            </w:r>
          </w:p>
        </w:tc>
        <w:tc>
          <w:tcPr>
            <w:tcW w:w="4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804 Carnegie Center Blvd.</w:t>
            </w: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 USD</w:t>
            </w: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 USD</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1000 Class A</w:t>
            </w:r>
          </w:p>
        </w:tc>
      </w:tr>
      <w:tr>
        <w:trPr>
          <w:trHeight w:val="216"/>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Holding LLC</w:t>
            </w:r>
          </w:p>
        </w:tc>
        <w:tc>
          <w:tcPr>
            <w:tcW w:w="4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Princeton, NJ 08540</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Units</w:t>
            </w: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4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Attention: Office of the General Counsel</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4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Telephone: 609-524-4500</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4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Facsimile: 609-524-4501</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r>
      <w:tr>
        <w:trPr>
          <w:trHeight w:val="230"/>
        </w:trPr>
        <w:tc>
          <w:tcPr>
            <w:tcW w:w="1860" w:type="dxa"/>
            <w:vAlign w:val="bottom"/>
            <w:tcBorders>
              <w:left w:val="single" w:sz="8" w:color="00000A"/>
              <w:right w:val="single" w:sz="8" w:color="00000A"/>
            </w:tcBorders>
          </w:tcPr>
          <w:p>
            <w:pPr>
              <w:spacing w:after="0"/>
              <w:rPr>
                <w:sz w:val="20"/>
                <w:szCs w:val="20"/>
                <w:color w:val="auto"/>
              </w:rPr>
            </w:pPr>
          </w:p>
        </w:tc>
        <w:tc>
          <w:tcPr>
            <w:tcW w:w="4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Email: ogc@nrgyield.com</w:t>
            </w:r>
          </w:p>
        </w:tc>
        <w:tc>
          <w:tcPr>
            <w:tcW w:w="1820" w:type="dxa"/>
            <w:vAlign w:val="bottom"/>
            <w:tcBorders>
              <w:right w:val="single" w:sz="8" w:color="00000A"/>
            </w:tcBorders>
          </w:tcPr>
          <w:p>
            <w:pPr>
              <w:spacing w:after="0"/>
              <w:rPr>
                <w:sz w:val="20"/>
                <w:szCs w:val="20"/>
                <w:color w:val="auto"/>
              </w:rPr>
            </w:pPr>
          </w:p>
        </w:tc>
        <w:tc>
          <w:tcPr>
            <w:tcW w:w="182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470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NRG Renew DG</w:t>
            </w:r>
          </w:p>
        </w:tc>
        <w:tc>
          <w:tcPr>
            <w:tcW w:w="4700" w:type="dxa"/>
            <w:vAlign w:val="bottom"/>
            <w:tcBorders>
              <w:right w:val="single" w:sz="8" w:color="00000A"/>
            </w:tcBorders>
          </w:tcPr>
          <w:p>
            <w:pPr>
              <w:ind w:left="60"/>
              <w:spacing w:after="0"/>
              <w:rPr>
                <w:sz w:val="20"/>
                <w:szCs w:val="20"/>
                <w:color w:val="auto"/>
              </w:rPr>
            </w:pPr>
            <w:r>
              <w:rPr>
                <w:rFonts w:ascii="Arial" w:cs="Arial" w:eastAsia="Arial" w:hAnsi="Arial"/>
                <w:sz w:val="18"/>
                <w:szCs w:val="18"/>
                <w:color w:val="auto"/>
              </w:rPr>
              <w:t>5790 Fleet Street, Suite 200</w:t>
            </w: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15,627,024 USD</w:t>
            </w: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15,627,024 USD</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1000 Class B</w:t>
            </w:r>
          </w:p>
        </w:tc>
      </w:tr>
      <w:tr>
        <w:trPr>
          <w:trHeight w:val="216"/>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Holdings LLC</w:t>
            </w:r>
          </w:p>
        </w:tc>
        <w:tc>
          <w:tcPr>
            <w:tcW w:w="4700" w:type="dxa"/>
            <w:vAlign w:val="bottom"/>
            <w:tcBorders>
              <w:right w:val="single" w:sz="8" w:color="00000A"/>
            </w:tcBorders>
          </w:tcPr>
          <w:p>
            <w:pPr>
              <w:ind w:left="60"/>
              <w:spacing w:after="0"/>
              <w:rPr>
                <w:sz w:val="20"/>
                <w:szCs w:val="20"/>
                <w:color w:val="auto"/>
              </w:rPr>
            </w:pPr>
            <w:r>
              <w:rPr>
                <w:rFonts w:ascii="Arial" w:cs="Arial" w:eastAsia="Arial" w:hAnsi="Arial"/>
                <w:sz w:val="18"/>
                <w:szCs w:val="18"/>
                <w:color w:val="auto"/>
              </w:rPr>
              <w:t>Carlsbad, CA 92008</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Units</w:t>
            </w: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4700" w:type="dxa"/>
            <w:vAlign w:val="bottom"/>
            <w:tcBorders>
              <w:right w:val="single" w:sz="8" w:color="00000A"/>
            </w:tcBorders>
          </w:tcPr>
          <w:p>
            <w:pPr>
              <w:ind w:left="60"/>
              <w:spacing w:after="0"/>
              <w:rPr>
                <w:sz w:val="20"/>
                <w:szCs w:val="20"/>
                <w:color w:val="auto"/>
              </w:rPr>
            </w:pPr>
            <w:r>
              <w:rPr>
                <w:rFonts w:ascii="Arial" w:cs="Arial" w:eastAsia="Arial" w:hAnsi="Arial"/>
                <w:sz w:val="18"/>
                <w:szCs w:val="18"/>
                <w:color w:val="auto"/>
              </w:rPr>
              <w:t>Attention: Office of the General Counsel</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4700" w:type="dxa"/>
            <w:vAlign w:val="bottom"/>
            <w:tcBorders>
              <w:right w:val="single" w:sz="8" w:color="00000A"/>
            </w:tcBorders>
          </w:tcPr>
          <w:p>
            <w:pPr>
              <w:ind w:left="60"/>
              <w:spacing w:after="0"/>
              <w:rPr>
                <w:sz w:val="20"/>
                <w:szCs w:val="20"/>
                <w:color w:val="auto"/>
              </w:rPr>
            </w:pPr>
            <w:r>
              <w:rPr>
                <w:rFonts w:ascii="Arial" w:cs="Arial" w:eastAsia="Arial" w:hAnsi="Arial"/>
                <w:sz w:val="18"/>
                <w:szCs w:val="18"/>
                <w:color w:val="auto"/>
              </w:rPr>
              <w:t>Telephone: 609-524-4500</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4700" w:type="dxa"/>
            <w:vAlign w:val="bottom"/>
            <w:tcBorders>
              <w:right w:val="single" w:sz="8" w:color="00000A"/>
            </w:tcBorders>
          </w:tcPr>
          <w:p>
            <w:pPr>
              <w:ind w:left="60"/>
              <w:spacing w:after="0"/>
              <w:rPr>
                <w:sz w:val="20"/>
                <w:szCs w:val="20"/>
                <w:color w:val="auto"/>
              </w:rPr>
            </w:pPr>
            <w:r>
              <w:rPr>
                <w:rFonts w:ascii="Arial" w:cs="Arial" w:eastAsia="Arial" w:hAnsi="Arial"/>
                <w:sz w:val="18"/>
                <w:szCs w:val="18"/>
                <w:color w:val="auto"/>
              </w:rPr>
              <w:t>Facsimile: 609-524-4501</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r>
      <w:tr>
        <w:trPr>
          <w:trHeight w:val="230"/>
        </w:trPr>
        <w:tc>
          <w:tcPr>
            <w:tcW w:w="1860" w:type="dxa"/>
            <w:vAlign w:val="bottom"/>
            <w:tcBorders>
              <w:left w:val="single" w:sz="8" w:color="00000A"/>
              <w:right w:val="single" w:sz="8" w:color="00000A"/>
            </w:tcBorders>
          </w:tcPr>
          <w:p>
            <w:pPr>
              <w:spacing w:after="0"/>
              <w:rPr>
                <w:sz w:val="20"/>
                <w:szCs w:val="20"/>
                <w:color w:val="auto"/>
              </w:rPr>
            </w:pPr>
          </w:p>
        </w:tc>
        <w:tc>
          <w:tcPr>
            <w:tcW w:w="4700" w:type="dxa"/>
            <w:vAlign w:val="bottom"/>
            <w:tcBorders>
              <w:right w:val="single" w:sz="8" w:color="00000A"/>
            </w:tcBorders>
          </w:tcPr>
          <w:p>
            <w:pPr>
              <w:ind w:left="60"/>
              <w:spacing w:after="0"/>
              <w:rPr>
                <w:sz w:val="20"/>
                <w:szCs w:val="20"/>
                <w:color w:val="auto"/>
              </w:rPr>
            </w:pPr>
            <w:r>
              <w:rPr>
                <w:rFonts w:ascii="Arial" w:cs="Arial" w:eastAsia="Arial" w:hAnsi="Arial"/>
                <w:sz w:val="18"/>
                <w:szCs w:val="18"/>
                <w:color w:val="auto"/>
              </w:rPr>
              <w:t>Email: ogc@nrg.com</w:t>
            </w:r>
          </w:p>
        </w:tc>
        <w:tc>
          <w:tcPr>
            <w:tcW w:w="1820" w:type="dxa"/>
            <w:vAlign w:val="bottom"/>
            <w:tcBorders>
              <w:right w:val="single" w:sz="8" w:color="00000A"/>
            </w:tcBorders>
          </w:tcPr>
          <w:p>
            <w:pPr>
              <w:spacing w:after="0"/>
              <w:rPr>
                <w:sz w:val="20"/>
                <w:szCs w:val="20"/>
                <w:color w:val="auto"/>
              </w:rPr>
            </w:pPr>
          </w:p>
        </w:tc>
        <w:tc>
          <w:tcPr>
            <w:tcW w:w="182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470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CPAM: 9024107.5</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DCACTIVE-41731985.3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Active 44677215.3</w:t>
      </w:r>
    </w:p>
    <w:p>
      <w:pPr>
        <w:sectPr>
          <w:pgSz w:w="11900" w:h="16838" w:orient="portrait"/>
          <w:cols w:equalWidth="0" w:num="1">
            <w:col w:w="11440"/>
          </w:cols>
          <w:pgMar w:left="240" w:top="598" w:right="219" w:bottom="1440" w:gutter="0" w:footer="0" w:header="0"/>
        </w:sectPr>
      </w:pPr>
    </w:p>
    <w:bookmarkStart w:id="275" w:name="page276"/>
    <w:bookmarkEnd w:id="275"/>
    <w:p>
      <w:pPr>
        <w:jc w:val="right"/>
        <w:spacing w:after="0"/>
        <w:rPr>
          <w:sz w:val="20"/>
          <w:szCs w:val="20"/>
          <w:color w:val="auto"/>
        </w:rPr>
      </w:pPr>
      <w:r>
        <w:rPr>
          <w:rFonts w:ascii="Arial" w:cs="Arial" w:eastAsia="Arial" w:hAnsi="Arial"/>
          <w:sz w:val="22"/>
          <w:szCs w:val="22"/>
          <w:b w:val="1"/>
          <w:bCs w:val="1"/>
          <w:color w:val="auto"/>
        </w:rPr>
        <w:t>Exhibit 10.17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Copy</w:t>
      </w:r>
    </w:p>
    <w:p>
      <w:pPr>
        <w:spacing w:after="0" w:line="196"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INFORMATION IN THIS EXHIBIT IDENTIFIED BY THE MARK “[***]” IS CONFIDENTIAL AND HAS BEEN EXCLUDED PURSUANT TO ITEM 601(B)(10)(IV) OF REGULATION S-K BECAUSE IT (I) IS NOT MATERIAL AND (II) WOULD LIKELY CAUSE COMPETITIVE HARM TO THE REGISTRANT IF PUBLICLY DISCLOSED.</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FIRST AMENDMENT TO</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AMENDED AND RESTATED LIMITED LIABILITY COMPANY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DGPV HOLDCO 3 LLC</w:t>
      </w:r>
    </w:p>
    <w:p>
      <w:pPr>
        <w:spacing w:after="0" w:line="209"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FIRST AMENDMENT TO AMENDED AND RESTATED LIMITED LIABILITY COMPANY</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dated as of December 26, 2018 (this “</w:t>
      </w:r>
      <w:r>
        <w:rPr>
          <w:rFonts w:ascii="Arial" w:cs="Arial" w:eastAsia="Arial" w:hAnsi="Arial"/>
          <w:sz w:val="19"/>
          <w:szCs w:val="19"/>
          <w:b w:val="1"/>
          <w:bCs w:val="1"/>
          <w:color w:val="auto"/>
        </w:rPr>
        <w:t>Amendment</w:t>
      </w:r>
      <w:r>
        <w:rPr>
          <w:rFonts w:ascii="Arial" w:cs="Arial" w:eastAsia="Arial" w:hAnsi="Arial"/>
          <w:sz w:val="19"/>
          <w:szCs w:val="19"/>
          <w:color w:val="auto"/>
        </w:rPr>
        <w:t>”), is made and entered into by and among DGPV Holding</w:t>
      </w:r>
      <w:r>
        <w:rPr>
          <w:rFonts w:ascii="Arial" w:cs="Arial" w:eastAsia="Arial" w:hAnsi="Arial"/>
          <w:sz w:val="19"/>
          <w:szCs w:val="19"/>
          <w:b w:val="1"/>
          <w:bCs w:val="1"/>
          <w:color w:val="auto"/>
        </w:rPr>
        <w:t xml:space="preserve"> </w:t>
      </w:r>
      <w:r>
        <w:rPr>
          <w:rFonts w:ascii="Arial" w:cs="Arial" w:eastAsia="Arial" w:hAnsi="Arial"/>
          <w:sz w:val="19"/>
          <w:szCs w:val="19"/>
          <w:color w:val="auto"/>
        </w:rPr>
        <w:t>LLC (f/k/a NRG Yield DGPV Holding LLC), a Delaware limited liability company (the “</w:t>
      </w:r>
      <w:r>
        <w:rPr>
          <w:rFonts w:ascii="Arial" w:cs="Arial" w:eastAsia="Arial" w:hAnsi="Arial"/>
          <w:sz w:val="19"/>
          <w:szCs w:val="19"/>
          <w:b w:val="1"/>
          <w:bCs w:val="1"/>
          <w:color w:val="auto"/>
        </w:rPr>
        <w:t>Class A Member</w:t>
      </w:r>
      <w:r>
        <w:rPr>
          <w:rFonts w:ascii="Arial" w:cs="Arial" w:eastAsia="Arial" w:hAnsi="Arial"/>
          <w:sz w:val="19"/>
          <w:szCs w:val="19"/>
          <w:color w:val="auto"/>
        </w:rPr>
        <w:t>”) and Renew DG Holdings LLC (f/k/a NRG Renew DG Holdings LLC), a Delaware limited liability company (the “</w:t>
      </w:r>
      <w:r>
        <w:rPr>
          <w:rFonts w:ascii="Arial" w:cs="Arial" w:eastAsia="Arial" w:hAnsi="Arial"/>
          <w:sz w:val="19"/>
          <w:szCs w:val="19"/>
          <w:b w:val="1"/>
          <w:bCs w:val="1"/>
          <w:color w:val="auto"/>
        </w:rPr>
        <w:t>Class B Member</w:t>
      </w:r>
      <w:r>
        <w:rPr>
          <w:rFonts w:ascii="Arial" w:cs="Arial" w:eastAsia="Arial" w:hAnsi="Arial"/>
          <w:sz w:val="19"/>
          <w:szCs w:val="19"/>
          <w:color w:val="auto"/>
        </w:rPr>
        <w:t>”). The Class A Member and Class B Member are each referred to herein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 Capitalized terms used but not defined herein shall have the meaning ascribed to such terms in the LLC Agreement (as defined below).</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firstLine="1305"/>
        <w:spacing w:after="0" w:line="287" w:lineRule="auto"/>
        <w:tabs>
          <w:tab w:leader="none" w:pos="1728" w:val="left"/>
        </w:tabs>
        <w:numPr>
          <w:ilvl w:val="0"/>
          <w:numId w:val="289"/>
        </w:numPr>
        <w:rPr>
          <w:rFonts w:ascii="Arial" w:cs="Arial" w:eastAsia="Arial" w:hAnsi="Arial"/>
          <w:sz w:val="21"/>
          <w:szCs w:val="21"/>
          <w:color w:val="auto"/>
        </w:rPr>
      </w:pPr>
      <w:r>
        <w:rPr>
          <w:rFonts w:ascii="Arial" w:cs="Arial" w:eastAsia="Arial" w:hAnsi="Arial"/>
          <w:sz w:val="21"/>
          <w:szCs w:val="21"/>
          <w:color w:val="auto"/>
        </w:rPr>
        <w:t>On September 26, 2017, the Parties entered into that certain Amended and Restated Limited Liability Company Agreement (the “</w:t>
      </w:r>
      <w:r>
        <w:rPr>
          <w:rFonts w:ascii="Arial" w:cs="Arial" w:eastAsia="Arial" w:hAnsi="Arial"/>
          <w:sz w:val="21"/>
          <w:szCs w:val="21"/>
          <w:b w:val="1"/>
          <w:bCs w:val="1"/>
          <w:color w:val="auto"/>
        </w:rPr>
        <w:t>LLC Agreement</w:t>
      </w:r>
      <w:r>
        <w:rPr>
          <w:rFonts w:ascii="Arial" w:cs="Arial" w:eastAsia="Arial" w:hAnsi="Arial"/>
          <w:sz w:val="21"/>
          <w:szCs w:val="21"/>
          <w:color w:val="auto"/>
        </w:rPr>
        <w:t>”) of DGPV Holdco 3 LLC (f/k/a NRG DGPV Holdco 3 LLC) (the “</w:t>
      </w:r>
      <w:r>
        <w:rPr>
          <w:rFonts w:ascii="Arial" w:cs="Arial" w:eastAsia="Arial" w:hAnsi="Arial"/>
          <w:sz w:val="21"/>
          <w:szCs w:val="21"/>
          <w:b w:val="1"/>
          <w:bCs w:val="1"/>
          <w:color w:val="auto"/>
        </w:rPr>
        <w:t>Company</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right="20" w:firstLine="1305"/>
        <w:spacing w:after="0" w:line="263" w:lineRule="auto"/>
        <w:tabs>
          <w:tab w:leader="none" w:pos="1724" w:val="left"/>
        </w:tabs>
        <w:numPr>
          <w:ilvl w:val="0"/>
          <w:numId w:val="289"/>
        </w:numPr>
        <w:rPr>
          <w:rFonts w:ascii="Arial" w:cs="Arial" w:eastAsia="Arial" w:hAnsi="Arial"/>
          <w:sz w:val="22"/>
          <w:szCs w:val="22"/>
          <w:color w:val="auto"/>
        </w:rPr>
      </w:pPr>
      <w:r>
        <w:rPr>
          <w:rFonts w:ascii="Arial" w:cs="Arial" w:eastAsia="Arial" w:hAnsi="Arial"/>
          <w:sz w:val="22"/>
          <w:szCs w:val="22"/>
          <w:color w:val="auto"/>
        </w:rPr>
        <w:t>The Parties constitute all of the Members of the Company, and Section 13.7 of the LLC Agreement permits the Members to amend the LLC Agreement by written instrument executed by all Members.</w:t>
      </w:r>
    </w:p>
    <w:p>
      <w:pPr>
        <w:spacing w:after="0" w:line="174" w:lineRule="exact"/>
        <w:rPr>
          <w:rFonts w:ascii="Arial" w:cs="Arial" w:eastAsia="Arial" w:hAnsi="Arial"/>
          <w:sz w:val="22"/>
          <w:szCs w:val="22"/>
          <w:color w:val="auto"/>
        </w:rPr>
      </w:pPr>
    </w:p>
    <w:p>
      <w:pPr>
        <w:ind w:left="1720" w:hanging="415"/>
        <w:spacing w:after="0"/>
        <w:tabs>
          <w:tab w:leader="none" w:pos="1720" w:val="left"/>
        </w:tabs>
        <w:numPr>
          <w:ilvl w:val="0"/>
          <w:numId w:val="289"/>
        </w:numPr>
        <w:rPr>
          <w:rFonts w:ascii="Arial" w:cs="Arial" w:eastAsia="Arial" w:hAnsi="Arial"/>
          <w:sz w:val="22"/>
          <w:szCs w:val="22"/>
          <w:color w:val="auto"/>
        </w:rPr>
      </w:pPr>
      <w:r>
        <w:rPr>
          <w:rFonts w:ascii="Arial" w:cs="Arial" w:eastAsia="Arial" w:hAnsi="Arial"/>
          <w:sz w:val="22"/>
          <w:szCs w:val="22"/>
          <w:color w:val="auto"/>
        </w:rPr>
        <w:t>The Parties now desire to amend the LLC Agreement as set forth herein.</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NOW, THEREFORE, in consideration of the premises and the mutual undertakings contained herein, and for other good and valuable consideration, the receipt and sufficiency of which are acknowledged, and intending to be legally bound hereby, the Parties hereby agree as follows:</w:t>
      </w:r>
    </w:p>
    <w:p>
      <w:pPr>
        <w:spacing w:after="0" w:line="140"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010000"/>
        </w:rPr>
        <w:t>Article I</w:t>
      </w: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182" w:lineRule="exact"/>
        <w:rPr>
          <w:sz w:val="20"/>
          <w:szCs w:val="20"/>
          <w:color w:val="auto"/>
        </w:rPr>
      </w:pPr>
    </w:p>
    <w:p>
      <w:pPr>
        <w:ind w:left="660" w:hanging="652"/>
        <w:spacing w:after="0" w:line="269" w:lineRule="auto"/>
        <w:tabs>
          <w:tab w:leader="none" w:pos="660" w:val="left"/>
        </w:tabs>
        <w:numPr>
          <w:ilvl w:val="0"/>
          <w:numId w:val="290"/>
        </w:numPr>
        <w:rPr>
          <w:rFonts w:ascii="Arial" w:cs="Arial" w:eastAsia="Arial" w:hAnsi="Arial"/>
          <w:sz w:val="22"/>
          <w:szCs w:val="22"/>
          <w:color w:val="010000"/>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and the amendments to the LLC Agreement made herein, shall be effective on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hereof.</w:t>
      </w:r>
    </w:p>
    <w:p>
      <w:pPr>
        <w:spacing w:after="0" w:line="162" w:lineRule="exact"/>
        <w:rPr>
          <w:rFonts w:ascii="Arial" w:cs="Arial" w:eastAsia="Arial" w:hAnsi="Arial"/>
          <w:sz w:val="22"/>
          <w:szCs w:val="22"/>
          <w:color w:val="010000"/>
        </w:rPr>
      </w:pPr>
    </w:p>
    <w:p>
      <w:pPr>
        <w:ind w:left="660" w:hanging="652"/>
        <w:spacing w:after="0"/>
        <w:tabs>
          <w:tab w:leader="none" w:pos="660" w:val="left"/>
        </w:tabs>
        <w:numPr>
          <w:ilvl w:val="0"/>
          <w:numId w:val="290"/>
        </w:numPr>
        <w:rPr>
          <w:rFonts w:ascii="Arial" w:cs="Arial" w:eastAsia="Arial" w:hAnsi="Arial"/>
          <w:sz w:val="22"/>
          <w:szCs w:val="22"/>
          <w:color w:val="010000"/>
        </w:rPr>
      </w:pP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 The LLC Agreement is hereby amended as follows:</w:t>
      </w:r>
    </w:p>
    <w:p>
      <w:pPr>
        <w:spacing w:after="0" w:line="225" w:lineRule="exact"/>
        <w:rPr>
          <w:rFonts w:ascii="Arial" w:cs="Arial" w:eastAsia="Arial" w:hAnsi="Arial"/>
          <w:sz w:val="22"/>
          <w:szCs w:val="22"/>
          <w:color w:val="010000"/>
        </w:rPr>
      </w:pPr>
    </w:p>
    <w:p>
      <w:pPr>
        <w:ind w:left="1300" w:hanging="644"/>
        <w:spacing w:after="0" w:line="287" w:lineRule="auto"/>
        <w:tabs>
          <w:tab w:leader="none" w:pos="1300" w:val="left"/>
        </w:tabs>
        <w:numPr>
          <w:ilvl w:val="1"/>
          <w:numId w:val="290"/>
        </w:numPr>
        <w:rPr>
          <w:rFonts w:ascii="Arial" w:cs="Arial" w:eastAsia="Arial" w:hAnsi="Arial"/>
          <w:sz w:val="21"/>
          <w:szCs w:val="21"/>
          <w:color w:val="010000"/>
        </w:rPr>
      </w:pPr>
      <w:r>
        <w:rPr>
          <w:rFonts w:ascii="Arial" w:cs="Arial" w:eastAsia="Arial" w:hAnsi="Arial"/>
          <w:sz w:val="21"/>
          <w:szCs w:val="21"/>
          <w:color w:val="auto"/>
        </w:rPr>
        <w:t>The definition of “Class A Member Capital Contribution Commitment” in Section 1.1 of the LLC Agreement is hereby amended by deleting the dollar amount “$50,000,000” therein and replacing it with “$70,000,000”.</w:t>
      </w:r>
    </w:p>
    <w:p>
      <w:pPr>
        <w:sectPr>
          <w:pgSz w:w="11900" w:h="16838" w:orient="portrait"/>
          <w:cols w:equalWidth="0" w:num="1">
            <w:col w:w="11420"/>
          </w:cols>
          <w:pgMar w:left="240" w:top="126" w:right="239" w:bottom="1440" w:gutter="0" w:footer="0" w:header="0"/>
        </w:sectPr>
      </w:pPr>
    </w:p>
    <w:bookmarkStart w:id="276" w:name="page277"/>
    <w:bookmarkEnd w:id="276"/>
    <w:p>
      <w:pPr>
        <w:ind w:left="644" w:right="20" w:hanging="644"/>
        <w:spacing w:after="0" w:line="263" w:lineRule="auto"/>
        <w:tabs>
          <w:tab w:leader="none" w:pos="644" w:val="left"/>
        </w:tabs>
        <w:numPr>
          <w:ilvl w:val="0"/>
          <w:numId w:val="291"/>
        </w:numPr>
        <w:rPr>
          <w:rFonts w:ascii="Arial" w:cs="Arial" w:eastAsia="Arial" w:hAnsi="Arial"/>
          <w:sz w:val="22"/>
          <w:szCs w:val="22"/>
          <w:color w:val="010000"/>
        </w:rPr>
      </w:pPr>
      <w:r>
        <w:rPr>
          <w:rFonts w:ascii="Arial" w:cs="Arial" w:eastAsia="Arial" w:hAnsi="Arial"/>
          <w:sz w:val="22"/>
          <w:szCs w:val="22"/>
          <w:color w:val="auto"/>
        </w:rPr>
        <w:t>Section 1.1 of the LLC Agreement is hereby amended by inserting, in appropriate alphabetic order, the following new definition:</w:t>
      </w:r>
    </w:p>
    <w:p>
      <w:pPr>
        <w:spacing w:after="0" w:line="168" w:lineRule="exact"/>
        <w:rPr>
          <w:rFonts w:ascii="Arial" w:cs="Arial" w:eastAsia="Arial" w:hAnsi="Arial"/>
          <w:sz w:val="22"/>
          <w:szCs w:val="22"/>
          <w:color w:val="010000"/>
        </w:rPr>
      </w:pPr>
    </w:p>
    <w:p>
      <w:pPr>
        <w:ind w:left="644"/>
        <w:spacing w:after="0" w:line="269" w:lineRule="auto"/>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CS4 Project</w:t>
      </w:r>
      <w:r>
        <w:rPr>
          <w:rFonts w:ascii="Arial" w:cs="Arial" w:eastAsia="Arial" w:hAnsi="Arial"/>
          <w:sz w:val="22"/>
          <w:szCs w:val="22"/>
          <w:color w:val="auto"/>
        </w:rPr>
        <w:t>” means, so long as Renew Solar CS4 Fund LLC (and its successors) is an Intermediate Company held by Company, any Project owned, directly or indirectly, by Renew Solar CS4 Fund LLC.</w:t>
      </w:r>
    </w:p>
    <w:p>
      <w:pPr>
        <w:spacing w:after="0" w:line="168" w:lineRule="exact"/>
        <w:rPr>
          <w:rFonts w:ascii="Arial" w:cs="Arial" w:eastAsia="Arial" w:hAnsi="Arial"/>
          <w:sz w:val="22"/>
          <w:szCs w:val="22"/>
          <w:color w:val="010000"/>
        </w:rPr>
      </w:pPr>
    </w:p>
    <w:p>
      <w:pPr>
        <w:ind w:left="644" w:hanging="644"/>
        <w:spacing w:after="0" w:line="263" w:lineRule="auto"/>
        <w:tabs>
          <w:tab w:leader="none" w:pos="644" w:val="left"/>
        </w:tabs>
        <w:numPr>
          <w:ilvl w:val="0"/>
          <w:numId w:val="291"/>
        </w:numPr>
        <w:rPr>
          <w:rFonts w:ascii="Arial" w:cs="Arial" w:eastAsia="Arial" w:hAnsi="Arial"/>
          <w:sz w:val="22"/>
          <w:szCs w:val="22"/>
          <w:color w:val="010000"/>
        </w:rPr>
      </w:pPr>
      <w:r>
        <w:rPr>
          <w:rFonts w:ascii="Arial" w:cs="Arial" w:eastAsia="Arial" w:hAnsi="Arial"/>
          <w:sz w:val="22"/>
          <w:szCs w:val="22"/>
          <w:color w:val="auto"/>
        </w:rPr>
        <w:t>The definition of “Investment Period” in Section 1.1 of the LLC Agreement is hereby amended by deleting the date “December 31, 2018” therein and replacing it with “December 31, 2019”.</w:t>
      </w:r>
    </w:p>
    <w:p>
      <w:pPr>
        <w:spacing w:after="0" w:line="174" w:lineRule="exact"/>
        <w:rPr>
          <w:rFonts w:ascii="Arial" w:cs="Arial" w:eastAsia="Arial" w:hAnsi="Arial"/>
          <w:sz w:val="22"/>
          <w:szCs w:val="22"/>
          <w:color w:val="010000"/>
        </w:rPr>
      </w:pPr>
    </w:p>
    <w:p>
      <w:pPr>
        <w:ind w:left="644" w:hanging="644"/>
        <w:spacing w:after="0" w:line="263" w:lineRule="auto"/>
        <w:tabs>
          <w:tab w:leader="none" w:pos="644" w:val="left"/>
        </w:tabs>
        <w:numPr>
          <w:ilvl w:val="0"/>
          <w:numId w:val="291"/>
        </w:numPr>
        <w:rPr>
          <w:rFonts w:ascii="Arial" w:cs="Arial" w:eastAsia="Arial" w:hAnsi="Arial"/>
          <w:sz w:val="22"/>
          <w:szCs w:val="22"/>
          <w:color w:val="010000"/>
        </w:rPr>
      </w:pPr>
      <w:r>
        <w:rPr>
          <w:rFonts w:ascii="Arial" w:cs="Arial" w:eastAsia="Arial" w:hAnsi="Arial"/>
          <w:sz w:val="22"/>
          <w:szCs w:val="22"/>
          <w:color w:val="auto"/>
        </w:rPr>
        <w:t>The definition of “Extended Investment Period Date” in Section 1.1 of the LLC Agreement is hereby amended by deleting the date “June 30, 2019” therein and replacing it with “June 30, 2020”.</w:t>
      </w:r>
    </w:p>
    <w:p>
      <w:pPr>
        <w:spacing w:after="0" w:line="174" w:lineRule="exact"/>
        <w:rPr>
          <w:rFonts w:ascii="Arial" w:cs="Arial" w:eastAsia="Arial" w:hAnsi="Arial"/>
          <w:sz w:val="22"/>
          <w:szCs w:val="22"/>
          <w:color w:val="010000"/>
        </w:rPr>
      </w:pPr>
    </w:p>
    <w:p>
      <w:pPr>
        <w:ind w:left="644" w:right="20" w:hanging="644"/>
        <w:spacing w:after="0" w:line="263" w:lineRule="auto"/>
        <w:tabs>
          <w:tab w:leader="none" w:pos="644" w:val="left"/>
        </w:tabs>
        <w:numPr>
          <w:ilvl w:val="0"/>
          <w:numId w:val="291"/>
        </w:numPr>
        <w:rPr>
          <w:rFonts w:ascii="Arial" w:cs="Arial" w:eastAsia="Arial" w:hAnsi="Arial"/>
          <w:sz w:val="22"/>
          <w:szCs w:val="22"/>
          <w:color w:val="010000"/>
        </w:rPr>
      </w:pPr>
      <w:r>
        <w:rPr>
          <w:rFonts w:ascii="Arial" w:cs="Arial" w:eastAsia="Arial" w:hAnsi="Arial"/>
          <w:sz w:val="22"/>
          <w:szCs w:val="22"/>
          <w:color w:val="auto"/>
        </w:rPr>
        <w:t>Section 3.3(c) of the LLC Agreement is hereby amended by deleting the first proviso therein and replacing it with the following:</w:t>
      </w:r>
    </w:p>
    <w:p>
      <w:pPr>
        <w:spacing w:after="0" w:line="175" w:lineRule="exact"/>
        <w:rPr>
          <w:sz w:val="20"/>
          <w:szCs w:val="20"/>
          <w:color w:val="auto"/>
        </w:rPr>
      </w:pPr>
    </w:p>
    <w:p>
      <w:pPr>
        <w:ind w:left="964"/>
        <w:spacing w:after="0" w:line="265"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provided</w:t>
      </w:r>
      <w:r>
        <w:rPr>
          <w:rFonts w:ascii="Arial" w:cs="Arial" w:eastAsia="Arial" w:hAnsi="Arial"/>
          <w:sz w:val="19"/>
          <w:szCs w:val="19"/>
          <w:color w:val="auto"/>
        </w:rPr>
        <w:t>, that, such Capital Contribution shall be sized so that the Class A Members are projected to achieve a per annum yield, calculated on an After</w:t>
      </w:r>
      <w:r>
        <w:rPr>
          <w:rFonts w:ascii="MS PGothic" w:cs="MS PGothic" w:eastAsia="MS PGothic" w:hAnsi="MS PGothic"/>
          <w:sz w:val="19"/>
          <w:szCs w:val="19"/>
          <w:color w:val="auto"/>
        </w:rPr>
        <w:t>‑</w:t>
      </w:r>
      <w:r>
        <w:rPr>
          <w:rFonts w:ascii="Arial" w:cs="Arial" w:eastAsia="Arial" w:hAnsi="Arial"/>
          <w:sz w:val="19"/>
          <w:szCs w:val="19"/>
          <w:color w:val="auto"/>
        </w:rPr>
        <w:t>Tax Basis, based on Available Cash Flow (“</w:t>
      </w:r>
      <w:r>
        <w:rPr>
          <w:rFonts w:ascii="Arial" w:cs="Arial" w:eastAsia="Arial" w:hAnsi="Arial"/>
          <w:sz w:val="19"/>
          <w:szCs w:val="19"/>
          <w:b w:val="1"/>
          <w:bCs w:val="1"/>
          <w:color w:val="auto"/>
        </w:rPr>
        <w:t>CAFD Yield</w:t>
      </w:r>
      <w:r>
        <w:rPr>
          <w:rFonts w:ascii="Arial" w:cs="Arial" w:eastAsia="Arial" w:hAnsi="Arial"/>
          <w:sz w:val="19"/>
          <w:szCs w:val="19"/>
          <w:color w:val="auto"/>
        </w:rPr>
        <w:t>”) which will</w:t>
      </w:r>
    </w:p>
    <w:p>
      <w:pPr>
        <w:spacing w:after="0" w:line="1" w:lineRule="exact"/>
        <w:rPr>
          <w:sz w:val="20"/>
          <w:szCs w:val="20"/>
          <w:color w:val="auto"/>
        </w:rPr>
      </w:pPr>
    </w:p>
    <w:p>
      <w:pPr>
        <w:jc w:val="both"/>
        <w:ind w:left="964" w:firstLine="9"/>
        <w:spacing w:after="0" w:line="256" w:lineRule="auto"/>
        <w:tabs>
          <w:tab w:leader="none" w:pos="1245" w:val="left"/>
        </w:tabs>
        <w:numPr>
          <w:ilvl w:val="1"/>
          <w:numId w:val="292"/>
        </w:numPr>
        <w:rPr>
          <w:rFonts w:ascii="Arial" w:cs="Arial" w:eastAsia="Arial" w:hAnsi="Arial"/>
          <w:sz w:val="21"/>
          <w:szCs w:val="21"/>
          <w:color w:val="auto"/>
        </w:rPr>
      </w:pPr>
      <w:r>
        <w:rPr>
          <w:rFonts w:ascii="Arial" w:cs="Arial" w:eastAsia="Arial" w:hAnsi="Arial"/>
          <w:sz w:val="21"/>
          <w:szCs w:val="21"/>
          <w:color w:val="auto"/>
        </w:rPr>
        <w:t>average no less than [***]% over the first ten (10) years following the date on which the Class A Capital Contribution Amount has been made, (ii) never be below [***] percent ([***]%) in any of the first nine (9) years following the date on which the Class A Capital Contribution Amount has been made, (iii) only be below [***] percent ([***]%) for no more than four (4) calendar years commencing with the tenth (10th) calendar year following the date on which the Class A Capital Contribution Amount has been made, (iv) never be below negative [***] percent (-[***]%) in any calendar year (such Capital Contribution, a “</w:t>
      </w:r>
      <w:r>
        <w:rPr>
          <w:rFonts w:ascii="Arial" w:cs="Arial" w:eastAsia="Arial" w:hAnsi="Arial"/>
          <w:sz w:val="21"/>
          <w:szCs w:val="21"/>
          <w:b w:val="1"/>
          <w:bCs w:val="1"/>
          <w:color w:val="auto"/>
        </w:rPr>
        <w:t>Class A Capital</w:t>
      </w:r>
      <w:r>
        <w:rPr>
          <w:rFonts w:ascii="Arial" w:cs="Arial" w:eastAsia="Arial" w:hAnsi="Arial"/>
          <w:sz w:val="21"/>
          <w:szCs w:val="21"/>
          <w:color w:val="auto"/>
        </w:rPr>
        <w:t xml:space="preserve"> </w:t>
      </w:r>
      <w:r>
        <w:rPr>
          <w:rFonts w:ascii="Arial" w:cs="Arial" w:eastAsia="Arial" w:hAnsi="Arial"/>
          <w:sz w:val="21"/>
          <w:szCs w:val="21"/>
          <w:b w:val="1"/>
          <w:bCs w:val="1"/>
          <w:color w:val="auto"/>
        </w:rPr>
        <w:t>Contribution Amount</w:t>
      </w:r>
      <w:r>
        <w:rPr>
          <w:rFonts w:ascii="Arial" w:cs="Arial" w:eastAsia="Arial" w:hAnsi="Arial"/>
          <w:sz w:val="21"/>
          <w:szCs w:val="21"/>
          <w:color w:val="auto"/>
        </w:rPr>
        <w:t>”), and (v) for Capital Contribution Requests in respect of one or more CS4 Projects,</w:t>
      </w:r>
      <w:r>
        <w:rPr>
          <w:rFonts w:ascii="Arial" w:cs="Arial" w:eastAsia="Arial" w:hAnsi="Arial"/>
          <w:sz w:val="21"/>
          <w:szCs w:val="21"/>
          <w:b w:val="1"/>
          <w:bCs w:val="1"/>
          <w:color w:val="auto"/>
        </w:rPr>
        <w:t xml:space="preserve"> </w:t>
      </w:r>
      <w:r>
        <w:rPr>
          <w:rFonts w:ascii="Arial" w:cs="Arial" w:eastAsia="Arial" w:hAnsi="Arial"/>
          <w:sz w:val="21"/>
          <w:szCs w:val="21"/>
          <w:color w:val="auto"/>
        </w:rPr>
        <w:t>average no less than [***]% over the first five (5) years following the date on which the Class A Capital Contribution Amount has been made, all as determined pursuant to the Cumulative Base Case Model included in the Capital Contribution Request;”.</w:t>
      </w:r>
    </w:p>
    <w:p>
      <w:pPr>
        <w:spacing w:after="0" w:line="188" w:lineRule="exact"/>
        <w:rPr>
          <w:rFonts w:ascii="Arial" w:cs="Arial" w:eastAsia="Arial" w:hAnsi="Arial"/>
          <w:sz w:val="21"/>
          <w:szCs w:val="21"/>
          <w:color w:val="auto"/>
        </w:rPr>
      </w:pPr>
    </w:p>
    <w:p>
      <w:pPr>
        <w:jc w:val="both"/>
        <w:ind w:left="644" w:hanging="644"/>
        <w:spacing w:after="0" w:line="250" w:lineRule="auto"/>
        <w:tabs>
          <w:tab w:leader="none" w:pos="644" w:val="left"/>
        </w:tabs>
        <w:numPr>
          <w:ilvl w:val="0"/>
          <w:numId w:val="293"/>
        </w:numPr>
        <w:rPr>
          <w:rFonts w:ascii="Arial" w:cs="Arial" w:eastAsia="Arial" w:hAnsi="Arial"/>
          <w:sz w:val="22"/>
          <w:szCs w:val="22"/>
          <w:color w:val="010000"/>
        </w:rPr>
      </w:pPr>
      <w:r>
        <w:rPr>
          <w:rFonts w:ascii="Arial" w:cs="Arial" w:eastAsia="Arial" w:hAnsi="Arial"/>
          <w:sz w:val="22"/>
          <w:szCs w:val="22"/>
          <w:color w:val="auto"/>
        </w:rPr>
        <w:t>Annex II (Underwriting Assumptions) to the LLC Agreement is hereby deleted in its entirety and replaced with the amended Annex II (Underwriting Assumptions) attached as Exhibit A hereto. For clarity, Annex II (Underwriting Assumptions) as updated by this Amendment shall be effective with respect to all Fund Companies presented to the Members before and following the date hereof.</w:t>
      </w:r>
    </w:p>
    <w:p>
      <w:pPr>
        <w:spacing w:after="0" w:line="188" w:lineRule="exact"/>
        <w:rPr>
          <w:rFonts w:ascii="Arial" w:cs="Arial" w:eastAsia="Arial" w:hAnsi="Arial"/>
          <w:sz w:val="22"/>
          <w:szCs w:val="22"/>
          <w:color w:val="010000"/>
        </w:rPr>
      </w:pPr>
    </w:p>
    <w:p>
      <w:pPr>
        <w:jc w:val="both"/>
        <w:ind w:left="644" w:hanging="644"/>
        <w:spacing w:after="0" w:line="271" w:lineRule="auto"/>
        <w:tabs>
          <w:tab w:leader="none" w:pos="644" w:val="left"/>
        </w:tabs>
        <w:numPr>
          <w:ilvl w:val="0"/>
          <w:numId w:val="293"/>
        </w:numPr>
        <w:rPr>
          <w:rFonts w:ascii="Arial" w:cs="Arial" w:eastAsia="Arial" w:hAnsi="Arial"/>
          <w:sz w:val="21"/>
          <w:szCs w:val="21"/>
          <w:color w:val="010000"/>
        </w:rPr>
      </w:pPr>
      <w:r>
        <w:rPr>
          <w:rFonts w:ascii="Arial" w:cs="Arial" w:eastAsia="Arial" w:hAnsi="Arial"/>
          <w:sz w:val="21"/>
          <w:szCs w:val="21"/>
          <w:color w:val="auto"/>
        </w:rPr>
        <w:t>Exhibit E (Form of Officer’s Certificate) to the Form of Fund Addendum attached as Exhibit A to the LLC Agreement is hereby amended by inserting the words “, calculated on an After-Tax Basis,” into numbered paragraph 2 therein between the words “a per annum yield” and “based on Available Cash Flow”.</w:t>
      </w:r>
    </w:p>
    <w:p>
      <w:pPr>
        <w:sectPr>
          <w:pgSz w:w="11900" w:h="16838" w:orient="portrait"/>
          <w:cols w:equalWidth="0" w:num="1">
            <w:col w:w="10764"/>
          </w:cols>
          <w:pgMar w:left="896" w:top="604" w:right="239" w:bottom="1440" w:gutter="0" w:footer="0" w:header="0"/>
        </w:sectPr>
      </w:pPr>
    </w:p>
    <w:bookmarkStart w:id="277" w:name="page278"/>
    <w:bookmarkEnd w:id="277"/>
    <w:p>
      <w:pPr>
        <w:jc w:val="both"/>
        <w:ind w:left="660" w:hanging="652"/>
        <w:spacing w:after="0" w:line="252" w:lineRule="auto"/>
        <w:tabs>
          <w:tab w:leader="none" w:pos="660" w:val="left"/>
        </w:tabs>
        <w:numPr>
          <w:ilvl w:val="0"/>
          <w:numId w:val="294"/>
        </w:numPr>
        <w:rPr>
          <w:rFonts w:ascii="Arial" w:cs="Arial" w:eastAsia="Arial" w:hAnsi="Arial"/>
          <w:sz w:val="22"/>
          <w:szCs w:val="22"/>
          <w:color w:val="010000"/>
        </w:rPr>
      </w:pPr>
      <w:r>
        <w:rPr>
          <w:rFonts w:ascii="Arial" w:cs="Arial" w:eastAsia="Arial" w:hAnsi="Arial"/>
          <w:sz w:val="22"/>
          <w:szCs w:val="22"/>
          <w:b w:val="1"/>
          <w:bCs w:val="1"/>
          <w:u w:val="single" w:color="auto"/>
          <w:color w:val="auto"/>
        </w:rPr>
        <w:t>Investment Period Extension Payment</w:t>
      </w:r>
      <w:r>
        <w:rPr>
          <w:rFonts w:ascii="Arial" w:cs="Arial" w:eastAsia="Arial" w:hAnsi="Arial"/>
          <w:sz w:val="22"/>
          <w:szCs w:val="22"/>
          <w:color w:val="auto"/>
        </w:rPr>
        <w:t>. In connection with, and as consideration for, extending the Investment Period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of this Amendment, the Class B Member shall make a payment equal to $622,447 to the Class A Member by wire transfer of immediately available funds within thirty (30) Business Days following the effective date of this Amendment.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209" w:lineRule="exact"/>
        <w:rPr>
          <w:sz w:val="20"/>
          <w:szCs w:val="20"/>
          <w:color w:val="auto"/>
        </w:rPr>
      </w:pPr>
    </w:p>
    <w:p>
      <w:pPr>
        <w:jc w:val="both"/>
        <w:ind w:left="660" w:hanging="652"/>
        <w:spacing w:after="0" w:line="267" w:lineRule="auto"/>
        <w:tabs>
          <w:tab w:leader="none" w:pos="660" w:val="left"/>
        </w:tabs>
        <w:numPr>
          <w:ilvl w:val="0"/>
          <w:numId w:val="295"/>
        </w:numPr>
        <w:rPr>
          <w:rFonts w:ascii="Arial" w:cs="Arial" w:eastAsia="Arial" w:hAnsi="Arial"/>
          <w:sz w:val="21"/>
          <w:szCs w:val="21"/>
          <w:color w:val="010000"/>
        </w:rPr>
      </w:pPr>
      <w:r>
        <w:rPr>
          <w:rFonts w:ascii="Arial" w:cs="Arial" w:eastAsia="Arial" w:hAnsi="Arial"/>
          <w:sz w:val="21"/>
          <w:szCs w:val="21"/>
          <w:b w:val="1"/>
          <w:bCs w:val="1"/>
          <w:u w:val="single" w:color="auto"/>
          <w:color w:val="auto"/>
        </w:rPr>
        <w:t>Entire Agreement</w:t>
      </w:r>
      <w:r>
        <w:rPr>
          <w:rFonts w:ascii="Arial" w:cs="Arial" w:eastAsia="Arial" w:hAnsi="Arial"/>
          <w:sz w:val="21"/>
          <w:szCs w:val="21"/>
          <w:color w:val="auto"/>
        </w:rPr>
        <w:t>. This Amendment, including all annexes, schedules and exhibits hereto, constitutes the 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Parties with respect to the subject matter hereof and supersedes all prior and contemporaneous agreements, statements, understandings and representations, whether oral or written, among the Parties with respect to such subject matter. The LLC Agreement, as amended hereby, shall remain in full force and effect.</w:t>
      </w:r>
    </w:p>
    <w:p>
      <w:pPr>
        <w:spacing w:after="0" w:line="167" w:lineRule="exact"/>
        <w:rPr>
          <w:rFonts w:ascii="Arial" w:cs="Arial" w:eastAsia="Arial" w:hAnsi="Arial"/>
          <w:sz w:val="21"/>
          <w:szCs w:val="21"/>
          <w:color w:val="010000"/>
        </w:rPr>
      </w:pPr>
    </w:p>
    <w:p>
      <w:pPr>
        <w:jc w:val="both"/>
        <w:ind w:left="660" w:hanging="652"/>
        <w:spacing w:after="0" w:line="315" w:lineRule="auto"/>
        <w:tabs>
          <w:tab w:leader="none" w:pos="660" w:val="left"/>
        </w:tabs>
        <w:numPr>
          <w:ilvl w:val="0"/>
          <w:numId w:val="295"/>
        </w:numPr>
        <w:rPr>
          <w:rFonts w:ascii="Arial" w:cs="Arial" w:eastAsia="Arial" w:hAnsi="Arial"/>
          <w:sz w:val="19"/>
          <w:szCs w:val="19"/>
          <w:color w:val="010000"/>
        </w:rPr>
      </w:pP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This Amendment shall be construed, interpreted and enforced in accordance with the internal laws and</w:t>
      </w:r>
      <w:r>
        <w:rPr>
          <w:rFonts w:ascii="Arial" w:cs="Arial" w:eastAsia="Arial" w:hAnsi="Arial"/>
          <w:sz w:val="19"/>
          <w:szCs w:val="19"/>
          <w:b w:val="1"/>
          <w:bCs w:val="1"/>
          <w:color w:val="auto"/>
        </w:rPr>
        <w:t xml:space="preserve"> </w:t>
      </w:r>
      <w:r>
        <w:rPr>
          <w:rFonts w:ascii="Arial" w:cs="Arial" w:eastAsia="Arial" w:hAnsi="Arial"/>
          <w:sz w:val="19"/>
          <w:szCs w:val="19"/>
          <w:color w:val="auto"/>
        </w:rPr>
        <w:t>decisions of the State of Delaware without giving effect to any choice of law or conflict of law rules or provisions of any other state or jurisdiction that would cause the application of the laws of any jurisdiction other than the State of Delaware.</w:t>
      </w:r>
    </w:p>
    <w:p>
      <w:pPr>
        <w:spacing w:after="0" w:line="125" w:lineRule="exact"/>
        <w:rPr>
          <w:rFonts w:ascii="Arial" w:cs="Arial" w:eastAsia="Arial" w:hAnsi="Arial"/>
          <w:sz w:val="19"/>
          <w:szCs w:val="19"/>
          <w:color w:val="010000"/>
        </w:rPr>
      </w:pPr>
    </w:p>
    <w:p>
      <w:pPr>
        <w:jc w:val="both"/>
        <w:ind w:left="660" w:hanging="652"/>
        <w:spacing w:after="0" w:line="252" w:lineRule="auto"/>
        <w:tabs>
          <w:tab w:leader="none" w:pos="660" w:val="left"/>
        </w:tabs>
        <w:numPr>
          <w:ilvl w:val="0"/>
          <w:numId w:val="295"/>
        </w:numPr>
        <w:rPr>
          <w:rFonts w:ascii="Arial" w:cs="Arial" w:eastAsia="Arial" w:hAnsi="Arial"/>
          <w:sz w:val="22"/>
          <w:szCs w:val="22"/>
          <w:color w:val="010000"/>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in one or more counterparts, each bearing the signatures of one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Each such counterpart shall be considered an original and all of such counterparts shall constitute a single agreement binding all the parties as if all had signed a single document. Facsimile, electronic mail or pdf signatures shall be accepted as original signatures for purposes of this Amendment.</w:t>
      </w:r>
    </w:p>
    <w:p>
      <w:pPr>
        <w:spacing w:after="0" w:line="180" w:lineRule="exact"/>
        <w:rPr>
          <w:rFonts w:ascii="Arial" w:cs="Arial" w:eastAsia="Arial" w:hAnsi="Arial"/>
          <w:sz w:val="22"/>
          <w:szCs w:val="22"/>
          <w:color w:val="010000"/>
        </w:rPr>
      </w:pPr>
    </w:p>
    <w:p>
      <w:pPr>
        <w:ind w:left="660" w:hanging="652"/>
        <w:spacing w:after="0" w:line="269" w:lineRule="auto"/>
        <w:tabs>
          <w:tab w:leader="none" w:pos="660" w:val="left"/>
        </w:tabs>
        <w:numPr>
          <w:ilvl w:val="0"/>
          <w:numId w:val="295"/>
        </w:numPr>
        <w:rPr>
          <w:rFonts w:ascii="Arial" w:cs="Arial" w:eastAsia="Arial" w:hAnsi="Arial"/>
          <w:sz w:val="22"/>
          <w:szCs w:val="22"/>
          <w:color w:val="010000"/>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headings contained in this Amendment are for reference purposes only and shall not affect in any way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 and interpretation of this Amendment.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FOLLOW]</w:t>
      </w:r>
    </w:p>
    <w:p>
      <w:pPr>
        <w:sectPr>
          <w:pgSz w:w="11900" w:h="16838" w:orient="portrait"/>
          <w:cols w:equalWidth="0" w:num="1">
            <w:col w:w="11420"/>
          </w:cols>
          <w:pgMar w:left="240" w:top="599" w:right="239" w:bottom="1440" w:gutter="0" w:footer="0" w:header="0"/>
        </w:sectPr>
      </w:pPr>
    </w:p>
    <w:bookmarkStart w:id="278" w:name="page279"/>
    <w:bookmarkEnd w:id="278"/>
    <w:p>
      <w:pPr>
        <w:ind w:left="100"/>
        <w:spacing w:after="0"/>
        <w:rPr>
          <w:sz w:val="20"/>
          <w:szCs w:val="20"/>
          <w:color w:val="auto"/>
        </w:rPr>
      </w:pPr>
      <w:r>
        <w:rPr>
          <w:rFonts w:ascii="Arial" w:cs="Arial" w:eastAsia="Arial" w:hAnsi="Arial"/>
          <w:sz w:val="19"/>
          <w:szCs w:val="19"/>
          <w:color w:val="auto"/>
        </w:rPr>
        <w:t>IN WITNESS WHEREOF, the Parties hereto have executed this Amendment as of the date first written above.</w:t>
      </w:r>
    </w:p>
    <w:p>
      <w:pPr>
        <w:sectPr>
          <w:pgSz w:w="11900" w:h="16838" w:orient="portrait"/>
          <w:cols w:equalWidth="0" w:num="1">
            <w:col w:w="9680"/>
          </w:cols>
          <w:pgMar w:left="1440" w:top="604" w:right="779" w:bottom="1440" w:gutter="0" w:footer="0" w:header="0"/>
        </w:sectPr>
      </w:pPr>
    </w:p>
    <w:p>
      <w:pPr>
        <w:spacing w:after="0" w:line="254"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CLASS B MEMBER:</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RENEW DG HOLDINGS LLC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448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6">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Craig Cornelius</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CLASS A MEMBER:</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DGPV HOLDING LLC</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By:/s/ Christopher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884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7">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Christopher Sotos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20"/>
        <w:spacing w:after="0"/>
        <w:rPr>
          <w:sz w:val="20"/>
          <w:szCs w:val="20"/>
          <w:color w:val="auto"/>
        </w:rPr>
      </w:pPr>
      <w:r>
        <w:rPr>
          <w:rFonts w:ascii="Arial" w:cs="Arial" w:eastAsia="Arial" w:hAnsi="Arial"/>
          <w:sz w:val="19"/>
          <w:szCs w:val="19"/>
          <w:color w:val="auto"/>
        </w:rPr>
        <w:t>[First Amendment to A&amp;R LLC Agreement of DGPV Holdco 3 LLC]</w:t>
      </w:r>
    </w:p>
    <w:p>
      <w:pPr>
        <w:sectPr>
          <w:pgSz w:w="11900" w:h="16838" w:orient="portrait"/>
          <w:cols w:equalWidth="0" w:num="1">
            <w:col w:w="9680"/>
          </w:cols>
          <w:pgMar w:left="1440" w:top="604" w:right="779" w:bottom="1440" w:gutter="0" w:footer="0" w:header="0"/>
          <w:type w:val="continuous"/>
        </w:sectPr>
      </w:pPr>
    </w:p>
    <w:bookmarkStart w:id="279" w:name="page280"/>
    <w:bookmarkEnd w:id="279"/>
    <w:p>
      <w:pPr>
        <w:ind w:left="1020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2011 Finance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AC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Adams Community Solar Garden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Adams Community Solar Garden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Adams Community Solar Garden III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Adams Community Solar Gardens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Agua Caliente Borrower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Agua Caliente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Agua Caliente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Interconnection Management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Interconnection Management III,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Interconnection Management,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Realty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Realty Investments,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Vista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1-5 Holding Company,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Asset Management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Asset Management,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II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III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IV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IV,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V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V,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X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X,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XI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XI,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X-XI TE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Apple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Arapahoe Community Solar Garden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Avenal Park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Avenal Solar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Bashaw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Big Lake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Black Cat Road Solar,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62" w:right="219" w:bottom="1440" w:gutter="0" w:footer="0" w:header="0"/>
        </w:sectPr>
      </w:pPr>
    </w:p>
    <w:bookmarkStart w:id="280" w:name="page281"/>
    <w:bookmarkEnd w:id="280"/>
    <w:p>
      <w:pPr>
        <w:ind w:left="1020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 Start Battery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Black Start Bettery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Bluestone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Brook Street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Buckthorn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Buckthorn Renewables,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Buckthorn Solar Portfolio,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Buckthorn Westex,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Buffalo Bear,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Oklahoma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Bullock Road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BWC Swan Pond River,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 Fund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Carlsbad Energy Center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Carlsbad Energy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Carlsbad Holdco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Carlsbad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CBAD Holdings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CBAD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Center St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Central CA Fuel Cell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Chestnut Borrower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Chestnut Class B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Chestnut Fund Sub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Chisago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Clara City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 View Acres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&amp; EFS Distributed Solar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&amp; EFS Distributed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AC Solar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Chestnut Fund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DG Lakeland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Energy Operating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Solar Star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Thermal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Walnut Creek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West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CMR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Colorado Shared Solar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Colorado Springs Solar Garden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Continental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Crosswind Transmission,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CVSR Holdco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62" w:right="219" w:bottom="1440" w:gutter="0" w:footer="0" w:header="0"/>
        </w:sectPr>
      </w:pPr>
    </w:p>
    <w:bookmarkStart w:id="281" w:name="page282"/>
    <w:bookmarkEnd w:id="281"/>
    <w:p>
      <w:pPr>
        <w:ind w:left="1020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CVSR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CWEN Pinnacle Repowering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CWEN Pinnacle Repowering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Cy-Hawk Wind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Denver Community Solar Garden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Denver Community Solar Garden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Desert Sunlight 250,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Desert Sunlight 300,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Desert Sunlight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Desert Sunlight Investment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Berkeley Rec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Berkeley Village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Central East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Central West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Contra Costa Operations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Contra Costa Waste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Crystal Spring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Dighton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Foxborough Elm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Foxborough Landfill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Grantland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Haverhill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Imperial Admin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Imperial Building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Lathrop Louise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Lincoln Middle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Marathon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Rosedale Elementary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Rosedale Middle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San Joaquin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SREC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SREC Holdings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Tufts Knoll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Tufts Science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Washington Middle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Webster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3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4 Borrower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4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Fund 1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62" w:right="219" w:bottom="1440" w:gutter="0" w:footer="0" w:header="0"/>
        </w:sectPr>
      </w:pPr>
    </w:p>
    <w:bookmarkStart w:id="282" w:name="page283"/>
    <w:bookmarkEnd w:id="282"/>
    <w:p>
      <w:pPr>
        <w:ind w:left="1020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Fund 2 HoldCo A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Fund 2 HoldCo B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Fund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Fund 4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Fund 4 Sub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HoldCo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HoldCo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HoldCo 3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Holding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Dodge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Eagle View Acres Wind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Eastman Street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ECP Uptown Campus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ECP Uptown Campus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ECP Uptown Campus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 Mirage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 Segundo Energy Center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Elbow Creek Repowering Tax Equity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Elbow Creek Wind Project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Electricity Sales Princeton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Elk Lake Wind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Elkhorn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Elkhorn Ridge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Baltimore Medical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Caguas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Caguas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Caguas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Puerto Rico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Cajuhu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Puerto Rico</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Dover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Fajardo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Fajardo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Fajardo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Puerto Rico</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Harrisburg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HCEC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Minneapolis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Omaha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Omaha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Paxton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Phoenix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Pittsburgh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Princeton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San Diego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62" w:right="219" w:bottom="1440" w:gutter="0" w:footer="0" w:header="0"/>
        </w:sectPr>
      </w:pPr>
    </w:p>
    <w:bookmarkStart w:id="283" w:name="page284"/>
    <w:bookmarkEnd w:id="283"/>
    <w:p>
      <w:pPr>
        <w:ind w:left="1020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San Francisco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Smyrna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Tucson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Enterprise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Escalante Solar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Escalante Solar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Escalante Solar III,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ETCAP NES CS MN 02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ETCAP NES CS MN 06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Farmington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Federal Road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Forest Lake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Forward WindPower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Four Brothers Capital,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Four Brothers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Four Brothers Portfolio,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Four Brothers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Frontenac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Fuel Cell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FUSD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GCE Holding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Connecticut</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GenConn Devon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Connecticut</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GenConn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Connecticut</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GenConn Middletown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Connecticut</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Goat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Golden Puma Fund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Golden Puma Revolve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Grabinski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Granite Mountain Capital,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Granite Mountain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Granite Mountain Renewables,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Granite Mountain Solar East,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Granite Mountain Solar West,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Green Prairie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Greene Wind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Hardin Hilltop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Hardin Wind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Harrisburg Cooling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High Plains Ranch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Highland Township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HLE Solar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HSD Solar Holdings,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California</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62" w:right="219" w:bottom="1440" w:gutter="0" w:footer="0" w:header="0"/>
        </w:sectPr>
      </w:pPr>
    </w:p>
    <w:bookmarkStart w:id="284" w:name="page285"/>
    <w:bookmarkEnd w:id="284"/>
    <w:p>
      <w:pPr>
        <w:ind w:left="1020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Huntington Beach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Hwy 14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Iron Springs Capital,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Iron Springs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Iron Springs Renewables,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Iron Springs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Kawailoa Renewables,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Kawailoa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Kawailoa Solar Portfolio,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Kawailoa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Lanikuhana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Hawaii</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Laredo Ridge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Lenape II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Lindberg Field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Lindberg Field Solar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Longhorn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Lookout WindPower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Mapleton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Marsh Landing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Marsh Landing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MC1 Solar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North Carolina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Minisink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Minisink Solar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Iowa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California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Minnesota Wind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Laredo,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New Mexico,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Oklahoma,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PA One,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PA Three,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PA Two,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Pennsylvania,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Utah,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Monster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Montevideo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Mount Hope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Natural Gas Repowering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New Munich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Northfield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NS Smith,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Oahu Renewables,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Oahu Solar Holdings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62" w:right="219" w:bottom="1440" w:gutter="0" w:footer="0" w:header="0"/>
        </w:sectPr>
      </w:pPr>
    </w:p>
    <w:bookmarkStart w:id="285" w:name="page286"/>
    <w:bookmarkEnd w:id="285"/>
    <w:p>
      <w:pPr>
        <w:ind w:left="1020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Oahu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OC Solar 2010,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California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Odin Wind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Old Westminster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Old Westminster Solar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Olinda Trail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Osakis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Eight,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Five,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Four,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One,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Seven,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Six,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Three,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Two,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Palo Alto County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Partridgeville Road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PC Dinuba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PESD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Pikes Peak Solar Garden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Pine Island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Pinnacle Repowering Partnership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Pinnacle Repowering Partnership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Pinnacle Repowering Tax Equity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Pinnacle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PM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California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Pond Road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Portfolio Solar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Poverty Ridge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Puma Class B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Redbrook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Renew Canal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Renew Solar CS4 Borrower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Renew Solar CS4 Class B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Renew Solar CS4 Fund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Renew Solar CS4 Fund Sub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Renew Solar CS4 Seller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Renew Spark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Repowering Partnership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Repowering Partnership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Rollingstone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Rounseville Solar 1,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62" w:right="219" w:bottom="1440" w:gutter="0" w:footer="0" w:header="0"/>
        </w:sectPr>
      </w:pPr>
    </w:p>
    <w:bookmarkStart w:id="286" w:name="page287"/>
    <w:bookmarkEnd w:id="286"/>
    <w:p>
      <w:pPr>
        <w:ind w:left="1020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RPV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RPV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RPV Fund 11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RPV Fund 12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RPV Fund 13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RPV HoldCo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RPV Holding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San Juan Mesa Investments,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San Juan Mesa Wind Project,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Sand Drag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Sartell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SCDA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SCWFD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Silver Lake Acres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SJA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Sleeping Bear,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Alpine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Apple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AV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Avra Valley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Blythe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Blythe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Borrego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Borrego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Community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Community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CVSR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Flagstaff One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Iguana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Kansas South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Kansas South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Las Vegas MB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Las Vegas MB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Mayfair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Mule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Oasis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Roadrunner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Roadrunner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Tabernacle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Warren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Wauwinet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West Shaft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62" w:right="219" w:bottom="1440" w:gutter="0" w:footer="0" w:header="0"/>
        </w:sectPr>
      </w:pPr>
    </w:p>
    <w:bookmarkStart w:id="287" w:name="page288"/>
    <w:bookmarkEnd w:id="287"/>
    <w:p>
      <w:pPr>
        <w:ind w:left="1020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South Trent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South Trent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Spanish Fork Wind Park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Utah</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Asset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Fund II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Fund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Fund II-B,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Fund III,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Lease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P-IV Master Lessee,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Spring Canyon Energy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Canyon Energy III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Spring Canyon Expansion Class B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Canyon Expansion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Spring Canyon Expansion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Canyon Interconnection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Spring Street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Stafford St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Stafford St Solar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Stafford St Solar 3,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Statoil Energy Power/Pennsylvania, Inc.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Pennsylvania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Stearns Solar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Steel Bridge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Sun City Project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Sunrise View Wind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Sunset View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Sutton Wind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TA - High Desert,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California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Taloga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Oklahoma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Tapestry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Canada Equities 1 Inc.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British Columbia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Canada Infrastructure 1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Canada Infrastructure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Hawaii Development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Hawaii Development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Hawaii Development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Infrastructure Development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Infrastructure Development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Topeka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TOS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TOS Solar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TOS Solar 4,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62" w:right="219" w:bottom="1440" w:gutter="0" w:footer="0" w:header="0"/>
        </w:sectPr>
      </w:pPr>
    </w:p>
    <w:bookmarkStart w:id="288" w:name="page289"/>
    <w:bookmarkEnd w:id="288"/>
    <w:p>
      <w:pPr>
        <w:ind w:left="10200"/>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TOS Solar 5,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Tully Farms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UB Fuel Cell,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Connecticut</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Underhill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Utah Solar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Vail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Viento Funding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Viento Funding,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Virgin Lake Wind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Wabasha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Wabasha Solar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Wabasha Solar III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Wabasha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Waipio PV,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Walnut Creek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Walnut Creek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Waterford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WCEP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Webster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Wildcat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Wildorado Interconnect,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Wildorado Repowering Tax Equity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Wildorado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Wilmarth Lane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Wind Family Turbine,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Wind TE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Winona Solar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Winona Solar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WSD Solar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Zephyr Kawailoa Partnership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Zephyr Oahu Partnership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Zontos Wind,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62" w:right="219" w:bottom="1440" w:gutter="0" w:footer="0" w:header="0"/>
        </w:sectPr>
      </w:pPr>
    </w:p>
    <w:bookmarkStart w:id="289" w:name="page290"/>
    <w:bookmarkEnd w:id="289"/>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28213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ectPr>
          <w:pgSz w:w="11900" w:h="16838" w:orient="portrait"/>
          <w:cols w:equalWidth="0" w:num="1">
            <w:col w:w="11420"/>
          </w:cols>
          <w:pgMar w:left="240" w:top="634" w:right="239" w:bottom="1440" w:gutter="0" w:footer="0" w:header="0"/>
        </w:sectPr>
      </w:pPr>
    </w:p>
    <w:bookmarkStart w:id="290" w:name="page291"/>
    <w:bookmarkEnd w:id="290"/>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9">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ectPr>
          <w:pgSz w:w="11900" w:h="16838" w:orient="portrait"/>
          <w:cols w:equalWidth="0" w:num="1">
            <w:col w:w="11420"/>
          </w:cols>
          <w:pgMar w:left="240" w:top="634" w:right="239" w:bottom="1440" w:gutter="0" w:footer="0" w:header="0"/>
        </w:sectPr>
      </w:pPr>
    </w:p>
    <w:bookmarkStart w:id="291" w:name="page292"/>
    <w:bookmarkEnd w:id="291"/>
    <w:p>
      <w:pPr>
        <w:ind w:left="10280"/>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06" w:lineRule="exact"/>
        <w:rPr>
          <w:sz w:val="20"/>
          <w:szCs w:val="20"/>
          <w:color w:val="auto"/>
        </w:rPr>
      </w:pPr>
    </w:p>
    <w:p>
      <w:pPr>
        <w:ind w:left="660" w:hanging="652"/>
        <w:spacing w:after="0"/>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0">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Mary-Lee Stillwell</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ectPr>
          <w:pgSz w:w="11900" w:h="16838" w:orient="portrait"/>
          <w:cols w:equalWidth="0" w:num="1">
            <w:col w:w="11420"/>
          </w:cols>
          <w:pgMar w:left="240" w:top="554"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Annual Report of Clearway Energy LLC on Form 10-K for the year ended December 31, 2019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 as of the dates and for the periods expressed in the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Mary-Lee Stillwell</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10-K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263DEC"/>
    <w:multiLevelType w:val="hybridMultilevel"/>
    <w:lvl w:ilvl="0">
      <w:lvlJc w:val="left"/>
      <w:lvlText w:val="☒"/>
      <w:numFmt w:val="bullet"/>
      <w:start w:val="1"/>
    </w:lvl>
  </w:abstractNum>
  <w:abstractNum w:abstractNumId="1">
    <w:nsid w:val="260D8C4A"/>
    <w:multiLevelType w:val="hybridMultilevel"/>
    <w:lvl w:ilvl="0">
      <w:lvlJc w:val="left"/>
      <w:lvlText w:val="☐"/>
      <w:numFmt w:val="bullet"/>
      <w:start w:val="1"/>
    </w:lvl>
  </w:abstractNum>
  <w:abstractNum w:abstractNumId="2">
    <w:nsid w:val="73D4D3C4"/>
    <w:multiLevelType w:val="hybridMultilevel"/>
    <w:lvl w:ilvl="0">
      <w:lvlJc w:val="left"/>
      <w:lvlText w:val="(%1)"/>
      <w:numFmt w:val="lowerLetter"/>
      <w:start w:val="1"/>
    </w:lvl>
  </w:abstractNum>
  <w:abstractNum w:abstractNumId="3">
    <w:nsid w:val="746F2E30"/>
    <w:multiLevelType w:val="hybridMultilevel"/>
    <w:lvl w:ilvl="0">
      <w:lvlJc w:val="left"/>
      <w:lvlText w:val="(%1)"/>
      <w:numFmt w:val="lowerLetter"/>
      <w:start w:val="1"/>
    </w:lvl>
  </w:abstractNum>
  <w:abstractNum w:abstractNumId="4">
    <w:nsid w:val="6FDE8AF6"/>
    <w:multiLevelType w:val="hybridMultilevel"/>
    <w:lvl w:ilvl="0">
      <w:lvlJc w:val="left"/>
      <w:lvlText w:val="•"/>
      <w:numFmt w:val="bullet"/>
      <w:start w:val="1"/>
    </w:lvl>
  </w:abstractNum>
  <w:abstractNum w:abstractNumId="5">
    <w:nsid w:val="3FC32E20"/>
    <w:multiLevelType w:val="hybridMultilevel"/>
    <w:lvl w:ilvl="0">
      <w:lvlJc w:val="left"/>
      <w:lvlText w:val="•"/>
      <w:numFmt w:val="bullet"/>
      <w:start w:val="1"/>
    </w:lvl>
  </w:abstractNum>
  <w:abstractNum w:abstractNumId="6">
    <w:nsid w:val="49C0E823"/>
    <w:multiLevelType w:val="hybridMultilevel"/>
    <w:lvl w:ilvl="0">
      <w:lvlJc w:val="left"/>
      <w:lvlText w:val="•"/>
      <w:numFmt w:val="bullet"/>
      <w:start w:val="1"/>
    </w:lvl>
  </w:abstractNum>
  <w:abstractNum w:abstractNumId="7">
    <w:nsid w:val="14D53685"/>
    <w:multiLevelType w:val="hybridMultilevel"/>
    <w:lvl w:ilvl="0">
      <w:lvlJc w:val="left"/>
      <w:lvlText w:val="(%1)"/>
      <w:numFmt w:val="lowerLetter"/>
      <w:start w:val="1"/>
    </w:lvl>
  </w:abstractNum>
  <w:abstractNum w:abstractNumId="8">
    <w:nsid w:val="230F856C"/>
    <w:multiLevelType w:val="hybridMultilevel"/>
    <w:lvl w:ilvl="0">
      <w:lvlJc w:val="left"/>
      <w:lvlText w:val="(%1)"/>
      <w:numFmt w:val="lowerLetter"/>
      <w:start w:val="1"/>
    </w:lvl>
  </w:abstractNum>
  <w:abstractNum w:abstractNumId="9">
    <w:nsid w:val="6EAA85FB"/>
    <w:multiLevelType w:val="hybridMultilevel"/>
    <w:lvl w:ilvl="0">
      <w:lvlJc w:val="left"/>
      <w:lvlText w:val="•"/>
      <w:numFmt w:val="bullet"/>
      <w:start w:val="1"/>
    </w:lvl>
  </w:abstractNum>
  <w:abstractNum w:abstractNumId="10">
    <w:nsid w:val="3F06ECB2"/>
    <w:multiLevelType w:val="hybridMultilevel"/>
    <w:lvl w:ilvl="0">
      <w:lvlJc w:val="left"/>
      <w:lvlText w:val="•"/>
      <w:numFmt w:val="bullet"/>
      <w:start w:val="1"/>
    </w:lvl>
  </w:abstractNum>
  <w:abstractNum w:abstractNumId="11">
    <w:nsid w:val="3B594807"/>
    <w:multiLevelType w:val="hybridMultilevel"/>
    <w:lvl w:ilvl="0">
      <w:lvlJc w:val="left"/>
      <w:lvlText w:val="•"/>
      <w:numFmt w:val="bullet"/>
      <w:start w:val="1"/>
    </w:lvl>
  </w:abstractNum>
  <w:abstractNum w:abstractNumId="12">
    <w:nsid w:val="6CAA2304"/>
    <w:multiLevelType w:val="hybridMultilevel"/>
    <w:lvl w:ilvl="0">
      <w:lvlJc w:val="left"/>
      <w:lvlText w:val="•"/>
      <w:numFmt w:val="bullet"/>
      <w:start w:val="1"/>
    </w:lvl>
  </w:abstractNum>
  <w:abstractNum w:abstractNumId="13">
    <w:nsid w:val="3F7C2FF4"/>
    <w:multiLevelType w:val="hybridMultilevel"/>
    <w:lvl w:ilvl="0">
      <w:lvlJc w:val="left"/>
      <w:lvlText w:val="•"/>
      <w:numFmt w:val="bullet"/>
      <w:start w:val="1"/>
    </w:lvl>
  </w:abstractNum>
  <w:abstractNum w:abstractNumId="14">
    <w:nsid w:val="25413BEC"/>
    <w:multiLevelType w:val="hybridMultilevel"/>
    <w:lvl w:ilvl="0">
      <w:lvlJc w:val="left"/>
      <w:lvlText w:val="•"/>
      <w:numFmt w:val="bullet"/>
      <w:start w:val="1"/>
    </w:lvl>
  </w:abstractNum>
  <w:abstractNum w:abstractNumId="15">
    <w:nsid w:val="17180B0B"/>
    <w:multiLevelType w:val="hybridMultilevel"/>
    <w:lvl w:ilvl="0">
      <w:lvlJc w:val="left"/>
      <w:lvlText w:val="•"/>
      <w:numFmt w:val="bullet"/>
      <w:start w:val="1"/>
    </w:lvl>
  </w:abstractNum>
  <w:abstractNum w:abstractNumId="16">
    <w:nsid w:val="579328B9"/>
    <w:multiLevelType w:val="hybridMultilevel"/>
    <w:lvl w:ilvl="0">
      <w:lvlJc w:val="left"/>
      <w:lvlText w:val="•"/>
      <w:numFmt w:val="bullet"/>
      <w:start w:val="1"/>
    </w:lvl>
  </w:abstractNum>
  <w:abstractNum w:abstractNumId="17">
    <w:nsid w:val="5D205E20"/>
    <w:multiLevelType w:val="hybridMultilevel"/>
    <w:lvl w:ilvl="0">
      <w:lvlJc w:val="left"/>
      <w:lvlText w:val="•"/>
      <w:numFmt w:val="bullet"/>
      <w:start w:val="1"/>
    </w:lvl>
  </w:abstractNum>
  <w:abstractNum w:abstractNumId="18">
    <w:nsid w:val="11CCA8BA"/>
    <w:multiLevelType w:val="hybridMultilevel"/>
    <w:lvl w:ilvl="0">
      <w:lvlJc w:val="left"/>
      <w:lvlText w:val="•"/>
      <w:numFmt w:val="bullet"/>
      <w:start w:val="1"/>
    </w:lvl>
  </w:abstractNum>
  <w:abstractNum w:abstractNumId="19">
    <w:nsid w:val="4D32AB86"/>
    <w:multiLevelType w:val="hybridMultilevel"/>
    <w:lvl w:ilvl="0">
      <w:lvlJc w:val="left"/>
      <w:lvlText w:val="•"/>
      <w:numFmt w:val="bullet"/>
      <w:start w:val="1"/>
    </w:lvl>
  </w:abstractNum>
  <w:abstractNum w:abstractNumId="20">
    <w:nsid w:val="3F07ACC3"/>
    <w:multiLevelType w:val="hybridMultilevel"/>
    <w:lvl w:ilvl="0">
      <w:lvlJc w:val="left"/>
      <w:lvlText w:val="•"/>
      <w:numFmt w:val="bullet"/>
      <w:start w:val="1"/>
    </w:lvl>
  </w:abstractNum>
  <w:abstractNum w:abstractNumId="21">
    <w:nsid w:val="6B47F63E"/>
    <w:multiLevelType w:val="hybridMultilevel"/>
    <w:lvl w:ilvl="0">
      <w:lvlJc w:val="left"/>
      <w:lvlText w:val="•"/>
      <w:numFmt w:val="bullet"/>
      <w:start w:val="1"/>
    </w:lvl>
  </w:abstractNum>
  <w:abstractNum w:abstractNumId="22">
    <w:nsid w:val="5CB44A05"/>
    <w:multiLevelType w:val="hybridMultilevel"/>
    <w:lvl w:ilvl="0">
      <w:lvlJc w:val="left"/>
      <w:lvlText w:val="•"/>
      <w:numFmt w:val="bullet"/>
      <w:start w:val="1"/>
    </w:lvl>
  </w:abstractNum>
  <w:abstractNum w:abstractNumId="23">
    <w:nsid w:val="16CF80F1"/>
    <w:multiLevelType w:val="hybridMultilevel"/>
    <w:lvl w:ilvl="0">
      <w:lvlJc w:val="left"/>
      <w:lvlText w:val="(%1)"/>
      <w:numFmt w:val="lowerLetter"/>
      <w:start w:val="2"/>
    </w:lvl>
  </w:abstractNum>
  <w:abstractNum w:abstractNumId="24">
    <w:nsid w:val="1C695DEC"/>
    <w:multiLevelType w:val="hybridMultilevel"/>
    <w:lvl w:ilvl="0">
      <w:lvlJc w:val="left"/>
      <w:lvlText w:val="$"/>
      <w:numFmt w:val="bullet"/>
      <w:start w:val="1"/>
    </w:lvl>
  </w:abstractNum>
  <w:abstractNum w:abstractNumId="25">
    <w:nsid w:val="3FCFAED9"/>
    <w:multiLevelType w:val="hybridMultilevel"/>
    <w:lvl w:ilvl="0">
      <w:lvlJc w:val="left"/>
      <w:lvlText w:val="$"/>
      <w:numFmt w:val="bullet"/>
      <w:start w:val="1"/>
    </w:lvl>
  </w:abstractNum>
  <w:abstractNum w:abstractNumId="26">
    <w:nsid w:val="F856867"/>
    <w:multiLevelType w:val="hybridMultilevel"/>
    <w:lvl w:ilvl="0">
      <w:lvlJc w:val="left"/>
      <w:lvlText w:val="(%1)"/>
      <w:numFmt w:val="lowerLetter"/>
      <w:start w:val="1"/>
    </w:lvl>
  </w:abstractNum>
  <w:abstractNum w:abstractNumId="27">
    <w:nsid w:val="11B1CC33"/>
    <w:multiLevelType w:val="hybridMultilevel"/>
    <w:lvl w:ilvl="0">
      <w:lvlJc w:val="left"/>
      <w:lvlText w:val="$"/>
      <w:numFmt w:val="bullet"/>
      <w:start w:val="1"/>
    </w:lvl>
  </w:abstractNum>
  <w:abstractNum w:abstractNumId="28">
    <w:nsid w:val="2E22FBB7"/>
    <w:multiLevelType w:val="hybridMultilevel"/>
    <w:lvl w:ilvl="0">
      <w:lvlJc w:val="left"/>
      <w:lvlText w:val="$"/>
      <w:numFmt w:val="bullet"/>
      <w:start w:val="1"/>
    </w:lvl>
  </w:abstractNum>
  <w:abstractNum w:abstractNumId="29">
    <w:nsid w:val="29934699"/>
    <w:multiLevelType w:val="hybridMultilevel"/>
    <w:lvl w:ilvl="0">
      <w:lvlJc w:val="left"/>
      <w:lvlText w:val="(%1)"/>
      <w:numFmt w:val="lowerLetter"/>
      <w:start w:val="1"/>
    </w:lvl>
  </w:abstractNum>
  <w:abstractNum w:abstractNumId="30">
    <w:nsid w:val="77485850"/>
    <w:multiLevelType w:val="hybridMultilevel"/>
    <w:lvl w:ilvl="0">
      <w:lvlJc w:val="left"/>
      <w:lvlText w:val="•"/>
      <w:numFmt w:val="bullet"/>
      <w:start w:val="1"/>
    </w:lvl>
  </w:abstractNum>
  <w:abstractNum w:abstractNumId="31">
    <w:nsid w:val="744939A3"/>
    <w:multiLevelType w:val="hybridMultilevel"/>
    <w:lvl w:ilvl="0">
      <w:lvlJc w:val="left"/>
      <w:lvlText w:val="%1."/>
      <w:numFmt w:val="decimal"/>
      <w:start w:val="1"/>
    </w:lvl>
  </w:abstractNum>
  <w:abstractNum w:abstractNumId="32">
    <w:nsid w:val="4FA0D2E3"/>
    <w:multiLevelType w:val="hybridMultilevel"/>
    <w:lvl w:ilvl="0">
      <w:lvlJc w:val="left"/>
      <w:lvlText w:val="•"/>
      <w:numFmt w:val="bullet"/>
      <w:start w:val="1"/>
    </w:lvl>
  </w:abstractNum>
  <w:abstractNum w:abstractNumId="33">
    <w:nsid w:val="6B1D2C14"/>
    <w:multiLevelType w:val="hybridMultilevel"/>
    <w:lvl w:ilvl="0">
      <w:lvlJc w:val="left"/>
      <w:lvlText w:val="•"/>
      <w:numFmt w:val="bullet"/>
      <w:start w:val="1"/>
    </w:lvl>
  </w:abstractNum>
  <w:abstractNum w:abstractNumId="34">
    <w:nsid w:val="68B867D3"/>
    <w:multiLevelType w:val="hybridMultilevel"/>
    <w:lvl w:ilvl="0">
      <w:lvlJc w:val="left"/>
      <w:lvlText w:val="(%1)"/>
      <w:numFmt w:val="decimal"/>
      <w:start w:val="1"/>
    </w:lvl>
  </w:abstractNum>
  <w:abstractNum w:abstractNumId="35">
    <w:nsid w:val="3F7F5DD9"/>
    <w:multiLevelType w:val="hybridMultilevel"/>
    <w:lvl w:ilvl="0">
      <w:lvlJc w:val="left"/>
      <w:lvlText w:val="(%1)"/>
      <w:numFmt w:val="decimal"/>
      <w:start w:val="1"/>
    </w:lvl>
  </w:abstractNum>
  <w:abstractNum w:abstractNumId="36">
    <w:nsid w:val="2AE05A34"/>
    <w:multiLevelType w:val="hybridMultilevel"/>
    <w:lvl w:ilvl="0">
      <w:lvlJc w:val="left"/>
      <w:lvlText w:val="(%1)"/>
      <w:numFmt w:val="decimal"/>
      <w:start w:val="1"/>
    </w:lvl>
  </w:abstractNum>
  <w:abstractNum w:abstractNumId="37">
    <w:nsid w:val="32794FF7"/>
    <w:multiLevelType w:val="hybridMultilevel"/>
    <w:lvl w:ilvl="0">
      <w:lvlJc w:val="left"/>
      <w:lvlText w:val="•"/>
      <w:numFmt w:val="bullet"/>
      <w:start w:val="1"/>
    </w:lvl>
  </w:abstractNum>
  <w:abstractNum w:abstractNumId="38">
    <w:nsid w:val="5454945E"/>
    <w:multiLevelType w:val="hybridMultilevel"/>
    <w:lvl w:ilvl="0">
      <w:lvlJc w:val="left"/>
      <w:lvlText w:val="•"/>
      <w:numFmt w:val="bullet"/>
      <w:start w:val="1"/>
    </w:lvl>
  </w:abstractNum>
  <w:abstractNum w:abstractNumId="39">
    <w:nsid w:val="4DEFDFA0"/>
    <w:multiLevelType w:val="hybridMultilevel"/>
    <w:lvl w:ilvl="0">
      <w:lvlJc w:val="left"/>
      <w:lvlText w:val="•"/>
      <w:numFmt w:val="bullet"/>
      <w:start w:val="1"/>
    </w:lvl>
  </w:abstractNum>
  <w:abstractNum w:abstractNumId="40">
    <w:nsid w:val="2123D5F2"/>
    <w:multiLevelType w:val="hybridMultilevel"/>
    <w:lvl w:ilvl="0">
      <w:lvlJc w:val="left"/>
      <w:lvlText w:val="(%1)"/>
      <w:numFmt w:val="decimal"/>
      <w:start w:val="1"/>
    </w:lvl>
  </w:abstractNum>
  <w:abstractNum w:abstractNumId="41">
    <w:nsid w:val="135B8110"/>
    <w:multiLevelType w:val="hybridMultilevel"/>
    <w:lvl w:ilvl="0">
      <w:lvlJc w:val="left"/>
      <w:lvlText w:val="(%1)"/>
      <w:numFmt w:val="decimal"/>
      <w:start w:val="1"/>
    </w:lvl>
  </w:abstractNum>
  <w:abstractNum w:abstractNumId="42">
    <w:nsid w:val="94927A8"/>
    <w:multiLevelType w:val="hybridMultilevel"/>
    <w:lvl w:ilvl="0">
      <w:lvlJc w:val="left"/>
      <w:lvlText w:val="(%1)"/>
      <w:numFmt w:val="decimal"/>
      <w:start w:val="5"/>
    </w:lvl>
  </w:abstractNum>
  <w:abstractNum w:abstractNumId="43">
    <w:nsid w:val="DCDF8F6"/>
    <w:multiLevelType w:val="hybridMultilevel"/>
    <w:lvl w:ilvl="0">
      <w:lvlJc w:val="left"/>
      <w:lvlText w:val="(%1)"/>
      <w:numFmt w:val="decimal"/>
      <w:start w:val="1"/>
    </w:lvl>
  </w:abstractNum>
  <w:abstractNum w:abstractNumId="44">
    <w:nsid w:val="52D7B105"/>
    <w:multiLevelType w:val="hybridMultilevel"/>
    <w:lvl w:ilvl="0">
      <w:lvlJc w:val="left"/>
      <w:lvlText w:val="(%1)"/>
      <w:numFmt w:val="decimal"/>
      <w:start w:val="1"/>
    </w:lvl>
  </w:abstractNum>
  <w:abstractNum w:abstractNumId="45">
    <w:nsid w:val="2E8A6394"/>
    <w:multiLevelType w:val="hybridMultilevel"/>
    <w:lvl w:ilvl="0">
      <w:lvlJc w:val="left"/>
      <w:lvlText w:val="(%1)"/>
      <w:numFmt w:val="decimal"/>
      <w:start w:val="1"/>
    </w:lvl>
  </w:abstractNum>
  <w:abstractNum w:abstractNumId="46">
    <w:nsid w:val="24E60401"/>
    <w:multiLevelType w:val="hybridMultilevel"/>
    <w:lvl w:ilvl="0">
      <w:lvlJc w:val="left"/>
      <w:lvlText w:val="(%1)"/>
      <w:numFmt w:val="decimal"/>
      <w:start w:val="7"/>
    </w:lvl>
  </w:abstractNum>
  <w:abstractNum w:abstractNumId="47">
    <w:nsid w:val="2A6AD9BE"/>
    <w:multiLevelType w:val="hybridMultilevel"/>
    <w:lvl w:ilvl="0">
      <w:lvlJc w:val="left"/>
      <w:lvlText w:val="•"/>
      <w:numFmt w:val="bullet"/>
      <w:start w:val="1"/>
    </w:lvl>
  </w:abstractNum>
  <w:abstractNum w:abstractNumId="48">
    <w:nsid w:val="BAAC1B4"/>
    <w:multiLevelType w:val="hybridMultilevel"/>
    <w:lvl w:ilvl="0">
      <w:lvlJc w:val="left"/>
      <w:lvlText w:val="•"/>
      <w:numFmt w:val="bullet"/>
      <w:start w:val="1"/>
    </w:lvl>
  </w:abstractNum>
  <w:abstractNum w:abstractNumId="49">
    <w:nsid w:val="36B2ACBC"/>
    <w:multiLevelType w:val="hybridMultilevel"/>
    <w:lvl w:ilvl="0">
      <w:lvlJc w:val="left"/>
      <w:lvlText w:val="•"/>
      <w:numFmt w:val="bullet"/>
      <w:start w:val="1"/>
    </w:lvl>
  </w:abstractNum>
  <w:abstractNum w:abstractNumId="50">
    <w:nsid w:val="779D8544"/>
    <w:multiLevelType w:val="hybridMultilevel"/>
    <w:lvl w:ilvl="0">
      <w:lvlJc w:val="left"/>
      <w:lvlText w:val="•"/>
      <w:numFmt w:val="bullet"/>
      <w:start w:val="1"/>
    </w:lvl>
  </w:abstractNum>
  <w:abstractNum w:abstractNumId="51">
    <w:nsid w:val="4AB26E78"/>
    <w:multiLevelType w:val="hybridMultilevel"/>
    <w:lvl w:ilvl="0">
      <w:lvlJc w:val="left"/>
      <w:lvlText w:val="(%1)"/>
      <w:numFmt w:val="decimal"/>
      <w:start w:val="1"/>
    </w:lvl>
  </w:abstractNum>
  <w:abstractNum w:abstractNumId="52">
    <w:nsid w:val="21FAA2FA"/>
    <w:multiLevelType w:val="hybridMultilevel"/>
    <w:lvl w:ilvl="0">
      <w:lvlJc w:val="left"/>
      <w:lvlText w:val="(%1)"/>
      <w:numFmt w:val="lowerLetter"/>
      <w:start w:val="1"/>
    </w:lvl>
  </w:abstractNum>
  <w:abstractNum w:abstractNumId="53">
    <w:nsid w:val="5451CF49"/>
    <w:multiLevelType w:val="hybridMultilevel"/>
    <w:lvl w:ilvl="0">
      <w:lvlJc w:val="left"/>
      <w:lvlText w:val="•"/>
      <w:numFmt w:val="bullet"/>
      <w:start w:val="1"/>
    </w:lvl>
  </w:abstractNum>
  <w:abstractNum w:abstractNumId="54">
    <w:nsid w:val="6181EF69"/>
    <w:multiLevelType w:val="hybridMultilevel"/>
    <w:lvl w:ilvl="0">
      <w:lvlJc w:val="left"/>
      <w:lvlText w:val="(%1)"/>
      <w:numFmt w:val="lowerLetter"/>
      <w:start w:val="2"/>
    </w:lvl>
  </w:abstractNum>
  <w:abstractNum w:abstractNumId="55">
    <w:nsid w:val="3E6400E6"/>
    <w:multiLevelType w:val="hybridMultilevel"/>
    <w:lvl w:ilvl="0">
      <w:lvlJc w:val="left"/>
      <w:lvlText w:val="(%1)"/>
      <w:numFmt w:val="lowerLetter"/>
      <w:start w:val="1"/>
    </w:lvl>
  </w:abstractNum>
  <w:abstractNum w:abstractNumId="56">
    <w:nsid w:val="14217E23"/>
    <w:multiLevelType w:val="hybridMultilevel"/>
    <w:lvl w:ilvl="0">
      <w:lvlJc w:val="left"/>
      <w:lvlText w:val="(%1)"/>
      <w:numFmt w:val="lowerLetter"/>
      <w:start w:val="1"/>
    </w:lvl>
  </w:abstractNum>
  <w:abstractNum w:abstractNumId="57">
    <w:nsid w:val="710757D0"/>
    <w:multiLevelType w:val="hybridMultilevel"/>
    <w:lvl w:ilvl="0">
      <w:lvlJc w:val="left"/>
      <w:lvlText w:val="•"/>
      <w:numFmt w:val="bullet"/>
      <w:start w:val="1"/>
    </w:lvl>
  </w:abstractNum>
  <w:abstractNum w:abstractNumId="58">
    <w:nsid w:val="5015CD1A"/>
    <w:multiLevelType w:val="hybridMultilevel"/>
    <w:lvl w:ilvl="0">
      <w:lvlJc w:val="left"/>
      <w:lvlText w:val="(%1)"/>
      <w:numFmt w:val="lowerLetter"/>
      <w:start w:val="1"/>
    </w:lvl>
  </w:abstractNum>
  <w:abstractNum w:abstractNumId="59">
    <w:nsid w:val="424479DA"/>
    <w:multiLevelType w:val="hybridMultilevel"/>
    <w:lvl w:ilvl="0">
      <w:lvlJc w:val="left"/>
      <w:lvlText w:val="-"/>
      <w:numFmt w:val="bullet"/>
      <w:start w:val="1"/>
    </w:lvl>
  </w:abstractNum>
  <w:abstractNum w:abstractNumId="60">
    <w:nsid w:val="1A9A9E69"/>
    <w:multiLevelType w:val="hybridMultilevel"/>
    <w:lvl w:ilvl="0">
      <w:lvlJc w:val="left"/>
      <w:lvlText w:val="(%1)"/>
      <w:numFmt w:val="lowerLetter"/>
      <w:start w:val="1"/>
    </w:lvl>
  </w:abstractNum>
  <w:abstractNum w:abstractNumId="61">
    <w:nsid w:val="475E256A"/>
    <w:multiLevelType w:val="hybridMultilevel"/>
    <w:lvl w:ilvl="0">
      <w:lvlJc w:val="left"/>
      <w:lvlText w:val="(%1)"/>
      <w:numFmt w:val="lowerLetter"/>
      <w:start w:val="1"/>
    </w:lvl>
  </w:abstractNum>
  <w:abstractNum w:abstractNumId="62">
    <w:nsid w:val="368DB37E"/>
    <w:multiLevelType w:val="hybridMultilevel"/>
    <w:lvl w:ilvl="0">
      <w:lvlJc w:val="left"/>
      <w:lvlText w:val="(%1)"/>
      <w:numFmt w:val="lowerLetter"/>
      <w:start w:val="1"/>
    </w:lvl>
  </w:abstractNum>
  <w:abstractNum w:abstractNumId="63">
    <w:nsid w:val="6A3B714C"/>
    <w:multiLevelType w:val="hybridMultilevel"/>
    <w:lvl w:ilvl="0">
      <w:lvlJc w:val="left"/>
      <w:lvlText w:val="(%1)"/>
      <w:numFmt w:val="lowerLetter"/>
      <w:start w:val="1"/>
    </w:lvl>
  </w:abstractNum>
  <w:abstractNum w:abstractNumId="64">
    <w:nsid w:val="327B517E"/>
    <w:multiLevelType w:val="hybridMultilevel"/>
    <w:lvl w:ilvl="0">
      <w:lvlJc w:val="left"/>
      <w:lvlText w:val="•"/>
      <w:numFmt w:val="bullet"/>
      <w:start w:val="1"/>
    </w:lvl>
  </w:abstractNum>
  <w:abstractNum w:abstractNumId="65">
    <w:nsid w:val="1F461B51"/>
    <w:multiLevelType w:val="hybridMultilevel"/>
    <w:lvl w:ilvl="0">
      <w:lvlJc w:val="left"/>
      <w:lvlText w:val="(%1)"/>
      <w:numFmt w:val="lowerLetter"/>
      <w:start w:val="1"/>
    </w:lvl>
  </w:abstractNum>
  <w:abstractNum w:abstractNumId="66">
    <w:nsid w:val="29BACF25"/>
    <w:multiLevelType w:val="hybridMultilevel"/>
    <w:lvl w:ilvl="0">
      <w:lvlJc w:val="left"/>
      <w:lvlText w:val="(%1)"/>
      <w:numFmt w:val="lowerLetter"/>
      <w:start w:val="1"/>
    </w:lvl>
  </w:abstractNum>
  <w:abstractNum w:abstractNumId="67">
    <w:nsid w:val="5D5BABB3"/>
    <w:multiLevelType w:val="hybridMultilevel"/>
    <w:lvl w:ilvl="0">
      <w:lvlJc w:val="left"/>
      <w:lvlText w:val="•"/>
      <w:numFmt w:val="bullet"/>
      <w:start w:val="1"/>
    </w:lvl>
  </w:abstractNum>
  <w:abstractNum w:abstractNumId="68">
    <w:nsid w:val="51BF6B48"/>
    <w:multiLevelType w:val="hybridMultilevel"/>
    <w:lvl w:ilvl="0">
      <w:lvlJc w:val="left"/>
      <w:lvlText w:val="(%1)"/>
      <w:numFmt w:val="lowerLetter"/>
      <w:start w:val="1"/>
    </w:lvl>
  </w:abstractNum>
  <w:abstractNum w:abstractNumId="69">
    <w:nsid w:val="7E0F6384"/>
    <w:multiLevelType w:val="hybridMultilevel"/>
    <w:lvl w:ilvl="0">
      <w:lvlJc w:val="left"/>
      <w:lvlText w:val="•"/>
      <w:numFmt w:val="bullet"/>
      <w:start w:val="1"/>
    </w:lvl>
  </w:abstractNum>
  <w:abstractNum w:abstractNumId="70">
    <w:nsid w:val="2B4B8B53"/>
    <w:multiLevelType w:val="hybridMultilevel"/>
    <w:lvl w:ilvl="0">
      <w:lvlJc w:val="left"/>
      <w:lvlText w:val="•"/>
      <w:numFmt w:val="bullet"/>
      <w:start w:val="1"/>
    </w:lvl>
  </w:abstractNum>
  <w:abstractNum w:abstractNumId="71">
    <w:nsid w:val="72E3413A"/>
    <w:multiLevelType w:val="hybridMultilevel"/>
    <w:lvl w:ilvl="0">
      <w:lvlJc w:val="left"/>
      <w:lvlText w:val="(%1)"/>
      <w:numFmt w:val="lowerLetter"/>
      <w:start w:val="1"/>
    </w:lvl>
  </w:abstractNum>
  <w:abstractNum w:abstractNumId="72">
    <w:nsid w:val="116AE494"/>
    <w:multiLevelType w:val="hybridMultilevel"/>
    <w:lvl w:ilvl="0">
      <w:lvlJc w:val="left"/>
      <w:lvlText w:val="(%1)"/>
      <w:numFmt w:val="lowerLetter"/>
      <w:start w:val="1"/>
    </w:lvl>
  </w:abstractNum>
  <w:abstractNum w:abstractNumId="73">
    <w:nsid w:val="3494B2FB"/>
    <w:multiLevelType w:val="hybridMultilevel"/>
    <w:lvl w:ilvl="0">
      <w:lvlJc w:val="left"/>
      <w:lvlText w:val="%1"/>
      <w:numFmt w:val="lowerLetter"/>
      <w:start w:val="1"/>
    </w:lvl>
    <w:lvl w:ilvl="1">
      <w:lvlJc w:val="left"/>
      <w:lvlText w:val="(%2)"/>
      <w:numFmt w:val="lowerLetter"/>
      <w:start w:val="1"/>
    </w:lvl>
  </w:abstractNum>
  <w:abstractNum w:abstractNumId="74">
    <w:nsid w:val="B13A31"/>
    <w:multiLevelType w:val="hybridMultilevel"/>
    <w:lvl w:ilvl="0">
      <w:lvlJc w:val="left"/>
      <w:lvlText w:val="(%1)"/>
      <w:numFmt w:val="lowerLetter"/>
      <w:start w:val="2"/>
    </w:lvl>
    <w:lvl w:ilvl="1">
      <w:lvlJc w:val="left"/>
      <w:lvlText w:val="%2"/>
      <w:numFmt w:val="lowerLetter"/>
      <w:start w:val="1"/>
    </w:lvl>
  </w:abstractNum>
  <w:abstractNum w:abstractNumId="75">
    <w:nsid w:val="64429599"/>
    <w:multiLevelType w:val="hybridMultilevel"/>
    <w:lvl w:ilvl="0">
      <w:lvlJc w:val="left"/>
      <w:lvlText w:val="%1"/>
      <w:numFmt w:val="lowerLetter"/>
      <w:start w:val="1"/>
    </w:lvl>
    <w:lvl w:ilvl="1">
      <w:lvlJc w:val="left"/>
      <w:lvlText w:val="(%2)"/>
      <w:numFmt w:val="lowerLetter"/>
      <w:start w:val="1"/>
    </w:lvl>
  </w:abstractNum>
  <w:abstractNum w:abstractNumId="76">
    <w:nsid w:val="631F1690"/>
    <w:multiLevelType w:val="hybridMultilevel"/>
    <w:lvl w:ilvl="0">
      <w:lvlJc w:val="left"/>
      <w:lvlText w:val="(%1)"/>
      <w:numFmt w:val="lowerLetter"/>
      <w:start w:val="2"/>
    </w:lvl>
    <w:lvl w:ilvl="1">
      <w:lvlJc w:val="left"/>
      <w:lvlText w:val="%2"/>
      <w:numFmt w:val="lowerLetter"/>
      <w:start w:val="1"/>
    </w:lvl>
  </w:abstractNum>
  <w:abstractNum w:abstractNumId="77">
    <w:nsid w:val="25973E32"/>
    <w:multiLevelType w:val="hybridMultilevel"/>
    <w:lvl w:ilvl="0">
      <w:lvlJc w:val="left"/>
      <w:lvlText w:val="(%1)"/>
      <w:numFmt w:val="lowerLetter"/>
      <w:start w:val="1"/>
    </w:lvl>
  </w:abstractNum>
  <w:abstractNum w:abstractNumId="78">
    <w:nsid w:val="EAD6F57"/>
    <w:multiLevelType w:val="hybridMultilevel"/>
    <w:lvl w:ilvl="0">
      <w:lvlJc w:val="left"/>
      <w:lvlText w:val="(%1)"/>
      <w:numFmt w:val="lowerLetter"/>
      <w:start w:val="1"/>
    </w:lvl>
  </w:abstractNum>
  <w:abstractNum w:abstractNumId="79">
    <w:nsid w:val="6EC9D844"/>
    <w:multiLevelType w:val="hybridMultilevel"/>
    <w:lvl w:ilvl="0">
      <w:lvlJc w:val="left"/>
      <w:lvlText w:val="(%1)"/>
      <w:numFmt w:val="lowerLetter"/>
      <w:start w:val="1"/>
    </w:lvl>
  </w:abstractNum>
  <w:abstractNum w:abstractNumId="80">
    <w:nsid w:val="5C49EAEE"/>
    <w:multiLevelType w:val="hybridMultilevel"/>
    <w:lvl w:ilvl="0">
      <w:lvlJc w:val="left"/>
      <w:lvlText w:val="%1"/>
      <w:numFmt w:val="lowerLetter"/>
      <w:start w:val="1"/>
    </w:lvl>
    <w:lvl w:ilvl="1">
      <w:lvlJc w:val="left"/>
      <w:lvlText w:val="(%2)"/>
      <w:numFmt w:val="lowerLetter"/>
      <w:start w:val="1"/>
    </w:lvl>
  </w:abstractNum>
  <w:abstractNum w:abstractNumId="81">
    <w:nsid w:val="64AF49B"/>
    <w:multiLevelType w:val="hybridMultilevel"/>
    <w:lvl w:ilvl="0">
      <w:lvlJc w:val="left"/>
      <w:lvlText w:val="(%1)"/>
      <w:numFmt w:val="lowerLetter"/>
      <w:start w:val="2"/>
    </w:lvl>
    <w:lvl w:ilvl="1">
      <w:lvlJc w:val="left"/>
      <w:lvlText w:val="%2"/>
      <w:numFmt w:val="lowerLetter"/>
      <w:start w:val="1"/>
    </w:lvl>
  </w:abstractNum>
  <w:abstractNum w:abstractNumId="82">
    <w:nsid w:val="397C46BC"/>
    <w:multiLevelType w:val="hybridMultilevel"/>
    <w:lvl w:ilvl="0">
      <w:lvlJc w:val="left"/>
      <w:lvlText w:val="%1"/>
      <w:numFmt w:val="lowerLetter"/>
      <w:start w:val="1"/>
    </w:lvl>
    <w:lvl w:ilvl="1">
      <w:lvlJc w:val="left"/>
      <w:lvlText w:val="(%2)"/>
      <w:numFmt w:val="lowerLetter"/>
      <w:start w:val="1"/>
    </w:lvl>
  </w:abstractNum>
  <w:abstractNum w:abstractNumId="83">
    <w:nsid w:val="7E448DE9"/>
    <w:multiLevelType w:val="hybridMultilevel"/>
    <w:lvl w:ilvl="0">
      <w:lvlJc w:val="left"/>
      <w:lvlText w:val="(%1)"/>
      <w:numFmt w:val="lowerLetter"/>
      <w:start w:val="2"/>
    </w:lvl>
    <w:lvl w:ilvl="1">
      <w:lvlJc w:val="left"/>
      <w:lvlText w:val="%2"/>
      <w:numFmt w:val="lowerLetter"/>
      <w:start w:val="1"/>
    </w:lvl>
  </w:abstractNum>
  <w:abstractNum w:abstractNumId="84">
    <w:nsid w:val="5A9CC3E5"/>
    <w:multiLevelType w:val="hybridMultilevel"/>
    <w:lvl w:ilvl="0">
      <w:lvlJc w:val="left"/>
      <w:lvlText w:val="%1"/>
      <w:numFmt w:val="lowerLetter"/>
      <w:start w:val="1"/>
    </w:lvl>
    <w:lvl w:ilvl="1">
      <w:lvlJc w:val="left"/>
      <w:lvlText w:val="(%2)"/>
      <w:numFmt w:val="lowerLetter"/>
      <w:start w:val="1"/>
    </w:lvl>
  </w:abstractNum>
  <w:abstractNum w:abstractNumId="85">
    <w:nsid w:val="1AFE3625"/>
    <w:multiLevelType w:val="hybridMultilevel"/>
    <w:lvl w:ilvl="0">
      <w:lvlJc w:val="left"/>
      <w:lvlText w:val="(%1)"/>
      <w:numFmt w:val="lowerLetter"/>
      <w:start w:val="2"/>
    </w:lvl>
    <w:lvl w:ilvl="1">
      <w:lvlJc w:val="left"/>
      <w:lvlText w:val="%2"/>
      <w:numFmt w:val="lowerLetter"/>
      <w:start w:val="1"/>
    </w:lvl>
  </w:abstractNum>
  <w:abstractNum w:abstractNumId="86">
    <w:nsid w:val="3CA88ECF"/>
    <w:multiLevelType w:val="hybridMultilevel"/>
    <w:lvl w:ilvl="0">
      <w:lvlJc w:val="left"/>
      <w:lvlText w:val="(%1)"/>
      <w:numFmt w:val="lowerLetter"/>
      <w:start w:val="1"/>
    </w:lvl>
  </w:abstractNum>
  <w:abstractNum w:abstractNumId="87">
    <w:nsid w:val="6EBE4208"/>
    <w:multiLevelType w:val="hybridMultilevel"/>
    <w:lvl w:ilvl="0">
      <w:lvlJc w:val="left"/>
      <w:lvlText w:val="(%1)"/>
      <w:numFmt w:val="lowerLetter"/>
      <w:start w:val="1"/>
    </w:lvl>
  </w:abstractNum>
  <w:abstractNum w:abstractNumId="88">
    <w:nsid w:val="C058DF5"/>
    <w:multiLevelType w:val="hybridMultilevel"/>
    <w:lvl w:ilvl="0">
      <w:lvlJc w:val="left"/>
      <w:lvlText w:val="%1"/>
      <w:numFmt w:val="lowerLetter"/>
      <w:start w:val="1"/>
    </w:lvl>
    <w:lvl w:ilvl="1">
      <w:lvlJc w:val="left"/>
      <w:lvlText w:val="(%2)"/>
      <w:numFmt w:val="lowerLetter"/>
      <w:start w:val="1"/>
    </w:lvl>
  </w:abstractNum>
  <w:abstractNum w:abstractNumId="89">
    <w:nsid w:val="CBE5BE9"/>
    <w:multiLevelType w:val="hybridMultilevel"/>
    <w:lvl w:ilvl="0">
      <w:lvlJc w:val="left"/>
      <w:lvlText w:val="(%1)"/>
      <w:numFmt w:val="lowerLetter"/>
      <w:start w:val="2"/>
    </w:lvl>
    <w:lvl w:ilvl="1">
      <w:lvlJc w:val="left"/>
      <w:lvlText w:val="%2"/>
      <w:numFmt w:val="lowerLetter"/>
      <w:start w:val="1"/>
    </w:lvl>
  </w:abstractNum>
  <w:abstractNum w:abstractNumId="90">
    <w:nsid w:val="3102BBE2"/>
    <w:multiLevelType w:val="hybridMultilevel"/>
    <w:lvl w:ilvl="0">
      <w:lvlJc w:val="left"/>
      <w:lvlText w:val="%1"/>
      <w:numFmt w:val="lowerLetter"/>
      <w:start w:val="1"/>
    </w:lvl>
    <w:lvl w:ilvl="1">
      <w:lvlJc w:val="left"/>
      <w:lvlText w:val="(%2)"/>
      <w:numFmt w:val="lowerLetter"/>
      <w:start w:val="1"/>
    </w:lvl>
  </w:abstractNum>
  <w:abstractNum w:abstractNumId="91">
    <w:nsid w:val="26A02C5E"/>
    <w:multiLevelType w:val="hybridMultilevel"/>
    <w:lvl w:ilvl="0">
      <w:lvlJc w:val="left"/>
      <w:lvlText w:val="(%1)"/>
      <w:numFmt w:val="lowerLetter"/>
      <w:start w:val="2"/>
    </w:lvl>
    <w:lvl w:ilvl="1">
      <w:lvlJc w:val="left"/>
      <w:lvlText w:val="%2"/>
      <w:numFmt w:val="lowerLetter"/>
      <w:start w:val="1"/>
    </w:lvl>
  </w:abstractNum>
  <w:abstractNum w:abstractNumId="92">
    <w:nsid w:val="541C8153"/>
    <w:multiLevelType w:val="hybridMultilevel"/>
    <w:lvl w:ilvl="0">
      <w:lvlJc w:val="left"/>
      <w:lvlText w:val="(%1)"/>
      <w:numFmt w:val="lowerLetter"/>
      <w:start w:val="1"/>
    </w:lvl>
  </w:abstractNum>
  <w:abstractNum w:abstractNumId="93">
    <w:nsid w:val="67906F60"/>
    <w:multiLevelType w:val="hybridMultilevel"/>
    <w:lvl w:ilvl="0">
      <w:lvlJc w:val="left"/>
      <w:lvlText w:val="%1"/>
      <w:numFmt w:val="decimal"/>
      <w:start w:val="104"/>
    </w:lvl>
  </w:abstractNum>
  <w:abstractNum w:abstractNumId="94">
    <w:nsid w:val="10DB9DAA"/>
    <w:multiLevelType w:val="hybridMultilevel"/>
    <w:lvl w:ilvl="0">
      <w:lvlJc w:val="left"/>
      <w:lvlText w:val="†"/>
      <w:numFmt w:val="bullet"/>
      <w:start w:val="1"/>
    </w:lvl>
  </w:abstractNum>
  <w:abstractNum w:abstractNumId="95">
    <w:nsid w:val="697D2D2"/>
    <w:multiLevelType w:val="hybridMultilevel"/>
    <w:lvl w:ilvl="0">
      <w:lvlJc w:val="left"/>
      <w:lvlText w:val="*"/>
      <w:numFmt w:val="bullet"/>
      <w:start w:val="1"/>
    </w:lvl>
  </w:abstractNum>
  <w:abstractNum w:abstractNumId="96">
    <w:nsid w:val="6D68AB2"/>
    <w:multiLevelType w:val="hybridMultilevel"/>
    <w:lvl w:ilvl="0">
      <w:lvlJc w:val="left"/>
      <w:lvlText w:val="^"/>
      <w:numFmt w:val="bullet"/>
      <w:start w:val="1"/>
    </w:lvl>
  </w:abstractNum>
  <w:abstractNum w:abstractNumId="97">
    <w:nsid w:val="3A966CD0"/>
    <w:multiLevelType w:val="hybridMultilevel"/>
    <w:lvl w:ilvl="0">
      <w:lvlJc w:val="left"/>
      <w:lvlText w:val="+"/>
      <w:numFmt w:val="bullet"/>
      <w:start w:val="1"/>
    </w:lvl>
  </w:abstractNum>
  <w:abstractNum w:abstractNumId="98">
    <w:nsid w:val="63F37E85"/>
    <w:multiLevelType w:val="hybridMultilevel"/>
    <w:lvl w:ilvl="0">
      <w:lvlJc w:val="left"/>
      <w:lvlText w:val="•"/>
      <w:numFmt w:val="bullet"/>
      <w:start w:val="1"/>
    </w:lvl>
  </w:abstractNum>
  <w:abstractNum w:abstractNumId="99">
    <w:nsid w:val="5895F5FA"/>
    <w:multiLevelType w:val="hybridMultilevel"/>
    <w:lvl w:ilvl="0">
      <w:lvlJc w:val="left"/>
      <w:lvlText w:val="•"/>
      <w:numFmt w:val="bullet"/>
      <w:start w:val="1"/>
    </w:lvl>
  </w:abstractNum>
  <w:abstractNum w:abstractNumId="100">
    <w:nsid w:val="38A5D054"/>
    <w:multiLevelType w:val="hybridMultilevel"/>
    <w:lvl w:ilvl="0">
      <w:lvlJc w:val="left"/>
      <w:lvlText w:val="•"/>
      <w:numFmt w:val="bullet"/>
      <w:start w:val="1"/>
    </w:lvl>
  </w:abstractNum>
  <w:abstractNum w:abstractNumId="101">
    <w:nsid w:val="F3F09D8"/>
    <w:multiLevelType w:val="hybridMultilevel"/>
    <w:lvl w:ilvl="0">
      <w:lvlJc w:val="left"/>
      <w:lvlText w:val="(%1)"/>
      <w:numFmt w:val="decimal"/>
      <w:start w:val="1"/>
    </w:lvl>
  </w:abstractNum>
  <w:abstractNum w:abstractNumId="102">
    <w:nsid w:val="4B793735"/>
    <w:multiLevelType w:val="hybridMultilevel"/>
    <w:lvl w:ilvl="0">
      <w:lvlJc w:val="left"/>
      <w:lvlText w:val="(%1)"/>
      <w:numFmt w:val="decimal"/>
      <w:start w:val="6"/>
    </w:lvl>
    <w:lvl w:ilvl="1">
      <w:lvlJc w:val="left"/>
      <w:lvlText w:val="(%2)"/>
      <w:numFmt w:val="lowerLetter"/>
      <w:start w:val="1"/>
    </w:lvl>
  </w:abstractNum>
  <w:abstractNum w:abstractNumId="103">
    <w:nsid w:val="4A10B4E8"/>
    <w:multiLevelType w:val="hybridMultilevel"/>
    <w:lvl w:ilvl="0">
      <w:lvlJc w:val="left"/>
      <w:lvlText w:val="(%1)"/>
      <w:numFmt w:val="decimal"/>
      <w:start w:val="1"/>
    </w:lvl>
  </w:abstractNum>
  <w:abstractNum w:abstractNumId="104">
    <w:nsid w:val="43D3BCD4"/>
    <w:multiLevelType w:val="hybridMultilevel"/>
    <w:lvl w:ilvl="0">
      <w:lvlJc w:val="left"/>
      <w:lvlText w:val="(%1)"/>
      <w:numFmt w:val="decimal"/>
      <w:start w:val="1"/>
    </w:lvl>
  </w:abstractNum>
  <w:abstractNum w:abstractNumId="105">
    <w:nsid w:val="4C2A7166"/>
    <w:multiLevelType w:val="hybridMultilevel"/>
    <w:lvl w:ilvl="0">
      <w:lvlJc w:val="left"/>
      <w:lvlText w:val="(%1)"/>
      <w:numFmt w:val="decimal"/>
      <w:start w:val="9"/>
    </w:lvl>
  </w:abstractNum>
  <w:abstractNum w:abstractNumId="106">
    <w:nsid w:val="2E534A82"/>
    <w:multiLevelType w:val="hybridMultilevel"/>
    <w:lvl w:ilvl="0">
      <w:lvlJc w:val="left"/>
      <w:lvlText w:val="(%1)"/>
      <w:numFmt w:val="decimal"/>
      <w:start w:val="1"/>
    </w:lvl>
  </w:abstractNum>
  <w:abstractNum w:abstractNumId="107">
    <w:nsid w:val="26F2D364"/>
    <w:multiLevelType w:val="hybridMultilevel"/>
    <w:lvl w:ilvl="0">
      <w:lvlJc w:val="left"/>
      <w:lvlText w:val="(%1)"/>
      <w:numFmt w:val="decimal"/>
      <w:start w:val="1"/>
    </w:lvl>
  </w:abstractNum>
  <w:abstractNum w:abstractNumId="108">
    <w:nsid w:val="71C1AF98"/>
    <w:multiLevelType w:val="hybridMultilevel"/>
    <w:lvl w:ilvl="0">
      <w:lvlJc w:val="left"/>
      <w:lvlText w:val="(%1)"/>
      <w:numFmt w:val="decimal"/>
      <w:start w:val="1"/>
    </w:lvl>
  </w:abstractNum>
  <w:abstractNum w:abstractNumId="109">
    <w:nsid w:val="3D00B9D9"/>
    <w:multiLevelType w:val="hybridMultilevel"/>
    <w:lvl w:ilvl="0">
      <w:lvlJc w:val="left"/>
      <w:lvlText w:val="(%1)"/>
      <w:numFmt w:val="decimal"/>
      <w:start w:val="1"/>
    </w:lvl>
  </w:abstractNum>
  <w:abstractNum w:abstractNumId="110">
    <w:nsid w:val="15BCABA8"/>
    <w:multiLevelType w:val="hybridMultilevel"/>
    <w:lvl w:ilvl="0">
      <w:lvlJc w:val="left"/>
      <w:lvlText w:val="(%1)"/>
      <w:numFmt w:val="decimal"/>
      <w:start w:val="1"/>
    </w:lvl>
  </w:abstractNum>
  <w:abstractNum w:abstractNumId="111">
    <w:nsid w:val="4E0B9A87"/>
    <w:multiLevelType w:val="hybridMultilevel"/>
    <w:lvl w:ilvl="0">
      <w:lvlJc w:val="left"/>
      <w:lvlText w:val="(%1)"/>
      <w:numFmt w:val="lowerLetter"/>
      <w:start w:val="1"/>
    </w:lvl>
  </w:abstractNum>
  <w:abstractNum w:abstractNumId="112">
    <w:nsid w:val="434BAE75"/>
    <w:multiLevelType w:val="hybridMultilevel"/>
    <w:lvl w:ilvl="0">
      <w:lvlJc w:val="left"/>
      <w:lvlText w:val="(%1)"/>
      <w:numFmt w:val="decimal"/>
      <w:start w:val="5"/>
    </w:lvl>
  </w:abstractNum>
  <w:abstractNum w:abstractNumId="113">
    <w:nsid w:val="4F38F265"/>
    <w:multiLevelType w:val="hybridMultilevel"/>
    <w:lvl w:ilvl="0">
      <w:lvlJc w:val="left"/>
      <w:lvlText w:val="(%1)"/>
      <w:numFmt w:val="decimal"/>
      <w:start w:val="1"/>
    </w:lvl>
  </w:abstractNum>
  <w:abstractNum w:abstractNumId="114">
    <w:nsid w:val="4C502870"/>
    <w:multiLevelType w:val="hybridMultilevel"/>
    <w:lvl w:ilvl="0">
      <w:lvlJc w:val="left"/>
      <w:lvlText w:val="(%1)"/>
      <w:numFmt w:val="decimal"/>
      <w:start w:val="1"/>
    </w:lvl>
  </w:abstractNum>
  <w:abstractNum w:abstractNumId="115">
    <w:nsid w:val="1DE8725A"/>
    <w:multiLevelType w:val="hybridMultilevel"/>
    <w:lvl w:ilvl="0">
      <w:lvlJc w:val="left"/>
      <w:lvlText w:val="(%1)"/>
      <w:numFmt w:val="decimal"/>
      <w:start w:val="2"/>
    </w:lvl>
  </w:abstractNum>
  <w:abstractNum w:abstractNumId="116">
    <w:nsid w:val="6A37288A"/>
    <w:multiLevelType w:val="hybridMultilevel"/>
    <w:lvl w:ilvl="0">
      <w:lvlJc w:val="left"/>
      <w:lvlText w:val="(%1)"/>
      <w:numFmt w:val="decimal"/>
      <w:start w:val="1"/>
    </w:lvl>
  </w:abstractNum>
  <w:abstractNum w:abstractNumId="117">
    <w:nsid w:val="8F8B73F"/>
    <w:multiLevelType w:val="hybridMultilevel"/>
    <w:lvl w:ilvl="0">
      <w:lvlJc w:val="left"/>
      <w:lvlText w:val="(%1)"/>
      <w:numFmt w:val="decimal"/>
      <w:start w:val="1"/>
    </w:lvl>
  </w:abstractNum>
  <w:abstractNum w:abstractNumId="118">
    <w:nsid w:val="CA6B462"/>
    <w:multiLevelType w:val="hybridMultilevel"/>
    <w:lvl w:ilvl="0">
      <w:lvlJc w:val="left"/>
      <w:lvlText w:val="(%1)"/>
      <w:numFmt w:val="decimal"/>
      <w:start w:val="7"/>
    </w:lvl>
  </w:abstractNum>
  <w:abstractNum w:abstractNumId="119">
    <w:nsid w:val="763CB680"/>
    <w:multiLevelType w:val="hybridMultilevel"/>
    <w:lvl w:ilvl="0">
      <w:lvlJc w:val="left"/>
      <w:lvlText w:val="(%1)"/>
      <w:numFmt w:val="decimal"/>
      <w:start w:val="1"/>
    </w:lvl>
  </w:abstractNum>
  <w:abstractNum w:abstractNumId="120">
    <w:nsid w:val="15B71329"/>
    <w:multiLevelType w:val="hybridMultilevel"/>
    <w:lvl w:ilvl="0">
      <w:lvlJc w:val="left"/>
      <w:lvlText w:val="(%1)"/>
      <w:numFmt w:val="decimal"/>
      <w:start w:val="1"/>
    </w:lvl>
    <w:lvl w:ilvl="1">
      <w:lvlJc w:val="left"/>
      <w:lvlText w:val="(%2)"/>
      <w:numFmt w:val="lowerLetter"/>
      <w:start w:val="1"/>
    </w:lvl>
  </w:abstractNum>
  <w:abstractNum w:abstractNumId="121">
    <w:nsid w:val="3DA97044"/>
    <w:multiLevelType w:val="hybridMultilevel"/>
    <w:lvl w:ilvl="0">
      <w:lvlJc w:val="left"/>
      <w:lvlText w:val="(%1)"/>
      <w:numFmt w:val="decimal"/>
      <w:start w:val="1"/>
    </w:lvl>
  </w:abstractNum>
  <w:abstractNum w:abstractNumId="122">
    <w:nsid w:val="1CDCE2DE"/>
    <w:multiLevelType w:val="hybridMultilevel"/>
    <w:lvl w:ilvl="0">
      <w:lvlJc w:val="left"/>
      <w:lvlText w:val="(%1)"/>
      <w:numFmt w:val="decimal"/>
      <w:start w:val="2"/>
    </w:lvl>
  </w:abstractNum>
  <w:abstractNum w:abstractNumId="123">
    <w:nsid w:val="69D3947C"/>
    <w:multiLevelType w:val="hybridMultilevel"/>
    <w:lvl w:ilvl="0">
      <w:lvlJc w:val="left"/>
      <w:lvlText w:val="(%1)"/>
      <w:numFmt w:val="decimal"/>
      <w:start w:val="8"/>
    </w:lvl>
  </w:abstractNum>
  <w:abstractNum w:abstractNumId="124">
    <w:nsid w:val="2539DFA5"/>
    <w:multiLevelType w:val="hybridMultilevel"/>
    <w:lvl w:ilvl="0">
      <w:lvlJc w:val="left"/>
      <w:lvlText w:val="(%1)"/>
      <w:numFmt w:val="decimal"/>
      <w:start w:val="1"/>
    </w:lvl>
  </w:abstractNum>
  <w:abstractNum w:abstractNumId="125">
    <w:nsid w:val="2DB88089"/>
    <w:multiLevelType w:val="hybridMultilevel"/>
    <w:lvl w:ilvl="0">
      <w:lvlJc w:val="left"/>
      <w:lvlText w:val="(%1)"/>
      <w:numFmt w:val="decimal"/>
      <w:start w:val="1"/>
    </w:lvl>
    <w:lvl w:ilvl="1">
      <w:lvlJc w:val="left"/>
      <w:lvlText w:val="(%2)"/>
      <w:numFmt w:val="lowerLetter"/>
      <w:start w:val="1"/>
    </w:lvl>
  </w:abstractNum>
  <w:abstractNum w:abstractNumId="126">
    <w:nsid w:val="706B674E"/>
    <w:multiLevelType w:val="hybridMultilevel"/>
    <w:lvl w:ilvl="0">
      <w:lvlJc w:val="left"/>
      <w:lvlText w:val="(%1)"/>
      <w:numFmt w:val="decimal"/>
      <w:start w:val="1"/>
    </w:lvl>
  </w:abstractNum>
  <w:abstractNum w:abstractNumId="127">
    <w:nsid w:val="2C106A57"/>
    <w:multiLevelType w:val="hybridMultilevel"/>
    <w:lvl w:ilvl="0">
      <w:lvlJc w:val="left"/>
      <w:lvlText w:val="(%1)"/>
      <w:numFmt w:val="decimal"/>
      <w:start w:val="1"/>
    </w:lvl>
  </w:abstractNum>
  <w:abstractNum w:abstractNumId="128">
    <w:nsid w:val="684EED59"/>
    <w:multiLevelType w:val="hybridMultilevel"/>
    <w:lvl w:ilvl="0">
      <w:lvlJc w:val="left"/>
      <w:lvlText w:val="(%1)"/>
      <w:numFmt w:val="decimal"/>
      <w:start w:val="1"/>
    </w:lvl>
  </w:abstractNum>
  <w:abstractNum w:abstractNumId="129">
    <w:nsid w:val="545EE5D3"/>
    <w:multiLevelType w:val="hybridMultilevel"/>
    <w:lvl w:ilvl="0">
      <w:lvlJc w:val="left"/>
      <w:lvlText w:val="(%1)"/>
      <w:numFmt w:val="decimal"/>
      <w:start w:val="1"/>
    </w:lvl>
  </w:abstractNum>
  <w:abstractNum w:abstractNumId="130">
    <w:nsid w:val="4A66051"/>
    <w:multiLevelType w:val="hybridMultilevel"/>
    <w:lvl w:ilvl="0">
      <w:lvlJc w:val="left"/>
      <w:lvlText w:val="(%1)"/>
      <w:numFmt w:val="decimal"/>
      <w:start w:val="1"/>
    </w:lvl>
  </w:abstractNum>
  <w:abstractNum w:abstractNumId="131">
    <w:nsid w:val="20F4BDAD"/>
    <w:multiLevelType w:val="hybridMultilevel"/>
    <w:lvl w:ilvl="0">
      <w:lvlJc w:val="left"/>
      <w:lvlText w:val="(%1)"/>
      <w:numFmt w:val="decimal"/>
      <w:start w:val="1"/>
    </w:lvl>
  </w:abstractNum>
  <w:abstractNum w:abstractNumId="132">
    <w:nsid w:val="639DEFAC"/>
    <w:multiLevelType w:val="hybridMultilevel"/>
    <w:lvl w:ilvl="0">
      <w:lvlJc w:val="left"/>
      <w:lvlText w:val="(%1)"/>
      <w:numFmt w:val="decimal"/>
      <w:start w:val="1"/>
    </w:lvl>
  </w:abstractNum>
  <w:abstractNum w:abstractNumId="133">
    <w:nsid w:val="501F9786"/>
    <w:multiLevelType w:val="hybridMultilevel"/>
    <w:lvl w:ilvl="0">
      <w:lvlJc w:val="left"/>
      <w:lvlText w:val="(%1)"/>
      <w:numFmt w:val="decimal"/>
      <w:start w:val="3"/>
    </w:lvl>
  </w:abstractNum>
  <w:abstractNum w:abstractNumId="134">
    <w:nsid w:val="6B057295"/>
    <w:multiLevelType w:val="hybridMultilevel"/>
    <w:lvl w:ilvl="0">
      <w:lvlJc w:val="left"/>
      <w:lvlText w:val="(%1)"/>
      <w:numFmt w:val="decimal"/>
      <w:start w:val="1"/>
    </w:lvl>
  </w:abstractNum>
  <w:abstractNum w:abstractNumId="135">
    <w:nsid w:val="2771AC80"/>
    <w:multiLevelType w:val="hybridMultilevel"/>
    <w:lvl w:ilvl="0">
      <w:lvlJc w:val="left"/>
      <w:lvlText w:val="(%1)"/>
      <w:numFmt w:val="decimal"/>
      <w:start w:val="1"/>
    </w:lvl>
  </w:abstractNum>
  <w:abstractNum w:abstractNumId="136">
    <w:nsid w:val="1C4A08EC"/>
    <w:multiLevelType w:val="hybridMultilevel"/>
    <w:lvl w:ilvl="0">
      <w:lvlJc w:val="left"/>
      <w:lvlText w:val="(%1)"/>
      <w:numFmt w:val="decimal"/>
      <w:start w:val="1"/>
    </w:lvl>
  </w:abstractNum>
  <w:abstractNum w:abstractNumId="137">
    <w:nsid w:val="1958BD17"/>
    <w:multiLevelType w:val="hybridMultilevel"/>
    <w:lvl w:ilvl="0">
      <w:lvlJc w:val="left"/>
      <w:lvlText w:val="•"/>
      <w:numFmt w:val="bullet"/>
      <w:start w:val="1"/>
    </w:lvl>
  </w:abstractNum>
  <w:abstractNum w:abstractNumId="138">
    <w:nsid w:val="4E647FE4"/>
    <w:multiLevelType w:val="hybridMultilevel"/>
    <w:lvl w:ilvl="0">
      <w:lvlJc w:val="left"/>
      <w:lvlText w:val="•"/>
      <w:numFmt w:val="bullet"/>
      <w:start w:val="1"/>
    </w:lvl>
  </w:abstractNum>
  <w:abstractNum w:abstractNumId="139">
    <w:nsid w:val="E0BB885"/>
    <w:multiLevelType w:val="hybridMultilevel"/>
    <w:lvl w:ilvl="0">
      <w:lvlJc w:val="left"/>
      <w:lvlText w:val="•"/>
      <w:numFmt w:val="bullet"/>
      <w:start w:val="1"/>
    </w:lvl>
  </w:abstractNum>
  <w:abstractNum w:abstractNumId="140">
    <w:nsid w:val="565976F1"/>
    <w:multiLevelType w:val="hybridMultilevel"/>
    <w:lvl w:ilvl="0">
      <w:lvlJc w:val="left"/>
      <w:lvlText w:val="(%1)"/>
      <w:numFmt w:val="decimal"/>
      <w:start w:val="1"/>
    </w:lvl>
    <w:lvl w:ilvl="1">
      <w:lvlJc w:val="left"/>
      <w:lvlText w:val="(%2)"/>
      <w:numFmt w:val="lowerLetter"/>
      <w:start w:val="1"/>
    </w:lvl>
  </w:abstractNum>
  <w:abstractNum w:abstractNumId="141">
    <w:nsid w:val="64212B8C"/>
    <w:multiLevelType w:val="hybridMultilevel"/>
    <w:lvl w:ilvl="0">
      <w:lvlJc w:val="left"/>
      <w:lvlText w:val="(%1)"/>
      <w:numFmt w:val="decimal"/>
      <w:start w:val="1"/>
    </w:lvl>
  </w:abstractNum>
  <w:abstractNum w:abstractNumId="142">
    <w:nsid w:val="5C17530C"/>
    <w:multiLevelType w:val="hybridMultilevel"/>
    <w:lvl w:ilvl="0">
      <w:lvlJc w:val="left"/>
      <w:lvlText w:val="(%1)"/>
      <w:numFmt w:val="decimal"/>
      <w:start w:val="1"/>
    </w:lvl>
  </w:abstractNum>
  <w:abstractNum w:abstractNumId="143">
    <w:nsid w:val="19A52566"/>
    <w:multiLevelType w:val="hybridMultilevel"/>
    <w:lvl w:ilvl="0">
      <w:lvlJc w:val="left"/>
      <w:lvlText w:val="(%1)"/>
      <w:numFmt w:val="decimal"/>
      <w:start w:val="1"/>
    </w:lvl>
  </w:abstractNum>
  <w:abstractNum w:abstractNumId="144">
    <w:nsid w:val="335A1DF1"/>
    <w:multiLevelType w:val="hybridMultilevel"/>
    <w:lvl w:ilvl="0">
      <w:lvlJc w:val="left"/>
      <w:lvlText w:val="(%1)"/>
      <w:numFmt w:val="decimal"/>
      <w:start w:val="1"/>
    </w:lvl>
  </w:abstractNum>
  <w:abstractNum w:abstractNumId="145">
    <w:nsid w:val="28677B7C"/>
    <w:multiLevelType w:val="hybridMultilevel"/>
    <w:lvl w:ilvl="0">
      <w:lvlJc w:val="left"/>
      <w:lvlText w:val="(%1)"/>
      <w:numFmt w:val="decimal"/>
      <w:start w:val="1"/>
    </w:lvl>
  </w:abstractNum>
  <w:abstractNum w:abstractNumId="146">
    <w:nsid w:val="378D97C0"/>
    <w:multiLevelType w:val="hybridMultilevel"/>
    <w:lvl w:ilvl="0">
      <w:lvlJc w:val="left"/>
      <w:lvlText w:val="(%1)"/>
      <w:numFmt w:val="decimal"/>
      <w:start w:val="1"/>
    </w:lvl>
  </w:abstractNum>
  <w:abstractNum w:abstractNumId="147">
    <w:nsid w:val="1D91467C"/>
    <w:multiLevelType w:val="hybridMultilevel"/>
    <w:lvl w:ilvl="0">
      <w:lvlJc w:val="left"/>
      <w:lvlText w:val="(%1)"/>
      <w:numFmt w:val="decimal"/>
      <w:start w:val="1"/>
    </w:lvl>
  </w:abstractNum>
  <w:abstractNum w:abstractNumId="148">
    <w:nsid w:val="316032BB"/>
    <w:multiLevelType w:val="hybridMultilevel"/>
    <w:lvl w:ilvl="0">
      <w:lvlJc w:val="left"/>
      <w:lvlText w:val="(%1)"/>
      <w:numFmt w:val="decimal"/>
      <w:start w:val="1"/>
    </w:lvl>
    <w:lvl w:ilvl="1">
      <w:lvlJc w:val="left"/>
      <w:lvlText w:val="(%2)"/>
      <w:numFmt w:val="lowerLetter"/>
      <w:start w:val="1"/>
    </w:lvl>
  </w:abstractNum>
  <w:abstractNum w:abstractNumId="149">
    <w:nsid w:val="44344C22"/>
    <w:multiLevelType w:val="hybridMultilevel"/>
    <w:lvl w:ilvl="0">
      <w:lvlJc w:val="left"/>
      <w:lvlText w:val="(%1)"/>
      <w:numFmt w:val="decimal"/>
      <w:start w:val="5"/>
    </w:lvl>
  </w:abstractNum>
  <w:abstractNum w:abstractNumId="150">
    <w:nsid w:val="13CDFCFC"/>
    <w:multiLevelType w:val="hybridMultilevel"/>
    <w:lvl w:ilvl="0">
      <w:lvlJc w:val="left"/>
      <w:lvlText w:val="(%1)"/>
      <w:numFmt w:val="decimal"/>
      <w:start w:val="7"/>
    </w:lvl>
  </w:abstractNum>
  <w:abstractNum w:abstractNumId="151">
    <w:nsid w:val="471745E4"/>
    <w:multiLevelType w:val="hybridMultilevel"/>
    <w:lvl w:ilvl="0">
      <w:lvlJc w:val="left"/>
      <w:lvlText w:val="(%1)"/>
      <w:numFmt w:val="decimal"/>
      <w:start w:val="1"/>
    </w:lvl>
  </w:abstractNum>
  <w:abstractNum w:abstractNumId="152">
    <w:nsid w:val="1DDBC66"/>
    <w:multiLevelType w:val="hybridMultilevel"/>
    <w:lvl w:ilvl="0">
      <w:lvlJc w:val="left"/>
      <w:lvlText w:val="(%1)"/>
      <w:numFmt w:val="decimal"/>
      <w:start w:val="1"/>
    </w:lvl>
  </w:abstractNum>
  <w:abstractNum w:abstractNumId="153">
    <w:nsid w:val="30AADFDA"/>
    <w:multiLevelType w:val="hybridMultilevel"/>
    <w:lvl w:ilvl="0">
      <w:lvlJc w:val="left"/>
      <w:lvlText w:val="(%1)"/>
      <w:numFmt w:val="decimal"/>
      <w:start w:val="1"/>
    </w:lvl>
  </w:abstractNum>
  <w:abstractNum w:abstractNumId="154">
    <w:nsid w:val="30EADA61"/>
    <w:multiLevelType w:val="hybridMultilevel"/>
    <w:lvl w:ilvl="0">
      <w:lvlJc w:val="left"/>
      <w:lvlText w:val="(%1)"/>
      <w:numFmt w:val="decimal"/>
      <w:start w:val="2"/>
    </w:lvl>
  </w:abstractNum>
  <w:abstractNum w:abstractNumId="155">
    <w:nsid w:val="27179C0B"/>
    <w:multiLevelType w:val="hybridMultilevel"/>
    <w:lvl w:ilvl="0">
      <w:lvlJc w:val="left"/>
      <w:lvlText w:val="(%1)"/>
      <w:numFmt w:val="decimal"/>
      <w:start w:val="1"/>
    </w:lvl>
  </w:abstractNum>
  <w:abstractNum w:abstractNumId="156">
    <w:nsid w:val="5E636063"/>
    <w:multiLevelType w:val="hybridMultilevel"/>
    <w:lvl w:ilvl="0">
      <w:lvlJc w:val="left"/>
      <w:lvlText w:val="(%1)"/>
      <w:numFmt w:val="decimal"/>
      <w:start w:val="1"/>
    </w:lvl>
  </w:abstractNum>
  <w:abstractNum w:abstractNumId="157">
    <w:nsid w:val="215641AF"/>
    <w:multiLevelType w:val="hybridMultilevel"/>
    <w:lvl w:ilvl="0">
      <w:lvlJc w:val="left"/>
      <w:lvlText w:val="(%1)"/>
      <w:numFmt w:val="decimal"/>
      <w:start w:val="6"/>
    </w:lvl>
  </w:abstractNum>
  <w:abstractNum w:abstractNumId="158">
    <w:nsid w:val="53280662"/>
    <w:multiLevelType w:val="hybridMultilevel"/>
    <w:lvl w:ilvl="0">
      <w:lvlJc w:val="left"/>
      <w:lvlText w:val="(%1)"/>
      <w:numFmt w:val="decimal"/>
      <w:start w:val="1"/>
    </w:lvl>
    <w:lvl w:ilvl="1">
      <w:lvlJc w:val="left"/>
      <w:lvlText w:val="(%2)"/>
      <w:numFmt w:val="lowerLetter"/>
      <w:start w:val="1"/>
    </w:lvl>
  </w:abstractNum>
  <w:abstractNum w:abstractNumId="159">
    <w:nsid w:val="46B24DBC"/>
    <w:multiLevelType w:val="hybridMultilevel"/>
    <w:lvl w:ilvl="0">
      <w:lvlJc w:val="left"/>
      <w:lvlText w:val="(%1)"/>
      <w:numFmt w:val="decimal"/>
      <w:start w:val="1"/>
    </w:lvl>
  </w:abstractNum>
  <w:abstractNum w:abstractNumId="160">
    <w:nsid w:val="75B52783"/>
    <w:multiLevelType w:val="hybridMultilevel"/>
    <w:lvl w:ilvl="0">
      <w:lvlJc w:val="left"/>
      <w:lvlText w:val="(%1)"/>
      <w:numFmt w:val="decimal"/>
      <w:start w:val="2"/>
    </w:lvl>
  </w:abstractNum>
  <w:abstractNum w:abstractNumId="161">
    <w:nsid w:val="57CE66B4"/>
    <w:multiLevelType w:val="hybridMultilevel"/>
    <w:lvl w:ilvl="0">
      <w:lvlJc w:val="left"/>
      <w:lvlText w:val="(%1)"/>
      <w:numFmt w:val="decimal"/>
      <w:start w:val="8"/>
    </w:lvl>
  </w:abstractNum>
  <w:abstractNum w:abstractNumId="162">
    <w:nsid w:val="67A70B69"/>
    <w:multiLevelType w:val="hybridMultilevel"/>
    <w:lvl w:ilvl="0">
      <w:lvlJc w:val="left"/>
      <w:lvlText w:val="(%1)"/>
      <w:numFmt w:val="decimal"/>
      <w:start w:val="1"/>
    </w:lvl>
  </w:abstractNum>
  <w:abstractNum w:abstractNumId="163">
    <w:nsid w:val="5953172F"/>
    <w:multiLevelType w:val="hybridMultilevel"/>
    <w:lvl w:ilvl="0">
      <w:lvlJc w:val="left"/>
      <w:lvlText w:val="(%1)"/>
      <w:numFmt w:val="decimal"/>
      <w:start w:val="1"/>
    </w:lvl>
    <w:lvl w:ilvl="1">
      <w:lvlJc w:val="left"/>
      <w:lvlText w:val="(%2)"/>
      <w:numFmt w:val="lowerLetter"/>
      <w:start w:val="1"/>
    </w:lvl>
  </w:abstractNum>
  <w:abstractNum w:abstractNumId="164">
    <w:nsid w:val="27EDFE3A"/>
    <w:multiLevelType w:val="hybridMultilevel"/>
    <w:lvl w:ilvl="0">
      <w:lvlJc w:val="left"/>
      <w:lvlText w:val="(%1)"/>
      <w:numFmt w:val="decimal"/>
      <w:start w:val="1"/>
    </w:lvl>
  </w:abstractNum>
  <w:abstractNum w:abstractNumId="165">
    <w:nsid w:val="52AC7DFF"/>
    <w:multiLevelType w:val="hybridMultilevel"/>
    <w:lvl w:ilvl="0">
      <w:lvlJc w:val="left"/>
      <w:lvlText w:val="(%1)"/>
      <w:numFmt w:val="decimal"/>
      <w:start w:val="1"/>
    </w:lvl>
  </w:abstractNum>
  <w:abstractNum w:abstractNumId="166">
    <w:nsid w:val="C4C3AF"/>
    <w:multiLevelType w:val="hybridMultilevel"/>
    <w:lvl w:ilvl="0">
      <w:lvlJc w:val="left"/>
      <w:lvlText w:val="(%1)"/>
      <w:numFmt w:val="decimal"/>
      <w:start w:val="3"/>
    </w:lvl>
  </w:abstractNum>
  <w:abstractNum w:abstractNumId="167">
    <w:nsid w:val="44380727"/>
    <w:multiLevelType w:val="hybridMultilevel"/>
    <w:lvl w:ilvl="0">
      <w:lvlJc w:val="left"/>
      <w:lvlText w:val="(%1)"/>
      <w:numFmt w:val="decimal"/>
      <w:start w:val="1"/>
    </w:lvl>
  </w:abstractNum>
  <w:abstractNum w:abstractNumId="168">
    <w:nsid w:val="6C053B16"/>
    <w:multiLevelType w:val="hybridMultilevel"/>
    <w:lvl w:ilvl="0">
      <w:lvlJc w:val="left"/>
      <w:lvlText w:val="(%1)"/>
      <w:numFmt w:val="decimal"/>
      <w:start w:val="1"/>
    </w:lvl>
  </w:abstractNum>
  <w:abstractNum w:abstractNumId="169">
    <w:nsid w:val="4F294393"/>
    <w:multiLevelType w:val="hybridMultilevel"/>
    <w:lvl w:ilvl="0">
      <w:lvlJc w:val="left"/>
      <w:lvlText w:val="(%1)"/>
      <w:numFmt w:val="decimal"/>
      <w:start w:val="1"/>
    </w:lvl>
  </w:abstractNum>
  <w:abstractNum w:abstractNumId="170">
    <w:nsid w:val="5243BFAC"/>
    <w:multiLevelType w:val="hybridMultilevel"/>
    <w:lvl w:ilvl="0">
      <w:lvlJc w:val="left"/>
      <w:lvlText w:val="(%1)"/>
      <w:numFmt w:val="decimal"/>
      <w:start w:val="1"/>
    </w:lvl>
  </w:abstractNum>
  <w:abstractNum w:abstractNumId="171">
    <w:nsid w:val="425EB207"/>
    <w:multiLevelType w:val="hybridMultilevel"/>
    <w:lvl w:ilvl="0">
      <w:lvlJc w:val="left"/>
      <w:lvlText w:val="(%1)"/>
      <w:numFmt w:val="decimal"/>
      <w:start w:val="1"/>
    </w:lvl>
  </w:abstractNum>
  <w:abstractNum w:abstractNumId="172">
    <w:nsid w:val="334A6F1F"/>
    <w:multiLevelType w:val="hybridMultilevel"/>
    <w:lvl w:ilvl="0">
      <w:lvlJc w:val="left"/>
      <w:lvlText w:val="(%1)"/>
      <w:numFmt w:val="decimal"/>
      <w:start w:val="1"/>
    </w:lvl>
  </w:abstractNum>
  <w:abstractNum w:abstractNumId="173">
    <w:nsid w:val="2E5B12B8"/>
    <w:multiLevelType w:val="hybridMultilevel"/>
    <w:lvl w:ilvl="0">
      <w:lvlJc w:val="left"/>
      <w:lvlText w:val="(%1)"/>
      <w:numFmt w:val="decimal"/>
      <w:start w:val="1"/>
    </w:lvl>
  </w:abstractNum>
  <w:abstractNum w:abstractNumId="174">
    <w:nsid w:val="5C03D76D"/>
    <w:multiLevelType w:val="hybridMultilevel"/>
    <w:lvl w:ilvl="0">
      <w:lvlJc w:val="left"/>
      <w:lvlText w:val="(%1)"/>
      <w:numFmt w:val="decimal"/>
      <w:start w:val="1"/>
    </w:lvl>
  </w:abstractNum>
  <w:abstractNum w:abstractNumId="175">
    <w:nsid w:val="66A48D11"/>
    <w:multiLevelType w:val="hybridMultilevel"/>
    <w:lvl w:ilvl="0">
      <w:lvlJc w:val="left"/>
      <w:lvlText w:val="•"/>
      <w:numFmt w:val="bullet"/>
      <w:start w:val="1"/>
    </w:lvl>
  </w:abstractNum>
  <w:abstractNum w:abstractNumId="176">
    <w:nsid w:val="56C28E34"/>
    <w:multiLevelType w:val="hybridMultilevel"/>
    <w:lvl w:ilvl="0">
      <w:lvlJc w:val="left"/>
      <w:lvlText w:val="•"/>
      <w:numFmt w:val="bullet"/>
      <w:start w:val="1"/>
    </w:lvl>
  </w:abstractNum>
  <w:abstractNum w:abstractNumId="177">
    <w:nsid w:val="13916F2D"/>
    <w:multiLevelType w:val="hybridMultilevel"/>
    <w:lvl w:ilvl="0">
      <w:lvlJc w:val="left"/>
      <w:lvlText w:val="•"/>
      <w:numFmt w:val="bullet"/>
      <w:start w:val="1"/>
    </w:lvl>
  </w:abstractNum>
  <w:abstractNum w:abstractNumId="178">
    <w:nsid w:val="435D38D"/>
    <w:multiLevelType w:val="hybridMultilevel"/>
    <w:lvl w:ilvl="0">
      <w:lvlJc w:val="left"/>
      <w:lvlText w:val="(%1)"/>
      <w:numFmt w:val="decimal"/>
      <w:start w:val="1"/>
    </w:lvl>
    <w:lvl w:ilvl="1">
      <w:lvlJc w:val="left"/>
      <w:lvlText w:val="(%2)"/>
      <w:numFmt w:val="lowerLetter"/>
      <w:start w:val="1"/>
    </w:lvl>
  </w:abstractNum>
  <w:abstractNum w:abstractNumId="179">
    <w:nsid w:val="822C0EF"/>
    <w:multiLevelType w:val="hybridMultilevel"/>
    <w:lvl w:ilvl="0">
      <w:lvlJc w:val="left"/>
      <w:lvlText w:val="(%1)"/>
      <w:numFmt w:val="decimal"/>
      <w:start w:val="1"/>
    </w:lvl>
  </w:abstractNum>
  <w:abstractNum w:abstractNumId="180">
    <w:nsid w:val="57C5BB4F"/>
    <w:multiLevelType w:val="hybridMultilevel"/>
    <w:lvl w:ilvl="0">
      <w:lvlJc w:val="left"/>
      <w:lvlText w:val="(%1)"/>
      <w:numFmt w:val="decimal"/>
      <w:start w:val="1"/>
    </w:lvl>
  </w:abstractNum>
  <w:abstractNum w:abstractNumId="181">
    <w:nsid w:val="1803D089"/>
    <w:multiLevelType w:val="hybridMultilevel"/>
    <w:lvl w:ilvl="0">
      <w:lvlJc w:val="left"/>
      <w:lvlText w:val="(%1)"/>
      <w:numFmt w:val="decimal"/>
      <w:start w:val="3"/>
    </w:lvl>
  </w:abstractNum>
  <w:abstractNum w:abstractNumId="182">
    <w:nsid w:val="4F3A06D4"/>
    <w:multiLevelType w:val="hybridMultilevel"/>
    <w:lvl w:ilvl="0">
      <w:lvlJc w:val="left"/>
      <w:lvlText w:val="(%1)"/>
      <w:numFmt w:val="decimal"/>
      <w:start w:val="1"/>
    </w:lvl>
  </w:abstractNum>
  <w:abstractNum w:abstractNumId="183">
    <w:nsid w:val="59A377B6"/>
    <w:multiLevelType w:val="hybridMultilevel"/>
    <w:lvl w:ilvl="0">
      <w:lvlJc w:val="left"/>
      <w:lvlText w:val="(%1)"/>
      <w:numFmt w:val="decimal"/>
      <w:start w:val="1"/>
    </w:lvl>
  </w:abstractNum>
  <w:abstractNum w:abstractNumId="184">
    <w:nsid w:val="48AEB063"/>
    <w:multiLevelType w:val="hybridMultilevel"/>
    <w:lvl w:ilvl="0">
      <w:lvlJc w:val="left"/>
      <w:lvlText w:val="(%1)"/>
      <w:numFmt w:val="decimal"/>
      <w:start w:val="1"/>
    </w:lvl>
  </w:abstractNum>
  <w:abstractNum w:abstractNumId="185">
    <w:nsid w:val="24E135"/>
    <w:multiLevelType w:val="hybridMultilevel"/>
    <w:lvl w:ilvl="0">
      <w:lvlJc w:val="left"/>
      <w:lvlText w:val="(%1)"/>
      <w:numFmt w:val="decimal"/>
      <w:start w:val="1"/>
    </w:lvl>
  </w:abstractNum>
  <w:abstractNum w:abstractNumId="186">
    <w:nsid w:val="BB13C1"/>
    <w:multiLevelType w:val="hybridMultilevel"/>
    <w:lvl w:ilvl="0">
      <w:lvlJc w:val="left"/>
      <w:lvlText w:val="(%1)"/>
      <w:numFmt w:val="decimal"/>
      <w:start w:val="6"/>
    </w:lvl>
  </w:abstractNum>
  <w:abstractNum w:abstractNumId="187">
    <w:nsid w:val="271210C7"/>
    <w:multiLevelType w:val="hybridMultilevel"/>
    <w:lvl w:ilvl="0">
      <w:lvlJc w:val="left"/>
      <w:lvlText w:val="(%1)"/>
      <w:numFmt w:val="decimal"/>
      <w:start w:val="1"/>
    </w:lvl>
    <w:lvl w:ilvl="1">
      <w:lvlJc w:val="left"/>
      <w:lvlText w:val="(%2)"/>
      <w:numFmt w:val="lowerLetter"/>
      <w:start w:val="1"/>
    </w:lvl>
  </w:abstractNum>
  <w:abstractNum w:abstractNumId="188">
    <w:nsid w:val="217B22E4"/>
    <w:multiLevelType w:val="hybridMultilevel"/>
    <w:lvl w:ilvl="0">
      <w:lvlJc w:val="left"/>
      <w:lvlText w:val="(%1)"/>
      <w:numFmt w:val="decimal"/>
      <w:start w:val="5"/>
    </w:lvl>
  </w:abstractNum>
  <w:abstractNum w:abstractNumId="189">
    <w:nsid w:val="53E31A24"/>
    <w:multiLevelType w:val="hybridMultilevel"/>
    <w:lvl w:ilvl="0">
      <w:lvlJc w:val="left"/>
      <w:lvlText w:val="(%1)"/>
      <w:numFmt w:val="decimal"/>
      <w:start w:val="1"/>
    </w:lvl>
  </w:abstractNum>
  <w:abstractNum w:abstractNumId="190">
    <w:nsid w:val="6DC45E83"/>
    <w:multiLevelType w:val="hybridMultilevel"/>
    <w:lvl w:ilvl="0">
      <w:lvlJc w:val="left"/>
      <w:lvlText w:val="(%1)"/>
      <w:numFmt w:val="decimal"/>
      <w:start w:val="1"/>
    </w:lvl>
  </w:abstractNum>
  <w:abstractNum w:abstractNumId="191">
    <w:nsid w:val="17304A67"/>
    <w:multiLevelType w:val="hybridMultilevel"/>
    <w:lvl w:ilvl="0">
      <w:lvlJc w:val="left"/>
      <w:lvlText w:val="(%1)"/>
      <w:numFmt w:val="decimal"/>
      <w:start w:val="1"/>
    </w:lvl>
  </w:abstractNum>
  <w:abstractNum w:abstractNumId="192">
    <w:nsid w:val="2BB180D8"/>
    <w:multiLevelType w:val="hybridMultilevel"/>
    <w:lvl w:ilvl="0">
      <w:lvlJc w:val="left"/>
      <w:lvlText w:val="(%1)"/>
      <w:numFmt w:val="decimal"/>
      <w:start w:val="1"/>
    </w:lvl>
  </w:abstractNum>
  <w:abstractNum w:abstractNumId="193">
    <w:nsid w:val="556B69ED"/>
    <w:multiLevelType w:val="hybridMultilevel"/>
    <w:lvl w:ilvl="0">
      <w:lvlJc w:val="left"/>
      <w:lvlText w:val="(%1)"/>
      <w:numFmt w:val="decimal"/>
      <w:start w:val="1"/>
    </w:lvl>
  </w:abstractNum>
  <w:abstractNum w:abstractNumId="194">
    <w:nsid w:val="70836196"/>
    <w:multiLevelType w:val="hybridMultilevel"/>
    <w:lvl w:ilvl="0">
      <w:lvlJc w:val="left"/>
      <w:lvlText w:val="(%1)"/>
      <w:numFmt w:val="decimal"/>
      <w:start w:val="1"/>
    </w:lvl>
    <w:lvl w:ilvl="1">
      <w:lvlJc w:val="left"/>
      <w:lvlText w:val="(%2)"/>
      <w:numFmt w:val="lowerLetter"/>
      <w:start w:val="1"/>
    </w:lvl>
  </w:abstractNum>
  <w:abstractNum w:abstractNumId="195">
    <w:nsid w:val="539F7F12"/>
    <w:multiLevelType w:val="hybridMultilevel"/>
    <w:lvl w:ilvl="0">
      <w:lvlJc w:val="left"/>
      <w:lvlText w:val="(%1)"/>
      <w:numFmt w:val="decimal"/>
      <w:start w:val="1"/>
    </w:lvl>
  </w:abstractNum>
  <w:abstractNum w:abstractNumId="196">
    <w:nsid w:val="2817E7EC"/>
    <w:multiLevelType w:val="hybridMultilevel"/>
    <w:lvl w:ilvl="0">
      <w:lvlJc w:val="left"/>
      <w:lvlText w:val="(%1)"/>
      <w:numFmt w:val="decimal"/>
      <w:start w:val="2"/>
    </w:lvl>
  </w:abstractNum>
  <w:abstractNum w:abstractNumId="197">
    <w:nsid w:val="71482545"/>
    <w:multiLevelType w:val="hybridMultilevel"/>
    <w:lvl w:ilvl="0">
      <w:lvlJc w:val="left"/>
      <w:lvlText w:val="(%1)"/>
      <w:numFmt w:val="decimal"/>
      <w:start w:val="8"/>
    </w:lvl>
  </w:abstractNum>
  <w:abstractNum w:abstractNumId="198">
    <w:nsid w:val="17D78639"/>
    <w:multiLevelType w:val="hybridMultilevel"/>
    <w:lvl w:ilvl="0">
      <w:lvlJc w:val="left"/>
      <w:lvlText w:val="(%1)"/>
      <w:numFmt w:val="decimal"/>
      <w:start w:val="1"/>
    </w:lvl>
  </w:abstractNum>
  <w:abstractNum w:abstractNumId="199">
    <w:nsid w:val="141D2302"/>
    <w:multiLevelType w:val="hybridMultilevel"/>
    <w:lvl w:ilvl="0">
      <w:lvlJc w:val="left"/>
      <w:lvlText w:val="(%1)"/>
      <w:numFmt w:val="decimal"/>
      <w:start w:val="1"/>
    </w:lvl>
    <w:lvl w:ilvl="1">
      <w:lvlJc w:val="left"/>
      <w:lvlText w:val="(%2)"/>
      <w:numFmt w:val="lowerLetter"/>
      <w:start w:val="1"/>
    </w:lvl>
  </w:abstractNum>
  <w:abstractNum w:abstractNumId="200">
    <w:nsid w:val="407168D8"/>
    <w:multiLevelType w:val="hybridMultilevel"/>
    <w:lvl w:ilvl="0">
      <w:lvlJc w:val="left"/>
      <w:lvlText w:val="(%1)"/>
      <w:numFmt w:val="decimal"/>
      <w:start w:val="1"/>
    </w:lvl>
  </w:abstractNum>
  <w:abstractNum w:abstractNumId="201">
    <w:nsid w:val="6A1B45E5"/>
    <w:multiLevelType w:val="hybridMultilevel"/>
    <w:lvl w:ilvl="0">
      <w:lvlJc w:val="left"/>
      <w:lvlText w:val="(%1)"/>
      <w:numFmt w:val="decimal"/>
      <w:start w:val="1"/>
    </w:lvl>
  </w:abstractNum>
  <w:abstractNum w:abstractNumId="202">
    <w:nsid w:val="567BD50A"/>
    <w:multiLevelType w:val="hybridMultilevel"/>
    <w:lvl w:ilvl="0">
      <w:lvlJc w:val="left"/>
      <w:lvlText w:val="(%1)"/>
      <w:numFmt w:val="decimal"/>
      <w:start w:val="1"/>
    </w:lvl>
  </w:abstractNum>
  <w:abstractNum w:abstractNumId="203">
    <w:nsid w:val="73BBD7F8"/>
    <w:multiLevelType w:val="hybridMultilevel"/>
    <w:lvl w:ilvl="0">
      <w:lvlJc w:val="left"/>
      <w:lvlText w:val="(%1)"/>
      <w:numFmt w:val="decimal"/>
      <w:start w:val="1"/>
    </w:lvl>
  </w:abstractNum>
  <w:abstractNum w:abstractNumId="204">
    <w:nsid w:val="1876589D"/>
    <w:multiLevelType w:val="hybridMultilevel"/>
    <w:lvl w:ilvl="0">
      <w:lvlJc w:val="left"/>
      <w:lvlText w:val="(%1)"/>
      <w:numFmt w:val="decimal"/>
      <w:start w:val="1"/>
    </w:lvl>
  </w:abstractNum>
  <w:abstractNum w:abstractNumId="205">
    <w:nsid w:val="327FAC77"/>
    <w:multiLevelType w:val="hybridMultilevel"/>
    <w:lvl w:ilvl="0">
      <w:lvlJc w:val="left"/>
      <w:lvlText w:val="(%1)"/>
      <w:numFmt w:val="decimal"/>
      <w:start w:val="1"/>
    </w:lvl>
  </w:abstractNum>
  <w:abstractNum w:abstractNumId="206">
    <w:nsid w:val="5A606509"/>
    <w:multiLevelType w:val="hybridMultilevel"/>
    <w:lvl w:ilvl="0">
      <w:lvlJc w:val="left"/>
      <w:lvlText w:val="(%1)"/>
      <w:numFmt w:val="decimal"/>
      <w:start w:val="1"/>
    </w:lvl>
  </w:abstractNum>
  <w:abstractNum w:abstractNumId="207">
    <w:nsid w:val="6F38E6D1"/>
    <w:multiLevelType w:val="hybridMultilevel"/>
    <w:lvl w:ilvl="0">
      <w:lvlJc w:val="left"/>
      <w:lvlText w:val="(%1)"/>
      <w:numFmt w:val="decimal"/>
      <w:start w:val="1"/>
    </w:lvl>
  </w:abstractNum>
  <w:abstractNum w:abstractNumId="208">
    <w:nsid w:val="46111BA5"/>
    <w:multiLevelType w:val="hybridMultilevel"/>
    <w:lvl w:ilvl="0">
      <w:lvlJc w:val="left"/>
      <w:lvlText w:val="(%1)"/>
      <w:numFmt w:val="decimal"/>
      <w:start w:val="1"/>
    </w:lvl>
  </w:abstractNum>
  <w:abstractNum w:abstractNumId="209">
    <w:nsid w:val="5E963896"/>
    <w:multiLevelType w:val="hybridMultilevel"/>
    <w:lvl w:ilvl="0">
      <w:lvlJc w:val="left"/>
      <w:lvlText w:val="(%1)"/>
      <w:numFmt w:val="decimal"/>
      <w:start w:val="1"/>
    </w:lvl>
  </w:abstractNum>
  <w:abstractNum w:abstractNumId="210">
    <w:nsid w:val="775BA7C1"/>
    <w:multiLevelType w:val="hybridMultilevel"/>
    <w:lvl w:ilvl="0">
      <w:lvlJc w:val="left"/>
      <w:lvlText w:val="%1."/>
      <w:numFmt w:val="upperLetter"/>
      <w:start w:val="1"/>
    </w:lvl>
  </w:abstractNum>
  <w:abstractNum w:abstractNumId="211">
    <w:nsid w:val="1DD6D6F4"/>
    <w:multiLevelType w:val="hybridMultilevel"/>
    <w:lvl w:ilvl="0">
      <w:lvlJc w:val="left"/>
      <w:lvlText w:val="%1."/>
      <w:numFmt w:val="upperLetter"/>
      <w:start w:val="6"/>
    </w:lvl>
  </w:abstractNum>
  <w:abstractNum w:abstractNumId="212">
    <w:nsid w:val="769A091F"/>
    <w:multiLevelType w:val="hybridMultilevel"/>
    <w:lvl w:ilvl="0">
      <w:lvlJc w:val="left"/>
      <w:lvlText w:val="(%1)"/>
      <w:numFmt w:val="lowerLetter"/>
      <w:start w:val="1"/>
    </w:lvl>
  </w:abstractNum>
  <w:abstractNum w:abstractNumId="213">
    <w:nsid w:val="4695AE95"/>
    <w:multiLevelType w:val="hybridMultilevel"/>
    <w:lvl w:ilvl="0">
      <w:lvlJc w:val="left"/>
      <w:lvlText w:val="(%1)"/>
      <w:numFmt w:val="lowerLetter"/>
      <w:start w:val="2"/>
    </w:lvl>
  </w:abstractNum>
  <w:abstractNum w:abstractNumId="214">
    <w:nsid w:val="777A4EAA"/>
    <w:multiLevelType w:val="hybridMultilevel"/>
    <w:lvl w:ilvl="0">
      <w:lvlJc w:val="left"/>
      <w:lvlText w:val="(%1)"/>
      <w:numFmt w:val="decimal"/>
      <w:start w:val="3"/>
    </w:lvl>
  </w:abstractNum>
  <w:abstractNum w:abstractNumId="215">
    <w:nsid w:val="3F48B982"/>
    <w:multiLevelType w:val="hybridMultilevel"/>
    <w:lvl w:ilvl="0">
      <w:lvlJc w:val="left"/>
      <w:lvlText w:val="(%1)"/>
      <w:numFmt w:val="lowerLetter"/>
      <w:start w:val="2"/>
    </w:lvl>
  </w:abstractNum>
  <w:abstractNum w:abstractNumId="216">
    <w:nsid w:val="46BA8FCA"/>
    <w:multiLevelType w:val="hybridMultilevel"/>
    <w:lvl w:ilvl="0">
      <w:lvlJc w:val="left"/>
      <w:lvlText w:val="(%1)"/>
      <w:numFmt w:val="lowerLetter"/>
      <w:start w:val="1"/>
    </w:lvl>
  </w:abstractNum>
  <w:abstractNum w:abstractNumId="217">
    <w:nsid w:val="7835626C"/>
    <w:multiLevelType w:val="hybridMultilevel"/>
    <w:lvl w:ilvl="0">
      <w:lvlJc w:val="left"/>
      <w:lvlText w:val="(%1)"/>
      <w:numFmt w:val="lowerLetter"/>
      <w:start w:val="2"/>
    </w:lvl>
  </w:abstractNum>
  <w:abstractNum w:abstractNumId="218">
    <w:nsid w:val="665ACA49"/>
    <w:multiLevelType w:val="hybridMultilevel"/>
    <w:lvl w:ilvl="0">
      <w:lvlJc w:val="left"/>
      <w:lvlText w:val="(%1)"/>
      <w:numFmt w:val="lowerLetter"/>
      <w:start w:val="3"/>
    </w:lvl>
  </w:abstractNum>
  <w:abstractNum w:abstractNumId="219">
    <w:nsid w:val="6835B2AE"/>
    <w:multiLevelType w:val="hybridMultilevel"/>
    <w:lvl w:ilvl="0">
      <w:lvlJc w:val="left"/>
      <w:lvlText w:val="(%1)"/>
      <w:numFmt w:val="lowerLetter"/>
      <w:start w:val="1"/>
    </w:lvl>
  </w:abstractNum>
  <w:abstractNum w:abstractNumId="220">
    <w:nsid w:val="4C187C90"/>
    <w:multiLevelType w:val="hybridMultilevel"/>
    <w:lvl w:ilvl="0">
      <w:lvlJc w:val="left"/>
      <w:lvlText w:val="[***]"/>
      <w:numFmt w:val="bullet"/>
      <w:start w:val="1"/>
    </w:lvl>
    <w:lvl w:ilvl="1">
      <w:lvlJc w:val="left"/>
      <w:lvlText w:val="(%2)"/>
      <w:numFmt w:val="lowerLetter"/>
      <w:start w:val="1"/>
    </w:lvl>
  </w:abstractNum>
  <w:abstractNum w:abstractNumId="221">
    <w:nsid w:val="541F28CD"/>
    <w:multiLevelType w:val="hybridMultilevel"/>
    <w:lvl w:ilvl="0">
      <w:lvlJc w:val="left"/>
      <w:lvlText w:val="[***]"/>
      <w:numFmt w:val="bullet"/>
      <w:start w:val="1"/>
    </w:lvl>
    <w:lvl w:ilvl="1">
      <w:lvlJc w:val="left"/>
      <w:lvlText w:val="(%2)"/>
      <w:numFmt w:val="lowerLetter"/>
      <w:start w:val="4"/>
    </w:lvl>
  </w:abstractNum>
  <w:abstractNum w:abstractNumId="222">
    <w:nsid w:val="7F65FD16"/>
    <w:multiLevelType w:val="hybridMultilevel"/>
    <w:lvl w:ilvl="0">
      <w:lvlJc w:val="left"/>
      <w:lvlText w:val="(%1)"/>
      <w:numFmt w:val="lowerLetter"/>
      <w:start w:val="7"/>
    </w:lvl>
  </w:abstractNum>
  <w:abstractNum w:abstractNumId="223">
    <w:nsid w:val="77C9FD68"/>
    <w:multiLevelType w:val="hybridMultilevel"/>
    <w:lvl w:ilvl="0">
      <w:lvlJc w:val="left"/>
      <w:lvlText w:val="(%1)"/>
      <w:numFmt w:val="lowerLetter"/>
      <w:start w:val="1"/>
    </w:lvl>
  </w:abstractNum>
  <w:abstractNum w:abstractNumId="224">
    <w:nsid w:val="298A92BA"/>
    <w:multiLevelType w:val="hybridMultilevel"/>
    <w:lvl w:ilvl="0">
      <w:lvlJc w:val="left"/>
      <w:lvlText w:val="(%1)"/>
      <w:numFmt w:val="lowerLetter"/>
      <w:start w:val="1"/>
    </w:lvl>
  </w:abstractNum>
  <w:abstractNum w:abstractNumId="225">
    <w:nsid w:val="6FE95EAC"/>
    <w:multiLevelType w:val="hybridMultilevel"/>
    <w:lvl w:ilvl="0">
      <w:lvlJc w:val="left"/>
      <w:lvlText w:val="(%1)"/>
      <w:numFmt w:val="lowerLetter"/>
      <w:start w:val="3"/>
    </w:lvl>
  </w:abstractNum>
  <w:abstractNum w:abstractNumId="226">
    <w:nsid w:val="4B697C7A"/>
    <w:multiLevelType w:val="hybridMultilevel"/>
    <w:lvl w:ilvl="0">
      <w:lvlJc w:val="left"/>
      <w:lvlText w:val="(%1)"/>
      <w:numFmt w:val="lowerLetter"/>
      <w:start w:val="1"/>
    </w:lvl>
  </w:abstractNum>
  <w:abstractNum w:abstractNumId="227">
    <w:nsid w:val="51A27AA6"/>
    <w:multiLevelType w:val="hybridMultilevel"/>
    <w:lvl w:ilvl="0">
      <w:lvlJc w:val="left"/>
      <w:lvlText w:val="(%1)"/>
      <w:numFmt w:val="lowerLetter"/>
      <w:start w:val="1"/>
    </w:lvl>
  </w:abstractNum>
  <w:abstractNum w:abstractNumId="228">
    <w:nsid w:val="613183F2"/>
    <w:multiLevelType w:val="hybridMultilevel"/>
    <w:lvl w:ilvl="0">
      <w:lvlJc w:val="left"/>
      <w:lvlText w:val="(%1)"/>
      <w:numFmt w:val="lowerLetter"/>
      <w:start w:val="4"/>
    </w:lvl>
  </w:abstractNum>
  <w:abstractNum w:abstractNumId="229">
    <w:nsid w:val="634102B4"/>
    <w:multiLevelType w:val="hybridMultilevel"/>
    <w:lvl w:ilvl="0">
      <w:lvlJc w:val="left"/>
      <w:lvlText w:val="(%1)"/>
      <w:numFmt w:val="lowerLetter"/>
      <w:start w:val="1"/>
    </w:lvl>
  </w:abstractNum>
  <w:abstractNum w:abstractNumId="230">
    <w:nsid w:val="65BF9DA8"/>
    <w:multiLevelType w:val="hybridMultilevel"/>
    <w:lvl w:ilvl="0">
      <w:lvlJc w:val="left"/>
      <w:lvlText w:val="(%1)"/>
      <w:numFmt w:val="lowerLetter"/>
      <w:start w:val="1"/>
    </w:lvl>
  </w:abstractNum>
  <w:abstractNum w:abstractNumId="231">
    <w:nsid w:val="21A2ECCA"/>
    <w:multiLevelType w:val="hybridMultilevel"/>
    <w:lvl w:ilvl="0">
      <w:lvlJc w:val="left"/>
      <w:lvlText w:val="(%1)"/>
      <w:numFmt w:val="lowerLetter"/>
      <w:start w:val="1"/>
    </w:lvl>
  </w:abstractNum>
  <w:abstractNum w:abstractNumId="232">
    <w:nsid w:val="4D5C48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3">
    <w:nsid w:val="3C3B72B2"/>
    <w:multiLevelType w:val="hybridMultilevel"/>
    <w:lvl w:ilvl="0">
      <w:lvlJc w:val="left"/>
      <w:lvlText w:val="%1"/>
      <w:numFmt w:val="lowerRoman"/>
      <w:start w:val="1"/>
    </w:lvl>
    <w:lvl w:ilvl="1">
      <w:lvlJc w:val="left"/>
      <w:lvlText w:val="(%2)"/>
      <w:numFmt w:val="upperLetter"/>
      <w:start w:val="2"/>
    </w:lvl>
  </w:abstractNum>
  <w:abstractNum w:abstractNumId="234">
    <w:nsid w:val="155EC4C2"/>
    <w:multiLevelType w:val="hybridMultilevel"/>
    <w:lvl w:ilvl="0">
      <w:lvlJc w:val="left"/>
      <w:lvlText w:val="(%1)"/>
      <w:numFmt w:val="lowerRoman"/>
      <w:start w:val="2"/>
    </w:lvl>
    <w:lvl w:ilvl="1">
      <w:lvlJc w:val="left"/>
      <w:lvlText w:val="(%2)"/>
      <w:numFmt w:val="upperLetter"/>
      <w:start w:val="1"/>
    </w:lvl>
  </w:abstractNum>
  <w:abstractNum w:abstractNumId="235">
    <w:nsid w:val="65D2A137"/>
    <w:multiLevelType w:val="hybridMultilevel"/>
    <w:lvl w:ilvl="0">
      <w:lvlJc w:val="left"/>
      <w:lvlText w:val="(%1)"/>
      <w:numFmt w:val="lowerRoman"/>
      <w:start w:val="4"/>
    </w:lvl>
    <w:lvl w:ilvl="1">
      <w:lvlJc w:val="left"/>
      <w:lvlText w:val="(%2)"/>
      <w:numFmt w:val="upperLetter"/>
      <w:start w:val="1"/>
    </w:lvl>
  </w:abstractNum>
  <w:abstractNum w:abstractNumId="236">
    <w:nsid w:val="6EBB1F2A"/>
    <w:multiLevelType w:val="hybridMultilevel"/>
    <w:lvl w:ilvl="0">
      <w:lvlJc w:val="left"/>
      <w:lvlText w:val="(%1)"/>
      <w:numFmt w:val="lowerLetter"/>
      <w:start w:val="3"/>
    </w:lvl>
  </w:abstractNum>
  <w:abstractNum w:abstractNumId="237">
    <w:nsid w:val="6FBF29CB"/>
    <w:multiLevelType w:val="hybridMultilevel"/>
    <w:lvl w:ilvl="0">
      <w:lvlJc w:val="left"/>
      <w:lvlText w:val="(%1)"/>
      <w:numFmt w:val="lowerLetter"/>
      <w:start w:val="1"/>
    </w:lvl>
  </w:abstractNum>
  <w:abstractNum w:abstractNumId="238">
    <w:nsid w:val="550B8808"/>
    <w:multiLevelType w:val="hybridMultilevel"/>
    <w:lvl w:ilvl="0">
      <w:lvlJc w:val="left"/>
      <w:lvlText w:val="%1"/>
      <w:numFmt w:val="upperLetter"/>
      <w:start w:val="1"/>
    </w:lvl>
    <w:lvl w:ilvl="1">
      <w:lvlJc w:val="left"/>
      <w:lvlText w:val="(%2)"/>
      <w:numFmt w:val="lowerRoman"/>
      <w:start w:val="1"/>
    </w:lvl>
  </w:abstractNum>
  <w:abstractNum w:abstractNumId="239">
    <w:nsid w:val="34CC3ACF"/>
    <w:multiLevelType w:val="hybridMultilevel"/>
    <w:lvl w:ilvl="0">
      <w:lvlJc w:val="left"/>
      <w:lvlText w:val="(%1)"/>
      <w:numFmt w:val="upperLetter"/>
      <w:start w:val="2"/>
    </w:lvl>
    <w:lvl w:ilvl="1">
      <w:lvlJc w:val="left"/>
      <w:lvlText w:val="(%2)"/>
      <w:numFmt w:val="lowerRoman"/>
      <w:start w:val="13"/>
    </w:lvl>
  </w:abstractNum>
  <w:abstractNum w:abstractNumId="240">
    <w:nsid w:val="4E556261"/>
    <w:multiLevelType w:val="hybridMultilevel"/>
    <w:lvl w:ilvl="0">
      <w:lvlJc w:val="left"/>
      <w:lvlText w:val="(%1)"/>
      <w:numFmt w:val="lowerRoman"/>
      <w:start w:val="14"/>
    </w:lvl>
  </w:abstractNum>
  <w:abstractNum w:abstractNumId="241">
    <w:nsid w:val="4C672FC9"/>
    <w:multiLevelType w:val="hybridMultilevel"/>
    <w:lvl w:ilvl="0">
      <w:lvlJc w:val="left"/>
      <w:lvlText w:val="%1"/>
      <w:numFmt w:val="lowerLetter"/>
      <w:start w:val="1"/>
    </w:lvl>
    <w:lvl w:ilvl="1">
      <w:lvlJc w:val="left"/>
      <w:lvlText w:val="(%2)"/>
      <w:numFmt w:val="lowerRoman"/>
      <w:start w:val="26"/>
    </w:lvl>
  </w:abstractNum>
  <w:abstractNum w:abstractNumId="242">
    <w:nsid w:val="52A311C3"/>
    <w:multiLevelType w:val="hybridMultilevel"/>
    <w:lvl w:ilvl="0">
      <w:lvlJc w:val="left"/>
      <w:lvlText w:val="(%1)"/>
      <w:numFmt w:val="lowerLetter"/>
      <w:start w:val="3"/>
    </w:lvl>
    <w:lvl w:ilvl="1">
      <w:lvlJc w:val="left"/>
      <w:lvlText w:val="%2"/>
      <w:numFmt w:val="lowerRoman"/>
      <w:start w:val="1"/>
    </w:lvl>
  </w:abstractNum>
  <w:abstractNum w:abstractNumId="243">
    <w:nsid w:val="44EF6B80"/>
    <w:multiLevelType w:val="hybridMultilevel"/>
    <w:lvl w:ilvl="0">
      <w:lvlJc w:val="left"/>
      <w:lvlText w:val="%1"/>
      <w:numFmt w:val="decimal"/>
      <w:start w:val="1"/>
    </w:lvl>
    <w:lvl w:ilvl="1">
      <w:lvlJc w:val="left"/>
      <w:lvlText w:val="(%2)"/>
      <w:numFmt w:val="lowerLetter"/>
      <w:start w:val="1"/>
    </w:lvl>
  </w:abstractNum>
  <w:abstractNum w:abstractNumId="244">
    <w:nsid w:val="12FCDE5E"/>
    <w:multiLevelType w:val="hybridMultilevel"/>
    <w:lvl w:ilvl="0">
      <w:lvlJc w:val="left"/>
      <w:lvlText w:val="(%1)"/>
      <w:numFmt w:val="decimal"/>
      <w:start w:val="3"/>
    </w:lvl>
    <w:lvl w:ilvl="1">
      <w:lvlJc w:val="left"/>
      <w:lvlText w:val="%2"/>
      <w:numFmt w:val="lowerLetter"/>
      <w:start w:val="1"/>
    </w:lvl>
  </w:abstractNum>
  <w:abstractNum w:abstractNumId="245">
    <w:nsid w:val="4A1D606E"/>
    <w:multiLevelType w:val="hybridMultilevel"/>
    <w:lvl w:ilvl="0">
      <w:lvlJc w:val="left"/>
      <w:lvlText w:val="%1"/>
      <w:numFmt w:val="lowerLetter"/>
      <w:start w:val="1"/>
    </w:lvl>
    <w:lvl w:ilvl="1">
      <w:lvlJc w:val="left"/>
      <w:lvlText w:val="(%2)"/>
      <w:numFmt w:val="lowerLetter"/>
      <w:start w:val="1"/>
    </w:lvl>
  </w:abstractNum>
  <w:abstractNum w:abstractNumId="246">
    <w:nsid w:val="4382503"/>
    <w:multiLevelType w:val="hybridMultilevel"/>
    <w:lvl w:ilvl="0">
      <w:lvlJc w:val="left"/>
      <w:lvlText w:val="(%1)"/>
      <w:numFmt w:val="lowerLetter"/>
      <w:start w:val="9"/>
    </w:lvl>
    <w:lvl w:ilvl="1">
      <w:lvlJc w:val="left"/>
      <w:lvlText w:val="(%2)"/>
      <w:numFmt w:val="lowerLetter"/>
      <w:start w:val="3"/>
    </w:lvl>
  </w:abstractNum>
  <w:abstractNum w:abstractNumId="247">
    <w:nsid w:val="59B76E28"/>
    <w:multiLevelType w:val="hybridMultilevel"/>
    <w:lvl w:ilvl="0">
      <w:lvlJc w:val="left"/>
      <w:lvlText w:val="(%1)"/>
      <w:numFmt w:val="lowerLetter"/>
      <w:start w:val="1"/>
    </w:lvl>
  </w:abstractNum>
  <w:abstractNum w:abstractNumId="248">
    <w:nsid w:val="4252C2DA"/>
    <w:multiLevelType w:val="hybridMultilevel"/>
    <w:lvl w:ilvl="0">
      <w:lvlJc w:val="left"/>
      <w:lvlText w:val="%1"/>
      <w:numFmt w:val="decimal"/>
      <w:start w:val="1"/>
    </w:lvl>
    <w:lvl w:ilvl="1">
      <w:lvlJc w:val="left"/>
      <w:lvlText w:val="(%2)"/>
      <w:numFmt w:val="lowerLetter"/>
      <w:start w:val="1"/>
    </w:lvl>
  </w:abstractNum>
  <w:abstractNum w:abstractNumId="249">
    <w:nsid w:val="6A92EF4C"/>
    <w:multiLevelType w:val="hybridMultilevel"/>
    <w:lvl w:ilvl="0">
      <w:lvlJc w:val="left"/>
      <w:lvlText w:val="(%1)"/>
      <w:numFmt w:val="decimal"/>
      <w:start w:val="2"/>
    </w:lvl>
    <w:lvl w:ilvl="1">
      <w:lvlJc w:val="left"/>
      <w:lvlText w:val="(%2)"/>
      <w:numFmt w:val="lowerLetter"/>
      <w:start w:val="2"/>
    </w:lvl>
  </w:abstractNum>
  <w:abstractNum w:abstractNumId="250">
    <w:nsid w:val="41ED20D7"/>
    <w:multiLevelType w:val="hybridMultilevel"/>
    <w:lvl w:ilvl="0">
      <w:lvlJc w:val="left"/>
      <w:lvlText w:val="(%1)"/>
      <w:numFmt w:val="lowerLetter"/>
      <w:start w:val="3"/>
    </w:lvl>
  </w:abstractNum>
  <w:abstractNum w:abstractNumId="251">
    <w:nsid w:val="E6B3F6A"/>
    <w:multiLevelType w:val="hybridMultilevel"/>
    <w:lvl w:ilvl="0">
      <w:lvlJc w:val="left"/>
      <w:lvlText w:val="(%1)"/>
      <w:numFmt w:val="lowerLetter"/>
      <w:start w:val="1"/>
    </w:lvl>
  </w:abstractNum>
  <w:abstractNum w:abstractNumId="252">
    <w:nsid w:val="3EB21819"/>
    <w:multiLevelType w:val="hybridMultilevel"/>
    <w:lvl w:ilvl="0">
      <w:lvlJc w:val="left"/>
      <w:lvlText w:val="%1"/>
      <w:numFmt w:val="decimal"/>
      <w:start w:val="1"/>
    </w:lvl>
    <w:lvl w:ilvl="1">
      <w:lvlJc w:val="left"/>
      <w:lvlText w:val="(%2)"/>
      <w:numFmt w:val="lowerLetter"/>
      <w:start w:val="1"/>
    </w:lvl>
  </w:abstractNum>
  <w:abstractNum w:abstractNumId="253">
    <w:nsid w:val="41531DED"/>
    <w:multiLevelType w:val="hybridMultilevel"/>
    <w:lvl w:ilvl="0">
      <w:lvlJc w:val="left"/>
      <w:lvlText w:val="(%1)"/>
      <w:numFmt w:val="decimal"/>
      <w:start w:val="1"/>
    </w:lvl>
    <w:lvl w:ilvl="1">
      <w:lvlJc w:val="left"/>
      <w:lvlText w:val="(%2)"/>
      <w:numFmt w:val="lowerLetter"/>
      <w:start w:val="2"/>
    </w:lvl>
  </w:abstractNum>
  <w:abstractNum w:abstractNumId="254">
    <w:nsid w:val="6353CD2"/>
    <w:multiLevelType w:val="hybridMultilevel"/>
    <w:lvl w:ilvl="0">
      <w:lvlJc w:val="left"/>
      <w:lvlText w:val="(%1)"/>
      <w:numFmt w:val="lowerLetter"/>
      <w:start w:val="3"/>
    </w:lvl>
  </w:abstractNum>
  <w:abstractNum w:abstractNumId="255">
    <w:nsid w:val="683CAAD3"/>
    <w:multiLevelType w:val="hybridMultilevel"/>
    <w:lvl w:ilvl="0">
      <w:lvlJc w:val="left"/>
      <w:lvlText w:val="(%1)"/>
      <w:numFmt w:val="lowerLetter"/>
      <w:start w:val="1"/>
    </w:lvl>
    <w:lvl w:ilvl="1">
      <w:lvlJc w:val="left"/>
      <w:lvlText w:val="(%2)"/>
      <w:numFmt w:val="lowerRoman"/>
      <w:start w:val="1"/>
    </w:lvl>
  </w:abstractNum>
  <w:abstractNum w:abstractNumId="256">
    <w:nsid w:val="313C7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57">
    <w:nsid w:val="519EB94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7"/>
    </w:lvl>
  </w:abstractNum>
  <w:abstractNum w:abstractNumId="258">
    <w:nsid w:val="39DF25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9">
    <w:nsid w:val="126E008B"/>
    <w:multiLevelType w:val="hybridMultilevel"/>
    <w:lvl w:ilvl="0">
      <w:lvlJc w:val="left"/>
      <w:lvlText w:val="(%1)"/>
      <w:numFmt w:val="lowerLetter"/>
      <w:start w:val="1"/>
    </w:lvl>
  </w:abstractNum>
  <w:abstractNum w:abstractNumId="260">
    <w:nsid w:val="34DFBC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1">
    <w:nsid w:val="1F9EC322"/>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6"/>
    </w:lvl>
  </w:abstractNum>
  <w:abstractNum w:abstractNumId="262">
    <w:nsid w:val="3410ED56"/>
    <w:multiLevelType w:val="hybridMultilevel"/>
    <w:lvl w:ilvl="0">
      <w:lvlJc w:val="left"/>
      <w:lvlText w:val="(%1)"/>
      <w:numFmt w:val="lowerLetter"/>
      <w:start w:val="1"/>
    </w:lvl>
    <w:lvl w:ilvl="1">
      <w:lvlJc w:val="left"/>
      <w:lvlText w:val="(%2)"/>
      <w:numFmt w:val="lowerLetter"/>
      <w:start w:val="9"/>
    </w:lvl>
  </w:abstractNum>
  <w:abstractNum w:abstractNumId="263">
    <w:nsid w:val="23C049A"/>
    <w:multiLevelType w:val="hybridMultilevel"/>
    <w:lvl w:ilvl="0">
      <w:lvlJc w:val="left"/>
      <w:lvlText w:val="(%1)"/>
      <w:numFmt w:val="lowerRoman"/>
      <w:start w:val="2"/>
    </w:lvl>
  </w:abstractNum>
  <w:abstractNum w:abstractNumId="264">
    <w:nsid w:val="5BDA35D4"/>
    <w:multiLevelType w:val="hybridMultilevel"/>
    <w:lvl w:ilvl="0">
      <w:lvlJc w:val="left"/>
      <w:lvlText w:val="%1"/>
      <w:numFmt w:val="decimal"/>
      <w:start w:val="1"/>
    </w:lvl>
    <w:lvl w:ilvl="1">
      <w:lvlJc w:val="left"/>
      <w:lvlText w:val="(%2)"/>
      <w:numFmt w:val="lowerLetter"/>
      <w:start w:val="1"/>
    </w:lvl>
  </w:abstractNum>
  <w:abstractNum w:abstractNumId="265">
    <w:nsid w:val="496FB218"/>
    <w:multiLevelType w:val="hybridMultilevel"/>
    <w:lvl w:ilvl="0">
      <w:lvlJc w:val="left"/>
      <w:lvlText w:val="(%1)"/>
      <w:numFmt w:val="decimal"/>
      <w:start w:val="8"/>
    </w:lvl>
    <w:lvl w:ilvl="1">
      <w:lvlJc w:val="left"/>
      <w:lvlText w:val="(%2)"/>
      <w:numFmt w:val="lowerLetter"/>
      <w:start w:val="2"/>
    </w:lvl>
  </w:abstractNum>
  <w:abstractNum w:abstractNumId="266">
    <w:nsid w:val="680EA5D1"/>
    <w:multiLevelType w:val="hybridMultilevel"/>
    <w:lvl w:ilvl="0">
      <w:lvlJc w:val="left"/>
      <w:lvlText w:val="(%1)"/>
      <w:numFmt w:val="lowerLetter"/>
      <w:start w:val="3"/>
    </w:lvl>
    <w:lvl w:ilvl="1">
      <w:lvlJc w:val="left"/>
      <w:lvlText w:val="(%2)"/>
      <w:numFmt w:val="lowerRoman"/>
      <w:start w:val="1"/>
    </w:lvl>
  </w:abstractNum>
  <w:abstractNum w:abstractNumId="267">
    <w:nsid w:val="4A9554FE"/>
    <w:multiLevelType w:val="hybridMultilevel"/>
    <w:lvl w:ilvl="0">
      <w:lvlJc w:val="left"/>
      <w:lvlText w:val="%1"/>
      <w:numFmt w:val="lowerLetter"/>
      <w:start w:val="1"/>
    </w:lvl>
    <w:lvl w:ilvl="1">
      <w:lvlJc w:val="left"/>
      <w:lvlText w:val="(%2)"/>
      <w:numFmt w:val="lowerRoman"/>
      <w:start w:val="2"/>
    </w:lvl>
  </w:abstractNum>
  <w:abstractNum w:abstractNumId="268">
    <w:nsid w:val="392EDBE4"/>
    <w:multiLevelType w:val="hybridMultilevel"/>
    <w:lvl w:ilvl="0">
      <w:lvlJc w:val="left"/>
      <w:lvlText w:val="(%1)"/>
      <w:numFmt w:val="lowerLetter"/>
      <w:start w:val="5"/>
    </w:lvl>
    <w:lvl w:ilvl="1">
      <w:lvlJc w:val="left"/>
      <w:lvlText w:val="(%2)"/>
      <w:numFmt w:val="lowerRoman"/>
      <w:start w:val="1"/>
    </w:lvl>
  </w:abstractNum>
  <w:abstractNum w:abstractNumId="269">
    <w:nsid w:val="3D1A2DD9"/>
    <w:multiLevelType w:val="hybridMultilevel"/>
    <w:lvl w:ilvl="0">
      <w:lvlJc w:val="left"/>
      <w:lvlText w:val="(%1)"/>
      <w:numFmt w:val="lowerLetter"/>
      <w:start w:val="1"/>
    </w:lvl>
  </w:abstractNum>
  <w:abstractNum w:abstractNumId="270">
    <w:nsid w:val="7F618FCD"/>
    <w:multiLevelType w:val="hybridMultilevel"/>
    <w:lvl w:ilvl="0">
      <w:lvlJc w:val="left"/>
      <w:lvlText w:val="(%1)"/>
      <w:numFmt w:val="lowerLetter"/>
      <w:start w:val="2"/>
    </w:lvl>
  </w:abstractNum>
  <w:abstractNum w:abstractNumId="271">
    <w:nsid w:val="7843E45"/>
    <w:multiLevelType w:val="hybridMultilevel"/>
    <w:lvl w:ilvl="0">
      <w:lvlJc w:val="left"/>
      <w:lvlText w:val="(%1)"/>
      <w:numFmt w:val="lowerLetter"/>
      <w:start w:val="2"/>
    </w:lvl>
  </w:abstractNum>
  <w:abstractNum w:abstractNumId="272">
    <w:nsid w:val="9815DA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3">
    <w:nsid w:val="5204A191"/>
    <w:multiLevelType w:val="hybridMultilevel"/>
    <w:lvl w:ilvl="0">
      <w:lvlJc w:val="left"/>
      <w:lvlText w:val="(%1)"/>
      <w:numFmt w:val="upperLetter"/>
      <w:start w:val="6"/>
    </w:lvl>
    <w:lvl w:ilvl="1">
      <w:lvlJc w:val="left"/>
      <w:lvlText w:val="(%2)"/>
      <w:numFmt w:val="lowerLetter"/>
      <w:start w:val="2"/>
    </w:lvl>
    <w:lvl w:ilvl="2">
      <w:lvlJc w:val="left"/>
      <w:lvlText w:val="(%3)"/>
      <w:numFmt w:val="lowerRoman"/>
      <w:start w:val="1"/>
    </w:lvl>
  </w:abstractNum>
  <w:abstractNum w:abstractNumId="274">
    <w:nsid w:val="4C73A9C6"/>
    <w:multiLevelType w:val="hybridMultilevel"/>
    <w:lvl w:ilvl="0">
      <w:lvlJc w:val="left"/>
      <w:lvlText w:val="(%1)"/>
      <w:numFmt w:val="lowerLetter"/>
      <w:start w:val="6"/>
    </w:lvl>
  </w:abstractNum>
  <w:abstractNum w:abstractNumId="275">
    <w:nsid w:val="1C7E3C01"/>
    <w:multiLevelType w:val="hybridMultilevel"/>
    <w:lvl w:ilvl="0">
      <w:lvlJc w:val="left"/>
      <w:lvlText w:val="(%1)"/>
      <w:numFmt w:val="lowerLetter"/>
      <w:start w:val="1"/>
    </w:lvl>
  </w:abstractNum>
  <w:abstractNum w:abstractNumId="276">
    <w:nsid w:val="1C2201FF"/>
    <w:multiLevelType w:val="hybridMultilevel"/>
    <w:lvl w:ilvl="0">
      <w:lvlJc w:val="left"/>
      <w:lvlText w:val="(%1)"/>
      <w:numFmt w:val="lowerLetter"/>
      <w:start w:val="3"/>
    </w:lvl>
  </w:abstractNum>
  <w:abstractNum w:abstractNumId="277">
    <w:nsid w:val="50ABCEC9"/>
    <w:multiLevelType w:val="hybridMultilevel"/>
    <w:lvl w:ilvl="0">
      <w:lvlJc w:val="left"/>
      <w:lvlText w:val="(%1)"/>
      <w:numFmt w:val="lowerLetter"/>
      <w:start w:val="1"/>
    </w:lvl>
  </w:abstractNum>
  <w:abstractNum w:abstractNumId="278">
    <w:nsid w:val="7635AA2A"/>
    <w:multiLevelType w:val="hybridMultilevel"/>
    <w:lvl w:ilvl="0">
      <w:lvlJc w:val="left"/>
      <w:lvlText w:val="(%1)"/>
      <w:numFmt w:val="lowerLetter"/>
      <w:start w:val="1"/>
    </w:lvl>
  </w:abstractNum>
  <w:abstractNum w:abstractNumId="279">
    <w:nsid w:val="5E74C4D9"/>
    <w:multiLevelType w:val="hybridMultilevel"/>
    <w:lvl w:ilvl="0">
      <w:lvlJc w:val="left"/>
      <w:lvlText w:val="(%1)"/>
      <w:numFmt w:val="decimal"/>
      <w:start w:val="10"/>
    </w:lvl>
  </w:abstractNum>
  <w:abstractNum w:abstractNumId="280">
    <w:nsid w:val="3B3EBE15"/>
    <w:multiLevelType w:val="hybridMultilevel"/>
    <w:lvl w:ilvl="0">
      <w:lvlJc w:val="left"/>
      <w:lvlText w:val="(%1)"/>
      <w:numFmt w:val="lowerLetter"/>
      <w:start w:val="1"/>
    </w:lvl>
  </w:abstractNum>
  <w:abstractNum w:abstractNumId="281">
    <w:nsid w:val="3822CB01"/>
    <w:multiLevelType w:val="hybridMultilevel"/>
    <w:lvl w:ilvl="0">
      <w:lvlJc w:val="left"/>
      <w:lvlText w:val="(%1)"/>
      <w:numFmt w:val="lowerLetter"/>
      <w:start w:val="2"/>
    </w:lvl>
  </w:abstractNum>
  <w:abstractNum w:abstractNumId="282">
    <w:nsid w:val="6CE00443"/>
    <w:multiLevelType w:val="hybridMultilevel"/>
    <w:lvl w:ilvl="0">
      <w:lvlJc w:val="left"/>
      <w:lvlText w:val="(%1)"/>
      <w:numFmt w:val="lowerLetter"/>
      <w:start w:val="1"/>
    </w:lvl>
  </w:abstractNum>
  <w:abstractNum w:abstractNumId="283">
    <w:nsid w:val="79F0D62F"/>
    <w:multiLevelType w:val="hybridMultilevel"/>
    <w:lvl w:ilvl="0">
      <w:lvlJc w:val="left"/>
      <w:lvlText w:val="(%1)"/>
      <w:numFmt w:val="lowerLetter"/>
      <w:start w:val="4"/>
    </w:lvl>
  </w:abstractNum>
  <w:abstractNum w:abstractNumId="284">
    <w:nsid w:val="7975E8EE"/>
    <w:multiLevelType w:val="hybridMultilevel"/>
    <w:lvl w:ilvl="0">
      <w:lvlJc w:val="left"/>
      <w:lvlText w:val="(%1)"/>
      <w:numFmt w:val="lowerLetter"/>
      <w:start w:val="1"/>
    </w:lvl>
    <w:lvl w:ilvl="1">
      <w:lvlJc w:val="left"/>
      <w:lvlText w:val="(%2)"/>
      <w:numFmt w:val="lowerRoman"/>
      <w:start w:val="1"/>
    </w:lvl>
  </w:abstractNum>
  <w:abstractNum w:abstractNumId="285">
    <w:nsid w:val="731541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6">
    <w:nsid w:val="622D8102"/>
    <w:multiLevelType w:val="hybridMultilevel"/>
    <w:lvl w:ilvl="0">
      <w:lvlJc w:val="left"/>
      <w:lvlText w:val="%1"/>
      <w:numFmt w:val="decimal"/>
      <w:start w:val="1"/>
    </w:lvl>
    <w:lvl w:ilvl="1">
      <w:lvlJc w:val="left"/>
      <w:lvlText w:val="(%2)"/>
      <w:numFmt w:val="lowerLetter"/>
      <w:start w:val="1"/>
    </w:lvl>
  </w:abstractNum>
  <w:abstractNum w:abstractNumId="287">
    <w:nsid w:val="2AB26587"/>
    <w:multiLevelType w:val="hybridMultilevel"/>
    <w:lvl w:ilvl="0">
      <w:lvlJc w:val="left"/>
      <w:lvlText w:val="(%1)"/>
      <w:numFmt w:val="decimal"/>
      <w:start w:val="1"/>
    </w:lvl>
    <w:lvl w:ilvl="1">
      <w:lvlJc w:val="left"/>
      <w:lvlText w:val="%2"/>
      <w:numFmt w:val="lowerLetter"/>
      <w:start w:val="1"/>
    </w:lvl>
  </w:abstractNum>
  <w:abstractNum w:abstractNumId="288">
    <w:nsid w:val="44B3FA61"/>
    <w:multiLevelType w:val="hybridMultilevel"/>
    <w:lvl w:ilvl="0">
      <w:lvlJc w:val="left"/>
      <w:lvlText w:val="%1."/>
      <w:numFmt w:val="upperLetter"/>
      <w:start w:val="1"/>
    </w:lvl>
  </w:abstractNum>
  <w:abstractNum w:abstractNumId="289">
    <w:nsid w:val="1C0CA67C"/>
    <w:multiLevelType w:val="hybridMultilevel"/>
    <w:lvl w:ilvl="0">
      <w:lvlJc w:val="left"/>
      <w:lvlText w:val="%1."/>
      <w:numFmt w:val="decimal"/>
      <w:start w:val="1"/>
    </w:lvl>
    <w:lvl w:ilvl="1">
      <w:lvlJc w:val="left"/>
      <w:lvlText w:val="%2."/>
      <w:numFmt w:val="lowerLetter"/>
      <w:start w:val="1"/>
    </w:lvl>
  </w:abstractNum>
  <w:abstractNum w:abstractNumId="290">
    <w:nsid w:val="3D206613"/>
    <w:multiLevelType w:val="hybridMultilevel"/>
    <w:lvl w:ilvl="0">
      <w:lvlJc w:val="left"/>
      <w:lvlText w:val="%1."/>
      <w:numFmt w:val="lowerLetter"/>
      <w:start w:val="2"/>
    </w:lvl>
  </w:abstractNum>
  <w:abstractNum w:abstractNumId="291">
    <w:nsid w:val="7993B662"/>
    <w:multiLevelType w:val="hybridMultilevel"/>
    <w:lvl w:ilvl="0">
      <w:lvlJc w:val="left"/>
      <w:lvlText w:val="%1"/>
      <w:numFmt w:val="lowerLetter"/>
      <w:start w:val="1"/>
    </w:lvl>
    <w:lvl w:ilvl="1">
      <w:lvlJc w:val="left"/>
      <w:lvlText w:val="(%2)"/>
      <w:numFmt w:val="lowerRoman"/>
      <w:start w:val="1"/>
    </w:lvl>
  </w:abstractNum>
  <w:abstractNum w:abstractNumId="292">
    <w:nsid w:val="3BAB699E"/>
    <w:multiLevelType w:val="hybridMultilevel"/>
    <w:lvl w:ilvl="0">
      <w:lvlJc w:val="left"/>
      <w:lvlText w:val="%1."/>
      <w:numFmt w:val="lowerLetter"/>
      <w:start w:val="6"/>
    </w:lvl>
    <w:lvl w:ilvl="1">
      <w:lvlJc w:val="left"/>
      <w:lvlText w:val="%2"/>
      <w:numFmt w:val="lowerRoman"/>
      <w:start w:val="1"/>
    </w:lvl>
  </w:abstractNum>
  <w:abstractNum w:abstractNumId="293">
    <w:nsid w:val="71315369"/>
    <w:multiLevelType w:val="hybridMultilevel"/>
    <w:lvl w:ilvl="0">
      <w:lvlJc w:val="left"/>
      <w:lvlText w:val="%1."/>
      <w:numFmt w:val="decimal"/>
      <w:start w:val="3"/>
    </w:lvl>
  </w:abstractNum>
  <w:abstractNum w:abstractNumId="294">
    <w:nsid w:val="7BCFBAFC"/>
    <w:multiLevelType w:val="hybridMultilevel"/>
    <w:lvl w:ilvl="0">
      <w:lvlJc w:val="left"/>
      <w:lvlText w:val="%1."/>
      <w:numFmt w:val="decimal"/>
      <w:start w:val="1"/>
    </w:lvl>
  </w:abstractNum>
  <w:abstractNum w:abstractNumId="295">
    <w:nsid w:val="17859F72"/>
    <w:multiLevelType w:val="hybridMultilevel"/>
    <w:lvl w:ilvl="0">
      <w:lvlJc w:val="left"/>
      <w:lvlText w:val="%1."/>
      <w:numFmt w:val="decimal"/>
      <w:start w:val="1"/>
    </w:lvl>
    <w:lvl w:ilvl="1">
      <w:lvlJc w:val="left"/>
      <w:lvlText w:val="(%2)"/>
      <w:numFmt w:val="lowerLetter"/>
      <w:start w:val="1"/>
    </w:lvl>
  </w:abstractNum>
  <w:abstractNum w:abstractNumId="296">
    <w:nsid w:val="3AA10581"/>
    <w:multiLevelType w:val="hybridMultilevel"/>
    <w:lvl w:ilvl="0">
      <w:lvlJc w:val="left"/>
      <w:lvlText w:val="%1."/>
      <w:numFmt w:val="decimal"/>
      <w:start w:val="1"/>
    </w:lvl>
    <w:lvl w:ilvl="1">
      <w:lvlJc w:val="left"/>
      <w:lvlText w:val="(%2)"/>
      <w:numFmt w:val="lowerLetter"/>
      <w:start w:val="1"/>
    </w:lvl>
  </w:abstractNum>
  <w:abstractNum w:abstractNumId="297">
    <w:nsid w:val="63DE60CD"/>
    <w:multiLevelType w:val="hybridMultilevel"/>
    <w:lvl w:ilvl="0">
      <w:lvlJc w:val="left"/>
      <w:lvlText w:val="%1."/>
      <w:numFmt w:val="decimal"/>
      <w:start w:val="1"/>
    </w:lvl>
    <w:lvl w:ilvl="1">
      <w:lvlJc w:val="left"/>
      <w:lvlText w:val="(%2)"/>
      <w:numFmt w:val="lowerLetter"/>
      <w:start w:val="1"/>
    </w:lvl>
  </w:abstractNum>
  <w:abstractNum w:abstractNumId="298">
    <w:nsid w:val="621AF47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58" Type="http://schemas.openxmlformats.org/officeDocument/2006/relationships/image" Target="media/image80.png"/><Relationship Id="rId159" Type="http://schemas.openxmlformats.org/officeDocument/2006/relationships/image" Target="media/image81.png"/><Relationship Id="rId160" Type="http://schemas.openxmlformats.org/officeDocument/2006/relationships/image" Target="media/image82.png"/><Relationship Id="rId161" Type="http://schemas.openxmlformats.org/officeDocument/2006/relationships/image" Target="media/image83.png"/><Relationship Id="rId162" Type="http://schemas.openxmlformats.org/officeDocument/2006/relationships/image" Target="media/image84.png"/><Relationship Id="rId163" Type="http://schemas.openxmlformats.org/officeDocument/2006/relationships/image" Target="media/image85.png"/><Relationship Id="rId164" Type="http://schemas.openxmlformats.org/officeDocument/2006/relationships/image" Target="media/image86.png"/><Relationship Id="rId165" Type="http://schemas.openxmlformats.org/officeDocument/2006/relationships/image" Target="media/image87.png"/><Relationship Id="rId166" Type="http://schemas.openxmlformats.org/officeDocument/2006/relationships/image" Target="media/image88.png"/><Relationship Id="rId167" Type="http://schemas.openxmlformats.org/officeDocument/2006/relationships/image" Target="media/image89.png"/><Relationship Id="rId168" Type="http://schemas.openxmlformats.org/officeDocument/2006/relationships/image" Target="media/image90.png"/><Relationship Id="rId169" Type="http://schemas.openxmlformats.org/officeDocument/2006/relationships/image" Target="media/image91.png"/><Relationship Id="rId170" Type="http://schemas.openxmlformats.org/officeDocument/2006/relationships/image" Target="media/image92.png"/><Relationship Id="rId171" Type="http://schemas.openxmlformats.org/officeDocument/2006/relationships/image" Target="media/image93.png"/><Relationship Id="rId172" Type="http://schemas.openxmlformats.org/officeDocument/2006/relationships/image" Target="media/image94.png"/><Relationship Id="rId173" Type="http://schemas.openxmlformats.org/officeDocument/2006/relationships/image" Target="media/image95.png"/><Relationship Id="rId87" Type="http://schemas.openxmlformats.org/officeDocument/2006/relationships/hyperlink" Target="http://www.sec.gov/Archives/edgar/data/1567683/000110465914037090/a14-12466_1ex2d1.htm" TargetMode="External"/><Relationship Id="rId88" Type="http://schemas.openxmlformats.org/officeDocument/2006/relationships/hyperlink" Target="http://www.sec.gov/Archives/edgar/data/1567683/000110465914037090/a14-12466_1ex2d2.htm" TargetMode="External"/><Relationship Id="rId89" Type="http://schemas.openxmlformats.org/officeDocument/2006/relationships/hyperlink" Target="http://www.sec.gov/Archives/edgar/data/1567683/000110465914037090/a14-12466_1ex2d3.htm" TargetMode="External"/><Relationship Id="rId90" Type="http://schemas.openxmlformats.org/officeDocument/2006/relationships/hyperlink" Target="http://www.sec.gov/Archives/edgar/data/1567683/000110465914044820/a14-14976_1ex10d1.htm" TargetMode="External"/><Relationship Id="rId91" Type="http://schemas.openxmlformats.org/officeDocument/2006/relationships/hyperlink" Target="http://www.sec.gov/Archives/edgar/data/1567683/000156768314000020/exhibit21.htm" TargetMode="External"/><Relationship Id="rId92" Type="http://schemas.openxmlformats.org/officeDocument/2006/relationships/hyperlink" Target="http://www.sec.gov/Archives/edgar/data/1567683/000156768314000020/exhibit22.htm" TargetMode="External"/><Relationship Id="rId93" Type="http://schemas.openxmlformats.org/officeDocument/2006/relationships/hyperlink" Target="http://www.sec.gov/Archives/edgar/data/1567683/000156768315000022/yieldincex212015q2dspsaexh.htm" TargetMode="External"/><Relationship Id="rId94" Type="http://schemas.openxmlformats.org/officeDocument/2006/relationships/hyperlink" Target="http://www.sec.gov/Archives/edgar/data/1567683/000110465915066291/a15-19906_1ex2d1.htm" TargetMode="External"/><Relationship Id="rId95" Type="http://schemas.openxmlformats.org/officeDocument/2006/relationships/hyperlink" Target="http://www.sec.gov/Archives/edgar/data/1567683/000110465916138087/a16-16348_1ex2d1.htm" TargetMode="External"/><Relationship Id="rId96" Type="http://schemas.openxmlformats.org/officeDocument/2006/relationships/hyperlink" Target="http://www.sec.gov/Archives/edgar/data/1567683/000156768318000008/yieldincex210201710-k.htm" TargetMode="External"/><Relationship Id="rId97" Type="http://schemas.openxmlformats.org/officeDocument/2006/relationships/hyperlink" Target="http://www.sec.gov/Archives/edgar/data/1637757/000110465919071001/tm1924691d1_ex2-1.htm" TargetMode="External"/><Relationship Id="rId98" Type="http://schemas.openxmlformats.org/officeDocument/2006/relationships/hyperlink" Target="http://www.sec.gov/Archives/edgar/data/1637708/000104746915003411/a2224163zex-3_01a.htm" TargetMode="External"/><Relationship Id="rId99" Type="http://schemas.openxmlformats.org/officeDocument/2006/relationships/hyperlink" Target="http://www.sec.gov/Archives/edgar/data/1637708/000104746915003411/a2224163zex-3_01b.htm" TargetMode="External"/><Relationship Id="rId100" Type="http://schemas.openxmlformats.org/officeDocument/2006/relationships/hyperlink" Target="http://www.sec.gov/Archives/edgar/data/1637757/000163775719000002/clearwayllcex33201810-k.htm" TargetMode="External"/><Relationship Id="rId101" Type="http://schemas.openxmlformats.org/officeDocument/2006/relationships/hyperlink" Target="http://www.sec.gov/Archives/edgar/data/1637708/000104746915003411/a2224163zex-3_03a.htm" TargetMode="External"/><Relationship Id="rId102" Type="http://schemas.openxmlformats.org/officeDocument/2006/relationships/hyperlink" Target="http://www.sec.gov/Archives/edgar/data/1637708/000104746915003411/a2224163zex-3_03b.htm" TargetMode="External"/><Relationship Id="rId103" Type="http://schemas.openxmlformats.org/officeDocument/2006/relationships/hyperlink" Target="http://www.sec.gov/Archives/edgar/data/1567683/000110465918055334/a18-24111_1ex10d6.htm" TargetMode="External"/><Relationship Id="rId104" Type="http://schemas.openxmlformats.org/officeDocument/2006/relationships/hyperlink" Target="http://www.sec.gov/Archives/edgar/data/1567683/000110465914056777/a14-18411_1ex4d1.htm" TargetMode="External"/><Relationship Id="rId105" Type="http://schemas.openxmlformats.org/officeDocument/2006/relationships/hyperlink" Target="http://www.sec.gov/Archives/edgar/data/1637757/000110465918060027/a18-36222_2ex4d3.htm#Exhibit4_3_105106" TargetMode="External"/><Relationship Id="rId106" Type="http://schemas.openxmlformats.org/officeDocument/2006/relationships/hyperlink" Target="http://www.sec.gov/Archives/edgar/data/1567683/000110465914080390/a14-24401_1ex4d1.htm" TargetMode="External"/><Relationship Id="rId107" Type="http://schemas.openxmlformats.org/officeDocument/2006/relationships/hyperlink" Target="http://www.sec.gov/Archives/edgar/data/1567683/000110465915015282/a15-5420_1ex4d1.htm" TargetMode="External"/><Relationship Id="rId108" Type="http://schemas.openxmlformats.org/officeDocument/2006/relationships/hyperlink" Target="http://www.sec.gov/Archives/edgar/data/1637708/000104746915003411/a2224163zex-4_07.htm" TargetMode="External"/><Relationship Id="rId109" Type="http://schemas.openxmlformats.org/officeDocument/2006/relationships/hyperlink" Target="http://www.sec.gov/Archives/edgar/data/1567683/000110465915036232/a15-11016_2ex4d1.htm" TargetMode="External"/><Relationship Id="rId110" Type="http://schemas.openxmlformats.org/officeDocument/2006/relationships/hyperlink" Target="http://www.sec.gov/Archives/edgar/data/1567683/000110465915048473/a15-14936_1ex4d1.htm" TargetMode="External"/><Relationship Id="rId111" Type="http://schemas.openxmlformats.org/officeDocument/2006/relationships/hyperlink" Target="http://www.sec.gov/Archives/edgar/data/1637757/000110465916140474/a16-16967_2ex4d1.htm" TargetMode="External"/><Relationship Id="rId112" Type="http://schemas.openxmlformats.org/officeDocument/2006/relationships/hyperlink" Target="http://www.sec.gov/Archives/edgar/data/1637757/000110465916140474/a16-16967_2ex4d3.htm" TargetMode="External"/><Relationship Id="rId113" Type="http://schemas.openxmlformats.org/officeDocument/2006/relationships/hyperlink" Target="http://www.sec.gov/Archives/edgar/data/1637757/000110465918005466/a18-5088_1ex4d1.htm#Exhibit4_1_091658" TargetMode="External"/><Relationship Id="rId114" Type="http://schemas.openxmlformats.org/officeDocument/2006/relationships/hyperlink" Target="http://www.sec.gov/Archives/edgar/data/1637757/000110465918039603/a18-15263_1ex4d1.htm" TargetMode="External"/><Relationship Id="rId115" Type="http://schemas.openxmlformats.org/officeDocument/2006/relationships/hyperlink" Target="http://www.sec.gov/Archives/edgar/data/1637757/000110465918005466/a18-5088_1ex4d2.htm#Exhibit4_2_091723" TargetMode="External"/><Relationship Id="rId116" Type="http://schemas.openxmlformats.org/officeDocument/2006/relationships/hyperlink" Target="http://www.sec.gov/Archives/edgar/data/1637757/000110465918039603/a18-15263_1ex4d2.htm" TargetMode="External"/><Relationship Id="rId117" Type="http://schemas.openxmlformats.org/officeDocument/2006/relationships/hyperlink" Target="http://www.sec.gov/Archives/edgar/data/1637757/000163775718000016/yieldincex442018q2.htm" TargetMode="External"/><Relationship Id="rId118" Type="http://schemas.openxmlformats.org/officeDocument/2006/relationships/hyperlink" Target="http://www.sec.gov/Archives/edgar/data/1567683/000110465918055585/a18-27020_1ex4d1.htm#Exhibit4_1_065610" TargetMode="External"/><Relationship Id="rId119" Type="http://schemas.openxmlformats.org/officeDocument/2006/relationships/hyperlink" Target="http://www.sec.gov/Archives/edgar/data/1567683/000110465918055585/a18-27020_1ex4d2.htm#Exhibit4_2_070017" TargetMode="External"/><Relationship Id="rId120" Type="http://schemas.openxmlformats.org/officeDocument/2006/relationships/hyperlink" Target="http://www.sec.gov/Archives/edgar/data/1637757/000110465918060027/a18-36222_2ex4d1.htm" TargetMode="External"/><Relationship Id="rId121" Type="http://schemas.openxmlformats.org/officeDocument/2006/relationships/hyperlink" Target="http://www.sec.gov/Archives/edgar/data/1637757/000110465918065129/a18-38187_1ex4d1.htm" TargetMode="External"/><Relationship Id="rId122" Type="http://schemas.openxmlformats.org/officeDocument/2006/relationships/hyperlink" Target="http://www.sec.gov/Archives/edgar/data/1637757/000110465918065129/a18-38187_1ex4d2.htm#Exhibit4_2_085140" TargetMode="External"/><Relationship Id="rId123" Type="http://schemas.openxmlformats.org/officeDocument/2006/relationships/hyperlink" Target="http://www.sec.gov/Archives/edgar/data/1637757/000110465918065129/a18-38187_1ex4d3.htm" TargetMode="External"/><Relationship Id="rId124" Type="http://schemas.openxmlformats.org/officeDocument/2006/relationships/hyperlink" Target="http://www.sec.gov/Archives/edgar/data/1637757/000110465918072577/a18-41418_1ex4d1.htm" TargetMode="External"/><Relationship Id="rId125" Type="http://schemas.openxmlformats.org/officeDocument/2006/relationships/hyperlink" Target="http://www.sec.gov/Archives/edgar/data/1637757/000110465918072577/a18-41418_1ex4d2.htm" TargetMode="External"/><Relationship Id="rId126" Type="http://schemas.openxmlformats.org/officeDocument/2006/relationships/hyperlink" Target="http://www.sec.gov/Archives/edgar/data/1637757/000110465918072577/a18-41418_1ex4d3.htm" TargetMode="External"/><Relationship Id="rId127" Type="http://schemas.openxmlformats.org/officeDocument/2006/relationships/hyperlink" Target="http://www.sec.gov/Archives/edgar/data/1637757/000141057819001210/tv529120_ex4-1.htm" TargetMode="External"/><Relationship Id="rId128" Type="http://schemas.openxmlformats.org/officeDocument/2006/relationships/hyperlink" Target="http://www.sec.gov/Archives/edgar/data/1637757/000141057819001210/tv529120_ex4-2.htm" TargetMode="External"/><Relationship Id="rId129" Type="http://schemas.openxmlformats.org/officeDocument/2006/relationships/hyperlink" Target="http://www.sec.gov/Archives/edgar/data/1637757/000141057819001210/tv529120_ex4-3.htm" TargetMode="External"/><Relationship Id="rId130" Type="http://schemas.openxmlformats.org/officeDocument/2006/relationships/hyperlink" Target="http://www.sec.gov/Archives/edgar/data/1637757/000110465919066642/tm1923650d1_ex4-1.htm" TargetMode="External"/><Relationship Id="rId131" Type="http://schemas.openxmlformats.org/officeDocument/2006/relationships/hyperlink" Target="http://www.sec.gov/Archives/edgar/data/1637757/000110465919066642/tm1923650d1_ex4-2.htm" TargetMode="External"/><Relationship Id="rId132" Type="http://schemas.openxmlformats.org/officeDocument/2006/relationships/hyperlink" Target="http://www.sec.gov/Archives/edgar/data/1637757/000110465919066642/tm1923650d1_ex4-3.htm" TargetMode="External"/><Relationship Id="rId133" Type="http://schemas.openxmlformats.org/officeDocument/2006/relationships/hyperlink" Target="http://www.sec.gov/Archives/edgar/data/1637757/000110465919072222/tm1925067d1_ex4-1.htm" TargetMode="External"/><Relationship Id="rId134" Type="http://schemas.openxmlformats.org/officeDocument/2006/relationships/hyperlink" Target="http://www.sec.gov/Archives/edgar/data/1567683/000110465918055334/a18-24111_1ex10d5.htm#EXHIBIT10_5_051412" TargetMode="External"/><Relationship Id="rId135" Type="http://schemas.openxmlformats.org/officeDocument/2006/relationships/hyperlink" Target="http://www.sec.gov/Archives/edgar/data/1567683/000110465918055334/a18-24111_1ex10d3.htm#Exhibit10_3_095433" TargetMode="External"/><Relationship Id="rId136" Type="http://schemas.openxmlformats.org/officeDocument/2006/relationships/hyperlink" Target="http://www.sec.gov/Archives/edgar/data/1567683/000110465919008742/a19-4739_1ex10d1.htm#Exhibit99_1_092711" TargetMode="External"/><Relationship Id="rId137" Type="http://schemas.openxmlformats.org/officeDocument/2006/relationships/hyperlink" Target="http://www.sec.gov/Archives/edgar/data/1637757/000163775719000012/clearwayincex1012019q2.htm" TargetMode="External"/><Relationship Id="rId138" Type="http://schemas.openxmlformats.org/officeDocument/2006/relationships/hyperlink" Target="http://www.sec.gov/Archives/edgar/data/1637757/000110465919071001/tm1924691d1_ex10-1.htm" TargetMode="External"/><Relationship Id="rId139" Type="http://schemas.openxmlformats.org/officeDocument/2006/relationships/hyperlink" Target="http://www.sec.gov/Archives/edgar/data/1567683/000110465918055334/a18-24111_1ex10d1.htm#Exhibit10_1_072506" TargetMode="External"/><Relationship Id="rId140" Type="http://schemas.openxmlformats.org/officeDocument/2006/relationships/hyperlink" Target="http://www.sec.gov/Archives/edgar/data/1567683/000110465918055334/a18-24111_1ex10d2.htm" TargetMode="External"/><Relationship Id="rId141" Type="http://schemas.openxmlformats.org/officeDocument/2006/relationships/hyperlink" Target="http://www.sec.gov/Archives/edgar/data/1567683/000110465918055334/a18-24111_1ex10d9.htm#EXHIBIT10_9_053225" TargetMode="External"/><Relationship Id="rId142" Type="http://schemas.openxmlformats.org/officeDocument/2006/relationships/hyperlink" Target="http://www.sec.gov/Archives/edgar/data/1567683/000110465914031308/a14-11252_1ex10d1.htm" TargetMode="External"/><Relationship Id="rId143" Type="http://schemas.openxmlformats.org/officeDocument/2006/relationships/hyperlink" Target="http://www.sec.gov/Archives/edgar/data/1567683/000156768315000022/yieldincex1092015q2opllcam.htm" TargetMode="External"/><Relationship Id="rId144" Type="http://schemas.openxmlformats.org/officeDocument/2006/relationships/hyperlink" Target="http://www.sec.gov/Archives/edgar/data/1637757/000110465918008197/a18-5571_1ex10d1.htm#Exhibit10_1_093100" TargetMode="External"/><Relationship Id="rId145" Type="http://schemas.openxmlformats.org/officeDocument/2006/relationships/hyperlink" Target="http://www.sec.gov/Archives/edgar/data/1637757/000163775718000013/a101llc.htm" TargetMode="External"/><Relationship Id="rId146" Type="http://schemas.openxmlformats.org/officeDocument/2006/relationships/hyperlink" Target="http://www.sec.gov/Archives/edgar/data/1637757/000110465918071713/a18-41172_1ex10d1.htm" TargetMode="External"/><Relationship Id="rId147" Type="http://schemas.openxmlformats.org/officeDocument/2006/relationships/hyperlink" Target="http://www.sec.gov/Archives/edgar/data/1637757/000110465919075303/tm1926823d1_ex10-1.htm" TargetMode="External"/><Relationship Id="rId148" Type="http://schemas.openxmlformats.org/officeDocument/2006/relationships/hyperlink" Target="http://www.sec.gov/Archives/edgar/data/1567683/000156768315000022/yieldincex1012015q2rpv.htm" TargetMode="External"/><Relationship Id="rId149" Type="http://schemas.openxmlformats.org/officeDocument/2006/relationships/hyperlink" Target="http://www.sec.gov/Archives/edgar/data/1567683/000156768315000022/yieldincex1022015q2dgpv.htm" TargetMode="External"/><Relationship Id="rId150" Type="http://schemas.openxmlformats.org/officeDocument/2006/relationships/hyperlink" Target="http://www.sec.gov/Archives/edgar/data/1567683/000156768316000043/yieldincex1012016q1.htm" TargetMode="External"/><Relationship Id="rId151" Type="http://schemas.openxmlformats.org/officeDocument/2006/relationships/hyperlink" Target="http://www.sec.gov/Archives/edgar/data/1567683/000156768316000043/yieldincex1022016q1.htm" TargetMode="External"/><Relationship Id="rId152" Type="http://schemas.openxmlformats.org/officeDocument/2006/relationships/hyperlink" Target="http://www.sec.gov/Archives/edgar/data/1567683/000156768316000043/yieldincex1032016q1.htm" TargetMode="External"/><Relationship Id="rId153" Type="http://schemas.openxmlformats.org/officeDocument/2006/relationships/hyperlink" Target="http://www.sec.gov/Archives/edgar/data/1567683/000156768316000055/yieldincex1012016q2-rpvame.htm" TargetMode="External"/><Relationship Id="rId154" Type="http://schemas.openxmlformats.org/officeDocument/2006/relationships/hyperlink" Target="http://www.sec.gov/Archives/edgar/data/1567683/000110465916138081/a16-16348_2ex10d1.htm" TargetMode="External"/><Relationship Id="rId155" Type="http://schemas.openxmlformats.org/officeDocument/2006/relationships/hyperlink" Target="http://www.sec.gov/Archives/edgar/data/1567683/000156768318000008/yieldincex1028201710-k.htm" TargetMode="External"/><Relationship Id="rId156" Type="http://schemas.openxmlformats.org/officeDocument/2006/relationships/hyperlink" Target="http://www.sec.gov/Archives/edgar/data/1567683/000156768319000014/clearwayincex1030201810-k.htm" TargetMode="External"/><Relationship Id="rId157" Type="http://schemas.openxmlformats.org/officeDocument/2006/relationships/hyperlink" Target="http://www.sec.gov/Archives/edgar/data/1567683/000110465915038447/a15-11446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2020-03-02T11:25:06Z</dcterms:created>
  <dcterms:modified xsi:type="dcterms:W3CDTF">2020-03-02T11:25:06Z</dcterms:modified>
</cp:coreProperties>
</file>