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30,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780"/>
        <w:spacing w:after="0"/>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Amendment to Clearway Energy LLC and Clearway Energy Operating LLC Revolving 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November 30, 2018, each of Clearway Energy Operating LLC (“Clearway Operating LLC”), as borrower, and Clearway Energy LLC (“Clearway LLC”), as guarantor, entered into the Fourth Amendment to Amended and Restated Credit Agreement (the “Fourth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Fourth Amendment amends the Existing Credit Agreement to (i) implement technical clarifications to certain representations and covenants regarding energy regulatory matters; and (ii) provide flexibility with respect to guarantees by Clearway LLC and its subsidiaries in connection with the refinancing of convertible notes permitted thereunder.</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foregoing description of the Fourth Amendment does not purport to be complete and is qualified in its entirety by reference to the full text of the Fourth Amendment, a copy of which is filed as Exhibit 10.1 to this Current Report on Form 8-K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Fourth Amendment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3"/>
          </w:tcPr>
          <w:p>
            <w:pPr>
              <w:ind w:left="31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Fourth Amendment to Amended and Restated Credit Agreement, dated as of November 30, 2018, by and among Clearway Energy</w:t>
              </w:r>
            </w:hyperlink>
          </w:p>
        </w:tc>
        <w:tc>
          <w:tcPr>
            <w:tcW w:w="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Operating LLC, Clearway Energy LLC, the guarantors party thereto, JPMorgan Chase Bank, N.A., as administrative agent, and the</w:t>
              </w:r>
            </w:hyperlink>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lenders party thereto.</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880" w:type="dxa"/>
            <w:vAlign w:val="bottom"/>
          </w:tcPr>
          <w:p>
            <w:pPr>
              <w:jc w:val="right"/>
              <w:ind w:right="505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FOURTH AMENDMENT TO AMENDED AND RESTATED CREDIT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dated as of November 30,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2018 and is entered into by and among CLEARWAY ENERGY OPERATING LLC (formerly known as NRG Yield Operating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CLEARWAY ENERGY LLC (formerly known as NRG Yield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each other Guarantor party hereto, JPMORGAN CHASE BANK, N.A. (“</w:t>
      </w:r>
      <w:r>
        <w:rPr>
          <w:rFonts w:ascii="Arial" w:cs="Arial" w:eastAsia="Arial" w:hAnsi="Arial"/>
          <w:sz w:val="17"/>
          <w:szCs w:val="17"/>
          <w:b w:val="1"/>
          <w:bCs w:val="1"/>
          <w:color w:val="auto"/>
        </w:rPr>
        <w:t>JPM</w:t>
      </w:r>
      <w:r>
        <w:rPr>
          <w:rFonts w:ascii="Arial" w:cs="Arial" w:eastAsia="Arial" w:hAnsi="Arial"/>
          <w:sz w:val="17"/>
          <w:szCs w:val="17"/>
          <w:color w:val="auto"/>
        </w:rPr>
        <w:t>”), in its capacity as the administrative agent under the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AND L/C ISSUERS party hereto, and is made with reference to that certain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Credit Agreement dated as of April 25, 2014 (as amended by that certain First Amendment to Amended &amp; Restated Credit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2015, that certain Second Amendment to Amended &amp; Restated Credit Agreement, dated as of February 6, 2018, and that certain Third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Amended and Restated Credit Agreement and Administrative Agent Resignation and Appointment Agreement, dated as of April 30, 2018, the “</w:t>
      </w:r>
      <w:r>
        <w:rPr>
          <w:rFonts w:ascii="Arial" w:cs="Arial" w:eastAsia="Arial" w:hAnsi="Arial"/>
          <w:sz w:val="17"/>
          <w:szCs w:val="17"/>
          <w:b w:val="1"/>
          <w:bCs w:val="1"/>
          <w:color w:val="auto"/>
        </w:rPr>
        <w:t>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and as amended by this Amendment and as may be further amended, amended and restated, supplemented or otherwise modified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the “</w:t>
      </w:r>
      <w:r>
        <w:rPr>
          <w:rFonts w:ascii="Arial" w:cs="Arial" w:eastAsia="Arial" w:hAnsi="Arial"/>
          <w:sz w:val="17"/>
          <w:szCs w:val="17"/>
          <w:b w:val="1"/>
          <w:bCs w:val="1"/>
          <w:color w:val="auto"/>
        </w:rPr>
        <w:t>Amended Credit Agreement</w:t>
      </w:r>
      <w:r>
        <w:rPr>
          <w:rFonts w:ascii="Arial" w:cs="Arial" w:eastAsia="Arial" w:hAnsi="Arial"/>
          <w:sz w:val="17"/>
          <w:szCs w:val="17"/>
          <w:color w:val="auto"/>
        </w:rPr>
        <w:t>”), by and among the Borrower, Holdings, the other Guarantors party thereto, the Lenders and L/C Issuers party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thereto and the Administrative Agent. Capitalized terms used herein without definition shall have the same meanings herein as set forth in the Amended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Credit Agreement, and the rules of interpretation set forth in Section 1.02 of the Amended Credit Agreement shall apply hereto,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 and</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in accordance with Section 11.01 of the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definition of “Convertible Senior Notes” in Section 1.01 of the Credit Agreement is hereby amended and restated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w:t>
      </w:r>
      <w:r>
        <w:rPr>
          <w:rFonts w:ascii="Arial" w:cs="Arial" w:eastAsia="Arial" w:hAnsi="Arial"/>
          <w:sz w:val="18"/>
          <w:szCs w:val="18"/>
          <w:color w:val="auto"/>
        </w:rPr>
        <w:t>” means (a) the unsecured Convertible Senior Notes due 2019 issued by Parent in an aggregate principal amount of US $345,000,000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Convertible Senior Notes</w:t>
      </w:r>
      <w:r>
        <w:rPr>
          <w:rFonts w:ascii="Arial" w:cs="Arial" w:eastAsia="Arial" w:hAnsi="Arial"/>
          <w:sz w:val="17"/>
          <w:szCs w:val="17"/>
          <w:color w:val="auto"/>
        </w:rPr>
        <w:t>”); (b) the unsecured Convertible Senior Notes due 2020 issued by Parent in an aggregate principal amount of up to US $350,000,000 (the “</w:t>
      </w:r>
      <w:r>
        <w:rPr>
          <w:rFonts w:ascii="Arial" w:cs="Arial" w:eastAsia="Arial" w:hAnsi="Arial"/>
          <w:sz w:val="17"/>
          <w:szCs w:val="17"/>
          <w:u w:val="single" w:color="auto"/>
          <w:color w:val="auto"/>
        </w:rPr>
        <w:t>2020 Convertible Senior Notes</w:t>
      </w:r>
      <w:r>
        <w:rPr>
          <w:rFonts w:ascii="Arial" w:cs="Arial" w:eastAsia="Arial" w:hAnsi="Arial"/>
          <w:sz w:val="17"/>
          <w:szCs w:val="17"/>
          <w:color w:val="auto"/>
        </w:rPr>
        <w:t>”); and (c) any amendments, modifications, replacements or refinancings of the Indebtedness described in the foregoing clauses (a) and (b) or any Indebtedness incurred pursuant to this clause (c) 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Arial" w:cs="Arial" w:eastAsia="Arial" w:hAnsi="Arial"/>
          <w:sz w:val="17"/>
          <w:szCs w:val="17"/>
          <w:u w:val="single" w:color="auto"/>
          <w:color w:val="auto"/>
        </w:rPr>
        <w:t>Permitted Refinancing Convertible Senior Notes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(b) and (c) above, the net proceeds (after giving effect to any refinancing) shall be loaned to the Borrower as a Parent CSN Proceeds Loan.”</w:t>
      </w:r>
    </w:p>
    <w:p>
      <w:pPr>
        <w:spacing w:after="0" w:line="191" w:lineRule="exact"/>
        <w:rPr>
          <w:sz w:val="20"/>
          <w:szCs w:val="20"/>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“Total Debt” in Section 1.01 of the Credit Agreement is hereby amended and restated in its entirety as follows:</w:t>
      </w:r>
    </w:p>
    <w:p>
      <w:pPr>
        <w:spacing w:after="0" w:line="225" w:lineRule="exact"/>
        <w:rPr>
          <w:sz w:val="20"/>
          <w:szCs w:val="20"/>
          <w:color w:val="auto"/>
        </w:rPr>
      </w:pPr>
    </w:p>
    <w:p>
      <w:pPr>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w:t>
      </w:r>
    </w:p>
    <w:p>
      <w:pPr>
        <w:spacing w:after="0" w:line="3" w:lineRule="exact"/>
        <w:rPr>
          <w:sz w:val="20"/>
          <w:szCs w:val="20"/>
          <w:color w:val="auto"/>
        </w:rPr>
      </w:pPr>
    </w:p>
    <w:p>
      <w:pPr>
        <w:ind w:left="4" w:right="140" w:hanging="4"/>
        <w:spacing w:after="0" w:line="261"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(f) above of any partnership or joint venture (other than a joint venture that is itself a corporation or limited liability company) in which the Borrower or any Guarantor is a</w:t>
      </w:r>
    </w:p>
    <w:p>
      <w:pPr>
        <w:spacing w:after="0" w:line="18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5" w:name="page6"/>
    <w:bookmarkEnd w:id="5"/>
    <w:p>
      <w:pPr>
        <w:ind w:left="4"/>
        <w:spacing w:after="0" w:line="286" w:lineRule="auto"/>
        <w:rPr>
          <w:sz w:val="20"/>
          <w:szCs w:val="20"/>
          <w:color w:val="auto"/>
        </w:rPr>
      </w:pPr>
      <w:r>
        <w:rPr>
          <w:rFonts w:ascii="Arial" w:cs="Arial" w:eastAsia="Arial" w:hAnsi="Arial"/>
          <w:sz w:val="16"/>
          <w:szCs w:val="16"/>
          <w:color w:val="auto"/>
        </w:rPr>
        <w:t>general 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 and (iv) solely for any Measurement Period ending on or prior to December 31, 2018, Guarantees with respect to Permitted Refinancing Convertible Senior Notes issued, in whole or in part, to refinance the Original Convertible Senior Notes, or Parent CSN Proceeds Loans relating thereto, shall not constitute Total Debt to the extent of the portion of the proceeds of such Permitted Refinancing Convertible Senior Notes irrevocably deposited by the Parent in a segregated account pursuant to an escrow (or similar) agreement in form and substance reasonably acceptable to the Administrative Agent pending application to the repayment of the Original Convertible Senior Notes at the stated maturity thereof.”</w:t>
      </w:r>
    </w:p>
    <w:p>
      <w:pPr>
        <w:spacing w:after="0" w:line="172" w:lineRule="exact"/>
        <w:rPr>
          <w:sz w:val="20"/>
          <w:szCs w:val="20"/>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5.17(a) of the Credit Agreement is hereby amended and restated in its entirety as follows:</w:t>
      </w:r>
    </w:p>
    <w:p>
      <w:pPr>
        <w:spacing w:after="0" w:line="225" w:lineRule="exact"/>
        <w:rPr>
          <w:sz w:val="20"/>
          <w:szCs w:val="20"/>
          <w:color w:val="auto"/>
        </w:rPr>
      </w:pPr>
    </w:p>
    <w:p>
      <w:pPr>
        <w:ind w:left="4" w:firstLine="648"/>
        <w:spacing w:after="0" w:line="272" w:lineRule="auto"/>
        <w:rPr>
          <w:sz w:val="20"/>
          <w:szCs w:val="20"/>
          <w:color w:val="auto"/>
        </w:rPr>
      </w:pPr>
      <w:r>
        <w:rPr>
          <w:rFonts w:ascii="Arial" w:cs="Arial" w:eastAsia="Arial" w:hAnsi="Arial"/>
          <w:sz w:val="17"/>
          <w:szCs w:val="17"/>
          <w:color w:val="auto"/>
        </w:rPr>
        <w:t>“(a) Each Generation Portfolio Company that owns or operates facilities used for the generation, transmission, or distribution of electric energy for sale meets the requirements for, and has been determined by FERC to be, either an “exempt wholesale generator” (“</w:t>
      </w:r>
      <w:r>
        <w:rPr>
          <w:rFonts w:ascii="Arial" w:cs="Arial" w:eastAsia="Arial" w:hAnsi="Arial"/>
          <w:sz w:val="17"/>
          <w:szCs w:val="17"/>
          <w:u w:val="single" w:color="auto"/>
          <w:color w:val="auto"/>
        </w:rPr>
        <w:t>Exempt Wholesale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Generator</w:t>
      </w:r>
      <w:r>
        <w:rPr>
          <w:rFonts w:ascii="Arial" w:cs="Arial" w:eastAsia="Arial" w:hAnsi="Arial"/>
          <w:sz w:val="17"/>
          <w:szCs w:val="17"/>
          <w:color w:val="auto"/>
        </w:rPr>
        <w:t>”) within the meaning of PUHCA or such facilities meet the requirements of a “qualifying cogeneration facility” or a “qualifying small power production facility” (either a “</w:t>
      </w:r>
      <w:r>
        <w:rPr>
          <w:rFonts w:ascii="Arial" w:cs="Arial" w:eastAsia="Arial" w:hAnsi="Arial"/>
          <w:sz w:val="17"/>
          <w:szCs w:val="17"/>
          <w:u w:val="single" w:color="auto"/>
          <w:color w:val="auto"/>
        </w:rPr>
        <w:t>Qualifying Facility</w:t>
      </w:r>
      <w:r>
        <w:rPr>
          <w:rFonts w:ascii="Arial" w:cs="Arial" w:eastAsia="Arial" w:hAnsi="Arial"/>
          <w:sz w:val="17"/>
          <w:szCs w:val="17"/>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178" w:lineRule="exact"/>
        <w:rPr>
          <w:sz w:val="20"/>
          <w:szCs w:val="20"/>
          <w:color w:val="auto"/>
        </w:rPr>
      </w:pPr>
    </w:p>
    <w:p>
      <w:pPr>
        <w:ind w:left="664" w:hanging="664"/>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6.15(b) of the Credit Agreement is hereby amended and restated in its entirety as follows:</w:t>
      </w:r>
    </w:p>
    <w:p>
      <w:pPr>
        <w:spacing w:after="0" w:line="225" w:lineRule="exact"/>
        <w:rPr>
          <w:sz w:val="20"/>
          <w:szCs w:val="20"/>
          <w:color w:val="auto"/>
        </w:rPr>
      </w:pPr>
    </w:p>
    <w:p>
      <w:pPr>
        <w:jc w:val="both"/>
        <w:ind w:left="4" w:right="900" w:firstLine="648"/>
        <w:spacing w:after="0" w:line="264" w:lineRule="auto"/>
        <w:rPr>
          <w:sz w:val="20"/>
          <w:szCs w:val="20"/>
          <w:color w:val="auto"/>
        </w:rPr>
      </w:pPr>
      <w:r>
        <w:rPr>
          <w:rFonts w:ascii="Arial" w:cs="Arial" w:eastAsia="Arial" w:hAnsi="Arial"/>
          <w:sz w:val="18"/>
          <w:szCs w:val="18"/>
          <w:color w:val="auto"/>
        </w:rPr>
        <w:t>“(b) 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6" w:name="page7"/>
    <w:bookmarkEnd w:id="6"/>
    <w:p>
      <w:pPr>
        <w:ind w:left="660" w:right="180"/>
        <w:spacing w:after="0" w:line="277" w:lineRule="auto"/>
        <w:rPr>
          <w:sz w:val="20"/>
          <w:szCs w:val="20"/>
          <w:color w:val="auto"/>
        </w:rPr>
      </w:pPr>
      <w:r>
        <w:rPr>
          <w:rFonts w:ascii="Arial" w:cs="Arial" w:eastAsia="Arial" w:hAnsi="Arial"/>
          <w:sz w:val="18"/>
          <w:szCs w:val="18"/>
          <w:color w:val="auto"/>
        </w:rPr>
        <w:t>Exempt Wholesale Generator within the meaning of PUHCA or a Qualifying Facility under PURPA, except to the extent failure to do so could not reasonably be expected to have a Material Adverse Effect.”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8"/>
          <w:szCs w:val="18"/>
          <w:b w:val="1"/>
          <w:bCs w:val="1"/>
          <w:color w:val="auto"/>
        </w:rPr>
        <w:t>CONDITIONS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“Fourth Amendment Effective Date”</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58" w:lineRule="auto"/>
        <w:tabs>
          <w:tab w:leader="none" w:pos="1309"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Fourth Amendment Effective Date (or, in the case of certificates of governmental officials, a recent date before the Fourth Amendment Effective Date) and each in form and substance reasonably satisfactory to the Administrative Agent and each of the Lenders:</w:t>
      </w:r>
    </w:p>
    <w:p>
      <w:pPr>
        <w:spacing w:after="0" w:line="187" w:lineRule="exact"/>
        <w:rPr>
          <w:rFonts w:ascii="Arial" w:cs="Arial" w:eastAsia="Arial" w:hAnsi="Arial"/>
          <w:sz w:val="18"/>
          <w:szCs w:val="18"/>
          <w:color w:val="auto"/>
        </w:rPr>
      </w:pPr>
    </w:p>
    <w:p>
      <w:pPr>
        <w:jc w:val="both"/>
        <w:ind w:left="660" w:right="80" w:firstLine="645"/>
        <w:spacing w:after="0" w:line="264" w:lineRule="auto"/>
        <w:tabs>
          <w:tab w:leader="none" w:pos="1971" w:val="left"/>
        </w:tabs>
        <w:numPr>
          <w:ilvl w:val="2"/>
          <w:numId w:val="8"/>
        </w:numPr>
        <w:rPr>
          <w:rFonts w:ascii="Arial" w:cs="Arial" w:eastAsia="Arial" w:hAnsi="Arial"/>
          <w:sz w:val="18"/>
          <w:szCs w:val="18"/>
          <w:color w:val="auto"/>
        </w:rPr>
      </w:pPr>
      <w:r>
        <w:rPr>
          <w:rFonts w:ascii="Arial" w:cs="Arial" w:eastAsia="Arial" w:hAnsi="Arial"/>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8"/>
        </w:numPr>
        <w:rPr>
          <w:rFonts w:ascii="Arial" w:cs="Arial" w:eastAsia="Arial" w:hAnsi="Arial"/>
          <w:sz w:val="16"/>
          <w:szCs w:val="16"/>
          <w:color w:val="auto"/>
        </w:rPr>
      </w:pPr>
      <w:r>
        <w:rPr>
          <w:rFonts w:ascii="Arial" w:cs="Arial" w:eastAsia="Arial" w:hAnsi="Arial"/>
          <w:sz w:val="16"/>
          <w:szCs w:val="16"/>
          <w:color w:val="auto"/>
        </w:rPr>
        <w:t>(a) a certificate of the secretary or assistant secretary of each Loan Party dated the Fourth Amendment Effective Date, certifying</w:t>
      </w:r>
    </w:p>
    <w:p>
      <w:pPr>
        <w:spacing w:after="0" w:line="46" w:lineRule="exact"/>
        <w:rPr>
          <w:rFonts w:ascii="Arial" w:cs="Arial" w:eastAsia="Arial" w:hAnsi="Arial"/>
          <w:sz w:val="16"/>
          <w:szCs w:val="16"/>
          <w:color w:val="auto"/>
        </w:rPr>
      </w:pPr>
    </w:p>
    <w:p>
      <w:pPr>
        <w:ind w:left="660" w:right="120"/>
        <w:spacing w:after="0" w:line="290" w:lineRule="auto"/>
        <w:rPr>
          <w:rFonts w:ascii="Arial" w:cs="Arial" w:eastAsia="Arial" w:hAnsi="Arial"/>
          <w:sz w:val="16"/>
          <w:szCs w:val="16"/>
          <w:color w:val="auto"/>
        </w:rPr>
      </w:pPr>
      <w:r>
        <w:rPr>
          <w:rFonts w:ascii="Arial" w:cs="Arial" w:eastAsia="Arial" w:hAnsi="Arial"/>
          <w:sz w:val="16"/>
          <w:szCs w:val="16"/>
          <w:color w:val="auto"/>
        </w:rPr>
        <w:t>(x) that each Organization Document of each such Loan Party has not been amended or changed since the A&amp;R Credit Agreement Third Amendment Effective Date other than those changes attached to such certificate, and a certificate as to the good standing of each Loan Party as of a recent date, from the Secretary of State (or equivalent Governmental Authority) of the state or jurisdiction of its organization, (y)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or assistant secretary executing the certificate pursuant to clause (a) above; and</w:t>
      </w:r>
    </w:p>
    <w:p>
      <w:pPr>
        <w:spacing w:after="0" w:line="164" w:lineRule="exact"/>
        <w:rPr>
          <w:rFonts w:ascii="Arial" w:cs="Arial" w:eastAsia="Arial" w:hAnsi="Arial"/>
          <w:sz w:val="16"/>
          <w:szCs w:val="16"/>
          <w:color w:val="auto"/>
        </w:rPr>
      </w:pPr>
    </w:p>
    <w:p>
      <w:pPr>
        <w:ind w:left="660" w:right="60" w:firstLine="645"/>
        <w:spacing w:after="0" w:line="264" w:lineRule="auto"/>
        <w:tabs>
          <w:tab w:leader="none" w:pos="1990" w:val="left"/>
        </w:tabs>
        <w:numPr>
          <w:ilvl w:val="2"/>
          <w:numId w:val="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as of the Fourth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177" w:lineRule="exact"/>
        <w:rPr>
          <w:rFonts w:ascii="Arial" w:cs="Arial" w:eastAsia="Arial" w:hAnsi="Arial"/>
          <w:sz w:val="18"/>
          <w:szCs w:val="18"/>
          <w:color w:val="auto"/>
        </w:rPr>
      </w:pPr>
    </w:p>
    <w:p>
      <w:pPr>
        <w:ind w:right="300" w:firstLine="656"/>
        <w:spacing w:after="0" w:line="293" w:lineRule="auto"/>
        <w:tabs>
          <w:tab w:leader="none" w:pos="1299"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Payment of Fees and Expenses</w:t>
      </w:r>
      <w:r>
        <w:rPr>
          <w:rFonts w:ascii="Arial" w:cs="Arial" w:eastAsia="Arial" w:hAnsi="Arial"/>
          <w:sz w:val="16"/>
          <w:szCs w:val="16"/>
          <w:color w:val="auto"/>
        </w:rPr>
        <w:t>. The Administrative Agent shall have received all reasonable and documented out-of-pocket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connection with this Amendment on or prior to the Fourth Amendment Effective Date, including, to the extent invoiced at least three</w:t>
      </w:r>
    </w:p>
    <w:p>
      <w:pPr>
        <w:spacing w:after="0" w:line="1" w:lineRule="exact"/>
        <w:rPr>
          <w:rFonts w:ascii="Arial" w:cs="Arial" w:eastAsia="Arial" w:hAnsi="Arial"/>
          <w:sz w:val="16"/>
          <w:szCs w:val="16"/>
          <w:color w:val="auto"/>
        </w:rPr>
      </w:pPr>
    </w:p>
    <w:p>
      <w:pPr>
        <w:ind w:right="56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Days prior to the Fourth Amendment Effective Date, reimbursement or other payment of all out-of-pocket fees and expenses in each case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be reimbursed or paid by the Borrower under the Credit Agreement.</w:t>
      </w:r>
    </w:p>
    <w:p>
      <w:pPr>
        <w:spacing w:after="0" w:line="221" w:lineRule="exact"/>
        <w:rPr>
          <w:sz w:val="20"/>
          <w:szCs w:val="20"/>
          <w:color w:val="auto"/>
        </w:rPr>
      </w:pPr>
    </w:p>
    <w:p>
      <w:pPr>
        <w:jc w:val="both"/>
        <w:ind w:right="260" w:firstLine="656"/>
        <w:spacing w:after="0" w:line="261" w:lineRule="auto"/>
        <w:tabs>
          <w:tab w:leader="none" w:pos="129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Fourth Amendment Effective Date, no event, circumstance or change shall have occurred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80" w:lineRule="exact"/>
        <w:rPr>
          <w:rFonts w:ascii="Arial" w:cs="Arial" w:eastAsia="Arial" w:hAnsi="Arial"/>
          <w:sz w:val="18"/>
          <w:szCs w:val="18"/>
          <w:color w:val="auto"/>
        </w:rPr>
      </w:pPr>
    </w:p>
    <w:p>
      <w:pPr>
        <w:ind w:right="40" w:firstLine="656"/>
        <w:spacing w:after="0" w:line="266" w:lineRule="auto"/>
        <w:tabs>
          <w:tab w:leader="none" w:pos="130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Fourth Amendment Effective Date (unless made solely as of a prior date, in which case such representation and warranty was true and correct in all material respects as of such date).</w:t>
      </w:r>
    </w:p>
    <w:p>
      <w:pPr>
        <w:spacing w:after="0" w:line="1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Fourth Amendment Effective Date:</w:t>
      </w:r>
    </w:p>
    <w:p>
      <w:pPr>
        <w:spacing w:after="0" w:line="166" w:lineRule="exact"/>
        <w:rPr>
          <w:sz w:val="20"/>
          <w:szCs w:val="20"/>
          <w:color w:val="auto"/>
        </w:rPr>
      </w:pPr>
    </w:p>
    <w:p>
      <w:pPr>
        <w:jc w:val="both"/>
        <w:ind w:right="640" w:firstLine="656"/>
        <w:spacing w:after="0" w:line="314" w:lineRule="auto"/>
        <w:tabs>
          <w:tab w:leader="none" w:pos="1309"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Corporate Power and Authority. </w:t>
      </w:r>
      <w:r>
        <w:rPr>
          <w:rFonts w:ascii="Arial" w:cs="Arial" w:eastAsia="Arial" w:hAnsi="Arial"/>
          <w:sz w:val="16"/>
          <w:szCs w:val="16"/>
          <w:color w:val="auto"/>
        </w:rPr>
        <w:t>Each Loan Party has all requisite power and authority and all requisite governmental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42" w:lineRule="exact"/>
        <w:rPr>
          <w:rFonts w:ascii="Arial" w:cs="Arial" w:eastAsia="Arial" w:hAnsi="Arial"/>
          <w:sz w:val="16"/>
          <w:szCs w:val="16"/>
          <w:color w:val="auto"/>
        </w:rPr>
      </w:pPr>
    </w:p>
    <w:p>
      <w:pPr>
        <w:ind w:right="700" w:firstLine="656"/>
        <w:spacing w:after="0" w:line="282" w:lineRule="auto"/>
        <w:tabs>
          <w:tab w:leader="none" w:pos="1299"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161" w:lineRule="exact"/>
        <w:rPr>
          <w:rFonts w:ascii="Arial" w:cs="Arial" w:eastAsia="Arial" w:hAnsi="Arial"/>
          <w:sz w:val="18"/>
          <w:szCs w:val="18"/>
          <w:color w:val="auto"/>
        </w:rPr>
      </w:pPr>
    </w:p>
    <w:p>
      <w:pPr>
        <w:ind w:right="60" w:firstLine="656"/>
        <w:spacing w:after="0" w:line="293" w:lineRule="auto"/>
        <w:tabs>
          <w:tab w:leader="none" w:pos="1299"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No Conflict. </w:t>
      </w:r>
      <w:r>
        <w:rPr>
          <w:rFonts w:ascii="Arial" w:cs="Arial" w:eastAsia="Arial" w:hAnsi="Arial"/>
          <w:sz w:val="16"/>
          <w:szCs w:val="16"/>
          <w:color w:val="auto"/>
        </w:rPr>
        <w:t>The execution, delivery and performance by each Loan Party of this Amendment do not and will not (i) contravene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such Person’s Organization Documents; (ii) conflict with or result in any breach or contravention of, or require any payment to be made under,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material Contractual Obligation to which such Person is a party or affecting such Person or the properties of such Person or any of its Subsidiaries, or</w:t>
      </w:r>
    </w:p>
    <w:p>
      <w:pPr>
        <w:spacing w:after="0" w:line="32" w:lineRule="exact"/>
        <w:rPr>
          <w:rFonts w:ascii="Arial" w:cs="Arial" w:eastAsia="Arial" w:hAnsi="Arial"/>
          <w:sz w:val="16"/>
          <w:szCs w:val="16"/>
          <w:color w:val="auto"/>
        </w:rPr>
      </w:pPr>
    </w:p>
    <w:p>
      <w:pPr>
        <w:ind w:right="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86" w:lineRule="exact"/>
        <w:rPr>
          <w:rFonts w:ascii="Arial" w:cs="Arial" w:eastAsia="Arial" w:hAnsi="Arial"/>
          <w:sz w:val="18"/>
          <w:szCs w:val="18"/>
          <w:color w:val="auto"/>
        </w:rPr>
      </w:pPr>
    </w:p>
    <w:p>
      <w:pPr>
        <w:ind w:firstLine="656"/>
        <w:spacing w:after="0" w:line="298" w:lineRule="auto"/>
        <w:tabs>
          <w:tab w:leader="none" w:pos="1309"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Amendment has been duly executed and delivered by each Loan Party that is party hereto. Each of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may be brought.</w:t>
      </w:r>
    </w:p>
    <w:p>
      <w:pPr>
        <w:spacing w:after="0" w:line="221" w:lineRule="exact"/>
        <w:rPr>
          <w:sz w:val="20"/>
          <w:szCs w:val="20"/>
          <w:color w:val="auto"/>
        </w:rPr>
      </w:pPr>
    </w:p>
    <w:p>
      <w:pPr>
        <w:jc w:val="both"/>
        <w:ind w:right="40" w:firstLine="656"/>
        <w:spacing w:after="0" w:line="258" w:lineRule="auto"/>
        <w:tabs>
          <w:tab w:leader="none" w:pos="1303"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Etc</w:t>
      </w:r>
      <w:r>
        <w:rPr>
          <w:rFonts w:ascii="Arial" w:cs="Arial" w:eastAsia="Arial" w:hAnsi="Arial"/>
          <w:sz w:val="18"/>
          <w:szCs w:val="18"/>
          <w:color w:val="auto"/>
        </w:rPr>
        <w:t>. (x) All representations and warranties contained in Article V of the Credit Agreement are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(y) no Default has occurred and is continuing.</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IV.</w:t>
        <w:tab/>
        <w:t>ACKNOWLEDGMENT AND CONSENT OF LOAN PARTIES; REAFFIRMATION OF GUARANTIES AND LIENS</w:t>
      </w:r>
    </w:p>
    <w:p>
      <w:pPr>
        <w:spacing w:after="0" w:line="225" w:lineRule="exact"/>
        <w:rPr>
          <w:sz w:val="20"/>
          <w:szCs w:val="20"/>
          <w:color w:val="auto"/>
        </w:rPr>
      </w:pPr>
    </w:p>
    <w:p>
      <w:pPr>
        <w:ind w:right="560" w:firstLine="656"/>
        <w:spacing w:after="0" w:line="313" w:lineRule="auto"/>
        <w:tabs>
          <w:tab w:leader="none" w:pos="130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Acknowledgment and Consent</w:t>
      </w:r>
      <w:r>
        <w:rPr>
          <w:rFonts w:ascii="Arial" w:cs="Arial" w:eastAsia="Arial" w:hAnsi="Arial"/>
          <w:sz w:val="17"/>
          <w:szCs w:val="17"/>
          <w:color w:val="auto"/>
        </w:rPr>
        <w:t>. Each Loan Party hereby acknowledges that it has reviewed the terms and provisions of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this Amendment and consents to the amendments of the Credit Agreement effected pursuant to this Amendment.</w:t>
      </w:r>
    </w:p>
    <w:p>
      <w:pPr>
        <w:spacing w:after="0" w:line="138" w:lineRule="exact"/>
        <w:rPr>
          <w:rFonts w:ascii="Arial" w:cs="Arial" w:eastAsia="Arial" w:hAnsi="Arial"/>
          <w:sz w:val="17"/>
          <w:szCs w:val="17"/>
          <w:color w:val="auto"/>
        </w:rPr>
      </w:pPr>
    </w:p>
    <w:p>
      <w:pPr>
        <w:ind w:right="60" w:firstLine="656"/>
        <w:spacing w:after="0" w:line="258" w:lineRule="auto"/>
        <w:tabs>
          <w:tab w:leader="none" w:pos="129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ind w:right="100" w:firstLine="656"/>
        <w:spacing w:after="0" w:line="314" w:lineRule="auto"/>
        <w:tabs>
          <w:tab w:leader="none" w:pos="129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Continuing Effect</w:t>
      </w:r>
      <w:r>
        <w:rPr>
          <w:rFonts w:ascii="Arial" w:cs="Arial" w:eastAsia="Arial" w:hAnsi="Arial"/>
          <w:sz w:val="16"/>
          <w:szCs w:val="16"/>
          <w:color w:val="auto"/>
        </w:rPr>
        <w:t>. Each Loan Party hereby acknowledges and agrees that (i) each Loan Document, both before and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42" w:lineRule="exact"/>
        <w:rPr>
          <w:rFonts w:ascii="Arial" w:cs="Arial" w:eastAsia="Arial" w:hAnsi="Arial"/>
          <w:sz w:val="16"/>
          <w:szCs w:val="16"/>
          <w:color w:val="auto"/>
        </w:rPr>
      </w:pPr>
    </w:p>
    <w:p>
      <w:pPr>
        <w:ind w:right="80" w:firstLine="656"/>
        <w:spacing w:after="0" w:line="266" w:lineRule="auto"/>
        <w:tabs>
          <w:tab w:leader="none" w:pos="130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060" w:hanging="404"/>
        <w:spacing w:after="0"/>
        <w:tabs>
          <w:tab w:leader="none" w:pos="1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312" w:lineRule="auto"/>
        <w:tabs>
          <w:tab w:leader="none" w:pos="10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and after the Fourth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6" w:lineRule="exact"/>
        <w:rPr>
          <w:rFonts w:ascii="Arial" w:cs="Arial" w:eastAsia="Arial" w:hAnsi="Arial"/>
          <w:sz w:val="16"/>
          <w:szCs w:val="16"/>
          <w:color w:val="auto"/>
        </w:rPr>
      </w:pPr>
    </w:p>
    <w:p>
      <w:pPr>
        <w:ind w:left="1100" w:hanging="4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other Loan Documents shall remain in full force and effect and are hereby ratified and confirmed.</w:t>
      </w:r>
    </w:p>
    <w:p>
      <w:pPr>
        <w:spacing w:after="0" w:line="225" w:lineRule="exact"/>
        <w:rPr>
          <w:sz w:val="20"/>
          <w:szCs w:val="20"/>
          <w:color w:val="auto"/>
        </w:rPr>
      </w:pPr>
    </w:p>
    <w:p>
      <w:pPr>
        <w:ind w:right="180" w:firstLine="656"/>
        <w:spacing w:after="0" w:line="276" w:lineRule="auto"/>
        <w:tabs>
          <w:tab w:leader="none" w:pos="11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69" w:lineRule="exact"/>
        <w:rPr>
          <w:sz w:val="20"/>
          <w:szCs w:val="20"/>
          <w:color w:val="auto"/>
        </w:rPr>
      </w:pPr>
    </w:p>
    <w:p>
      <w:pPr>
        <w:ind w:left="1040" w:hanging="384"/>
        <w:spacing w:after="0"/>
        <w:tabs>
          <w:tab w:leader="none" w:pos="104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right="120" w:firstLine="656"/>
        <w:spacing w:after="0" w:line="282" w:lineRule="auto"/>
        <w:tabs>
          <w:tab w:leader="none" w:pos="1048"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048"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w:t>
      </w:r>
    </w:p>
    <w:p>
      <w:pPr>
        <w:spacing w:after="0" w:line="38" w:lineRule="exact"/>
        <w:rPr>
          <w:rFonts w:ascii="Arial" w:cs="Arial" w:eastAsia="Arial" w:hAnsi="Arial"/>
          <w:sz w:val="17"/>
          <w:szCs w:val="17"/>
          <w:b w:val="1"/>
          <w:bCs w:val="1"/>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and Section 11.15 of the Amended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06" w:lineRule="exact"/>
        <w:rPr>
          <w:rFonts w:ascii="Arial" w:cs="Arial" w:eastAsia="Arial" w:hAnsi="Arial"/>
          <w:sz w:val="18"/>
          <w:szCs w:val="18"/>
          <w:color w:val="auto"/>
        </w:rPr>
      </w:pPr>
    </w:p>
    <w:p>
      <w:pPr>
        <w:ind w:firstLine="656"/>
        <w:spacing w:after="0" w:line="314" w:lineRule="auto"/>
        <w:tabs>
          <w:tab w:leader="none" w:pos="1012"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counterparts (and by different parties hereto in different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CLEARWAY ENERGY OPERATING LLC</w:t>
            </w:r>
          </w:p>
        </w:tc>
      </w:tr>
      <w:tr>
        <w:trPr>
          <w:trHeight w:val="648"/>
        </w:trPr>
        <w:tc>
          <w:tcPr>
            <w:tcW w:w="358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80" w:type="dxa"/>
            <w:vAlign w:val="bottom"/>
          </w:tcPr>
          <w:p>
            <w:pPr>
              <w:spacing w:after="0"/>
              <w:rPr>
                <w:sz w:val="16"/>
                <w:szCs w:val="16"/>
                <w:color w:val="auto"/>
              </w:rPr>
            </w:pPr>
          </w:p>
        </w:tc>
        <w:tc>
          <w:tcPr>
            <w:tcW w:w="300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80" w:type="dxa"/>
            <w:vAlign w:val="bottom"/>
          </w:tcPr>
          <w:p>
            <w:pPr>
              <w:spacing w:after="0"/>
              <w:rPr>
                <w:sz w:val="20"/>
                <w:szCs w:val="20"/>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58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58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358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80" w:type="dxa"/>
            <w:vAlign w:val="bottom"/>
          </w:tcPr>
          <w:p>
            <w:pPr>
              <w:spacing w:after="0"/>
              <w:rPr>
                <w:sz w:val="16"/>
                <w:szCs w:val="16"/>
                <w:color w:val="auto"/>
              </w:rPr>
            </w:pPr>
          </w:p>
        </w:tc>
        <w:tc>
          <w:tcPr>
            <w:tcW w:w="300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80" w:type="dxa"/>
            <w:vAlign w:val="bottom"/>
          </w:tcPr>
          <w:p>
            <w:pPr>
              <w:spacing w:after="0"/>
              <w:rPr>
                <w:sz w:val="20"/>
                <w:szCs w:val="20"/>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6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2" w:name="page13"/>
    <w:bookmarkEnd w:id="12"/>
    <w:p>
      <w:pPr>
        <w:ind w:left="46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Javellana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Juan Javellana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3" w:name="page14"/>
    <w:bookmarkEnd w:id="13"/>
    <w:p>
      <w:pPr>
        <w:ind w:left="46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Javellana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Juan Javellana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4" w:name="page15"/>
    <w:bookmarkEnd w:id="14"/>
    <w:p>
      <w:pPr>
        <w:ind w:left="4620"/>
        <w:spacing w:after="0"/>
        <w:rPr>
          <w:sz w:val="20"/>
          <w:szCs w:val="20"/>
          <w:color w:val="auto"/>
        </w:rPr>
      </w:pPr>
      <w:r>
        <w:rPr>
          <w:rFonts w:ascii="Arial" w:cs="Arial" w:eastAsia="Arial" w:hAnsi="Arial"/>
          <w:sz w:val="18"/>
          <w:szCs w:val="18"/>
          <w:b w:val="1"/>
          <w:bCs w:val="1"/>
          <w:color w:val="auto"/>
        </w:rPr>
        <w:t>ABN AMRO CAPITAL USA LLC,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Snow</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Paul Snow</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Sullivan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John Sullivan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5" w:name="page16"/>
    <w:bookmarkEnd w:id="15"/>
    <w:p>
      <w:pPr>
        <w:ind w:left="4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Wells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Jerry Wells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6" w:name="page17"/>
    <w:bookmarkEnd w:id="16"/>
    <w:p>
      <w:pPr>
        <w:ind w:left="46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May Huang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May Huang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 w:name="page18"/>
    <w:bookmarkEnd w:id="17"/>
    <w:p>
      <w:pPr>
        <w:ind w:left="46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Ashwani Khubani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Ashwani Khubani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8" w:name="page19"/>
    <w:bookmarkEnd w:id="18"/>
    <w:p>
      <w:pPr>
        <w:ind w:left="4620"/>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Minieri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Jamie Minieri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9" w:name="page20"/>
    <w:bookmarkEnd w:id="19"/>
    <w:p>
      <w:pPr>
        <w:ind w:left="462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Mikhail Faybusovich</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Mikhail Faybusovich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Griffin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Andrew Griffin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 w:name="page21"/>
    <w:bookmarkEnd w:id="20"/>
    <w:p>
      <w:pPr>
        <w:ind w:left="46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M. Bonnell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Renee M. Bonnell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1" w:name="page22"/>
    <w:bookmarkEnd w:id="21"/>
    <w:p>
      <w:pPr>
        <w:ind w:left="46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Kuhns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Jack Kuhns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2" w:name="page23"/>
    <w:bookmarkEnd w:id="22"/>
    <w:p>
      <w:pPr>
        <w:ind w:left="4620"/>
        <w:spacing w:after="0"/>
        <w:rPr>
          <w:sz w:val="20"/>
          <w:szCs w:val="20"/>
          <w:color w:val="auto"/>
        </w:rPr>
      </w:pPr>
      <w:r>
        <w:rPr>
          <w:rFonts w:ascii="Arial" w:cs="Arial" w:eastAsia="Arial" w:hAnsi="Arial"/>
          <w:sz w:val="18"/>
          <w:szCs w:val="18"/>
          <w:b w:val="1"/>
          <w:bCs w:val="1"/>
          <w:color w:val="auto"/>
        </w:rPr>
        <w:t>MUFG UNION BANK, N.A. f/k/a UNION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Farrell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Paul Farrell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3" w:name="page24"/>
    <w:bookmarkEnd w:id="23"/>
    <w:p>
      <w:pPr>
        <w:ind w:left="46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Painter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Justin Painter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2"/>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upperLetter"/>
      <w:start w:val="3"/>
    </w:lvl>
  </w:abstractNum>
  <w:abstractNum w:abstractNumId="6">
    <w:nsid w:val="3352255A"/>
    <w:multiLevelType w:val="hybridMultilevel"/>
    <w:lvl w:ilvl="0">
      <w:lvlJc w:val="left"/>
      <w:lvlText w:val="%1."/>
      <w:numFmt w:val="upperLetter"/>
      <w:start w:val="4"/>
    </w:lvl>
  </w:abstractNum>
  <w:abstractNum w:abstractNumId="7">
    <w:nsid w:val="109CF92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
    <w:nsid w:val="DED7263"/>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9">
    <w:nsid w:val="7FDCC233"/>
    <w:multiLevelType w:val="hybridMultilevel"/>
    <w:lvl w:ilvl="0">
      <w:lvlJc w:val="left"/>
      <w:lvlText w:val="%1."/>
      <w:numFmt w:val="upperLetter"/>
      <w:start w:val="3"/>
    </w:lvl>
  </w:abstractNum>
  <w:abstractNum w:abstractNumId="10">
    <w:nsid w:val="1BEFD79F"/>
    <w:multiLevelType w:val="hybridMultilevel"/>
    <w:lvl w:ilvl="0">
      <w:lvlJc w:val="left"/>
      <w:lvlText w:val="%1"/>
      <w:numFmt w:val="lowerLetter"/>
      <w:start w:val="1"/>
    </w:lvl>
    <w:lvl w:ilvl="1">
      <w:lvlJc w:val="left"/>
      <w:lvlText w:val="%2."/>
      <w:numFmt w:val="upperLetter"/>
      <w:start w:val="1"/>
    </w:lvl>
  </w:abstractNum>
  <w:abstractNum w:abstractNumId="11">
    <w:nsid w:val="41A7C4C9"/>
    <w:multiLevelType w:val="hybridMultilevel"/>
    <w:lvl w:ilvl="0">
      <w:lvlJc w:val="left"/>
      <w:lvlText w:val="(%1)"/>
      <w:numFmt w:val="lowerLetter"/>
      <w:start w:val="1"/>
    </w:lvl>
    <w:lvl w:ilvl="1">
      <w:lvlJc w:val="left"/>
      <w:lvlText w:val="%2."/>
      <w:numFmt w:val="upperLetter"/>
      <w:start w:val="4"/>
    </w:lvl>
  </w:abstractNum>
  <w:abstractNum w:abstractNumId="12">
    <w:nsid w:val="6B68079A"/>
    <w:multiLevelType w:val="hybridMultilevel"/>
    <w:lvl w:ilvl="0">
      <w:lvlJc w:val="left"/>
      <w:lvlText w:val="%1."/>
      <w:numFmt w:val="upperLetter"/>
      <w:start w:val="5"/>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1"/>
      <w:numFmt w:val="lowerLetter"/>
      <w:start w:val="1"/>
    </w:lvl>
    <w:lvl w:ilvl="1">
      <w:lvlJc w:val="left"/>
      <w:lvlText w:val="%2."/>
      <w:numFmt w:val="upperLetter"/>
      <w:start w:val="2"/>
    </w:lvl>
  </w:abstractNum>
  <w:abstractNum w:abstractNumId="18">
    <w:nsid w:val="7C83E458"/>
    <w:multiLevelType w:val="hybridMultilevel"/>
    <w:lvl w:ilvl="0">
      <w:lvlJc w:val="left"/>
      <w:lvlText w:val="(%1)"/>
      <w:numFmt w:val="lowerLetter"/>
      <w:start w:val="4"/>
    </w:lvl>
    <w:lvl w:ilvl="1">
      <w:lvlJc w:val="left"/>
      <w:lvlText w:val="%2."/>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2019-12-28T17:41:04Z</dcterms:created>
  <dcterms:modified xsi:type="dcterms:W3CDTF">2019-12-28T17:41:04Z</dcterms:modified>
</cp:coreProperties>
</file>