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2020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19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6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300 Carnegie Center, Suite 300, Princeton, New Jersey </w:t>
      </w:r>
      <w:r>
        <w:rPr>
          <w:rFonts w:ascii="Arial" w:cs="Arial" w:eastAsia="Arial" w:hAnsi="Arial"/>
          <w:sz w:val="18"/>
          <w:szCs w:val="18"/>
          <w:color w:val="auto"/>
        </w:rPr>
        <w:t>08540</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31" w:lineRule="exact"/>
        <w:rPr>
          <w:rFonts w:ascii="MS PGothic" w:cs="MS PGothic" w:eastAsia="MS PGothic" w:hAnsi="MS PGothic"/>
          <w:sz w:val="18"/>
          <w:szCs w:val="18"/>
          <w:color w:val="auto"/>
        </w:rPr>
      </w:pPr>
    </w:p>
    <w:p>
      <w:pPr>
        <w:ind w:right="2940" w:firstLine="48"/>
        <w:spacing w:after="0" w:line="274"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9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97"/>
              </w:rPr>
              <w:t>CWEN.A</w:t>
            </w:r>
          </w:p>
        </w:tc>
        <w:tc>
          <w:tcPr>
            <w:tcW w:w="4780" w:type="dxa"/>
            <w:vAlign w:val="bottom"/>
          </w:tcPr>
          <w:p>
            <w:pPr>
              <w:jc w:val="center"/>
              <w:ind w:right="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92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98"/>
              </w:rPr>
              <w:t>CWEN</w:t>
            </w:r>
          </w:p>
        </w:tc>
        <w:tc>
          <w:tcPr>
            <w:tcW w:w="4780" w:type="dxa"/>
            <w:vAlign w:val="bottom"/>
          </w:tcPr>
          <w:p>
            <w:pPr>
              <w:jc w:val="center"/>
              <w:ind w:right="70"/>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 xml:space="preserve">On August 6, 2020, Clearway Energy, Inc. issued a press release announcing its financial results for the quarter ended June 30, 2020. A copy of the press release is furnished as Exhibit 99.1 to this report on Form 8-K and is hereby incorporated by reference. </w:t>
      </w:r>
      <w:r>
        <w:rPr>
          <w:rFonts w:ascii="Arial" w:cs="Arial" w:eastAsia="Arial" w:hAnsi="Arial"/>
          <w:sz w:val="18"/>
          <w:szCs w:val="18"/>
          <w:color w:val="212529"/>
        </w:rPr>
        <w:t>In accordance with General Instruction B.2 of</w:t>
      </w:r>
      <w:r>
        <w:rPr>
          <w:rFonts w:ascii="Arial" w:cs="Arial" w:eastAsia="Arial" w:hAnsi="Arial"/>
          <w:sz w:val="18"/>
          <w:szCs w:val="18"/>
          <w:color w:val="auto"/>
        </w:rPr>
        <w:t xml:space="preserve"> </w:t>
      </w:r>
      <w:r>
        <w:rPr>
          <w:rFonts w:ascii="Arial" w:cs="Arial" w:eastAsia="Arial" w:hAnsi="Arial"/>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100" w:type="dxa"/>
            <w:vAlign w:val="bottom"/>
          </w:tcPr>
          <w:p>
            <w:pPr>
              <w:spacing w:after="0"/>
              <w:rPr>
                <w:sz w:val="18"/>
                <w:szCs w:val="18"/>
                <w:color w:val="auto"/>
              </w:rPr>
            </w:pPr>
          </w:p>
        </w:tc>
      </w:t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100" w:type="dxa"/>
            <w:vAlign w:val="bottom"/>
          </w:tcPr>
          <w:p>
            <w:pPr>
              <w:ind w:left="366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20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ind w:left="20"/>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0"/>
                <w:szCs w:val="20"/>
                <w:color w:val="auto"/>
              </w:rPr>
            </w:pPr>
          </w:p>
        </w:tc>
        <w:tc>
          <w:tcPr>
            <w:tcW w:w="810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6, 2020</w:t>
              </w:r>
            </w:hyperlink>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Second Quarter 2020 Financial Results</w:t>
      </w:r>
    </w:p>
    <w:p>
      <w:pPr>
        <w:spacing w:after="0" w:line="2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Pacific Gas &amp; Electric (PG&amp;E) emerged from bankruptcy allowing for the release of trapped cash</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a 49% quarterly dividend increase to $0.3125 per share in third quarter 2020</w:t>
      </w:r>
    </w:p>
    <w:p>
      <w:pPr>
        <w:spacing w:after="0" w:line="7" w:lineRule="exact"/>
        <w:rPr>
          <w:rFonts w:ascii="Arial" w:cs="Arial" w:eastAsia="Arial" w:hAnsi="Arial"/>
          <w:sz w:val="18"/>
          <w:szCs w:val="18"/>
          <w:b w:val="1"/>
          <w:bCs w:val="1"/>
          <w:color w:val="auto"/>
        </w:rPr>
      </w:pPr>
    </w:p>
    <w:p>
      <w:pPr>
        <w:ind w:left="660" w:right="100" w:hanging="328"/>
        <w:spacing w:after="0" w:line="25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Reaffirming Clearway's long-term target annual dividend growth of 5-8%; anticipated growth at the high end of this range by the end of 2021</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Sold interest in the residential solar portfolio and acquired the remaining interest in Repowering 1.0</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$278 million in capital through additional Green Bond 2028 Senior Notes and ATM proceeds</w:t>
      </w:r>
    </w:p>
    <w:p>
      <w:pPr>
        <w:spacing w:after="0" w:line="9" w:lineRule="exact"/>
        <w:rPr>
          <w:rFonts w:ascii="Arial" w:cs="Arial" w:eastAsia="Arial" w:hAnsi="Arial"/>
          <w:sz w:val="18"/>
          <w:szCs w:val="18"/>
          <w:b w:val="1"/>
          <w:bCs w:val="1"/>
          <w:color w:val="auto"/>
        </w:rPr>
      </w:pPr>
    </w:p>
    <w:p>
      <w:pPr>
        <w:ind w:left="660" w:right="220" w:hanging="328"/>
        <w:spacing w:after="0" w:line="25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growth with Clearway Group by executing an agreement to invest in the 419 MW Mesquite Star wind project and through a new Drop Down offer</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Reaffirming 2020 financial guidance</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6, 2020</w:t>
      </w:r>
      <w:r>
        <w:rPr>
          <w:rFonts w:ascii="Arial" w:cs="Arial" w:eastAsia="Arial" w:hAnsi="Arial"/>
          <w:sz w:val="18"/>
          <w:szCs w:val="18"/>
          <w:color w:val="auto"/>
        </w:rPr>
        <w:t>— Clearway Energy, Inc. (NYSE: CWEN, CWEN.A) today reported second quarter 2020 financial results,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of $76 million, Adjusted EBITDA of $316 million, Cash from Operating Activities of $100 million, and Cash Available for Distribution (CAFD) of $86 million, which includes adjustments to reflect CAFD generated by unconsolidated investments that were unable to distribute project dividends due to the PG&amp;E bankruptcy as of June 30, 2020.</w:t>
      </w:r>
    </w:p>
    <w:p>
      <w:pPr>
        <w:spacing w:after="0" w:line="2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 the emergence of PG&amp;E from bankruptcy, Clearway’s impacted projects are now able to distribute cash in the normal course allowing the Company to reestablish its dividend in-line with long-term targets,” said Christopher Sotos, Clearway Energy, Inc.’s President and Chief Executive Officer. “In addition, PG&amp;E’s emergence also provides the Company a significant source of liquidity through the release of nearly $168 million of trapped cash. This cash will be allocated to existing growth commitments which puts the Company in a position to deliver at the upper end of its 5-8% long term dividend growth target through next year. Looking forward, we remain focused on additional accretive transactions such as today's announcement of the Mesquite Star investment, while continuing to build upon our partnership with Clearway Group to support our long-term growth objectives.”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30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30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6/30/20</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6/30/19</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6/30/19</w:t>
            </w:r>
          </w:p>
        </w:tc>
      </w:tr>
      <w:tr>
        <w:trPr>
          <w:trHeight w:val="27"/>
        </w:trPr>
        <w:tc>
          <w:tcPr>
            <w:tcW w:w="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0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56</w:t>
            </w:r>
          </w:p>
        </w:tc>
      </w:tr>
      <w:tr>
        <w:trPr>
          <w:trHeight w:val="243"/>
        </w:trPr>
        <w:tc>
          <w:tcPr>
            <w:tcW w:w="30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(20)</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340" w:type="dxa"/>
            <w:vAlign w:val="bottom"/>
          </w:tcPr>
          <w:p>
            <w:pPr>
              <w:jc w:val="center"/>
              <w:ind w:left="750"/>
              <w:spacing w:after="0"/>
              <w:rPr>
                <w:sz w:val="20"/>
                <w:szCs w:val="20"/>
                <w:color w:val="auto"/>
              </w:rPr>
            </w:pPr>
            <w:r>
              <w:rPr>
                <w:rFonts w:ascii="Arial" w:cs="Arial" w:eastAsia="Arial" w:hAnsi="Arial"/>
                <w:sz w:val="18"/>
                <w:szCs w:val="18"/>
                <w:color w:val="auto"/>
                <w:w w:val="93"/>
              </w:rPr>
              <w:t>(76)</w:t>
            </w:r>
          </w:p>
        </w:tc>
      </w:tr>
      <w:tr>
        <w:trPr>
          <w:trHeight w:val="27"/>
        </w:trPr>
        <w:tc>
          <w:tcPr>
            <w:tcW w:w="3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color w:val="auto"/>
                <w:w w:val="93"/>
              </w:rPr>
              <w:t>(10)</w:t>
            </w:r>
          </w:p>
        </w:tc>
      </w:tr>
      <w:tr>
        <w:trPr>
          <w:trHeight w:val="243"/>
        </w:trPr>
        <w:tc>
          <w:tcPr>
            <w:tcW w:w="30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1340" w:type="dxa"/>
            <w:vAlign w:val="bottom"/>
          </w:tcPr>
          <w:p>
            <w:pPr>
              <w:jc w:val="center"/>
              <w:ind w:left="750"/>
              <w:spacing w:after="0"/>
              <w:rPr>
                <w:sz w:val="20"/>
                <w:szCs w:val="20"/>
                <w:color w:val="auto"/>
              </w:rPr>
            </w:pPr>
            <w:r>
              <w:rPr>
                <w:rFonts w:ascii="Arial" w:cs="Arial" w:eastAsia="Arial" w:hAnsi="Arial"/>
                <w:sz w:val="18"/>
                <w:szCs w:val="18"/>
                <w:color w:val="auto"/>
                <w:w w:val="93"/>
              </w:rPr>
              <w:t>(53)</w:t>
            </w:r>
          </w:p>
        </w:tc>
      </w:tr>
      <w:tr>
        <w:trPr>
          <w:trHeight w:val="27"/>
        </w:trPr>
        <w:tc>
          <w:tcPr>
            <w:tcW w:w="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300" w:type="dxa"/>
            <w:vAlign w:val="bottom"/>
          </w:tcPr>
          <w:p>
            <w:pPr>
              <w:spacing w:after="0"/>
              <w:rPr>
                <w:sz w:val="24"/>
                <w:szCs w:val="24"/>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(Loss)/Income</w:t>
            </w:r>
          </w:p>
        </w:tc>
        <w:tc>
          <w:tcPr>
            <w:tcW w:w="10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color w:val="auto"/>
                <w:w w:val="93"/>
              </w:rPr>
              <w:t>(83)</w:t>
            </w:r>
          </w:p>
        </w:tc>
      </w:tr>
      <w:tr>
        <w:trPr>
          <w:trHeight w:val="20"/>
        </w:trPr>
        <w:tc>
          <w:tcPr>
            <w:tcW w:w="300" w:type="dxa"/>
            <w:vAlign w:val="bottom"/>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70"/>
        </w:trPr>
        <w:tc>
          <w:tcPr>
            <w:tcW w:w="300" w:type="dxa"/>
            <w:vAlign w:val="bottom"/>
          </w:tcPr>
          <w:p>
            <w:pPr>
              <w:spacing w:after="0"/>
              <w:rPr>
                <w:sz w:val="23"/>
                <w:szCs w:val="23"/>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8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6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300" w:type="dxa"/>
            <w:vAlign w:val="bottom"/>
          </w:tcPr>
          <w:p>
            <w:pPr>
              <w:spacing w:after="0"/>
              <w:rPr>
                <w:sz w:val="23"/>
                <w:szCs w:val="23"/>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3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6/30/20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w w:val="93"/>
              </w:rPr>
              <w:t>6/30/19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6/30/20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6/30/19</w:t>
            </w:r>
          </w:p>
        </w:tc>
        <w:tc>
          <w:tcPr>
            <w:tcW w:w="300" w:type="dxa"/>
            <w:vAlign w:val="bottom"/>
          </w:tcPr>
          <w:p>
            <w:pPr>
              <w:spacing w:after="0"/>
              <w:rPr>
                <w:sz w:val="23"/>
                <w:szCs w:val="23"/>
                <w:color w:val="auto"/>
              </w:rPr>
            </w:pPr>
          </w:p>
        </w:tc>
      </w:tr>
      <w:tr>
        <w:trPr>
          <w:trHeight w:val="27"/>
        </w:trPr>
        <w:tc>
          <w:tcPr>
            <w:tcW w:w="3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300" w:type="dxa"/>
            <w:vAlign w:val="bottom"/>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44"/>
        </w:trPr>
        <w:tc>
          <w:tcPr>
            <w:tcW w:w="300" w:type="dxa"/>
            <w:vAlign w:val="bottom"/>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21"/>
                <w:szCs w:val="21"/>
                <w:color w:val="auto"/>
              </w:rPr>
            </w:pPr>
          </w:p>
        </w:tc>
      </w:tr>
      <w:tr>
        <w:trPr>
          <w:trHeight w:val="603"/>
        </w:trPr>
        <w:tc>
          <w:tcPr>
            <w:tcW w:w="6780" w:type="dxa"/>
            <w:vAlign w:val="bottom"/>
            <w:gridSpan w:val="11"/>
          </w:tcPr>
          <w:p>
            <w:pPr>
              <w:spacing w:after="0"/>
              <w:rPr>
                <w:sz w:val="20"/>
                <w:szCs w:val="20"/>
                <w:color w:val="auto"/>
              </w:rPr>
            </w:pPr>
            <w:r>
              <w:rPr>
                <w:rFonts w:ascii="Arial" w:cs="Arial" w:eastAsia="Arial" w:hAnsi="Arial"/>
                <w:sz w:val="18"/>
                <w:szCs w:val="18"/>
                <w:b w:val="1"/>
                <w:bCs w:val="1"/>
                <w:color w:val="auto"/>
                <w:w w:val="94"/>
              </w:rPr>
              <w:t>Table 3: Cash from Operating Activities and Cash Available for Distribution (CAFD)</w:t>
            </w:r>
            <w:r>
              <w:rPr>
                <w:rFonts w:ascii="Arial" w:cs="Arial" w:eastAsia="Arial" w:hAnsi="Arial"/>
                <w:sz w:val="23"/>
                <w:szCs w:val="23"/>
                <w:b w:val="1"/>
                <w:bCs w:val="1"/>
                <w:color w:val="auto"/>
                <w:w w:val="94"/>
                <w:vertAlign w:val="superscript"/>
              </w:rPr>
              <w:t>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820" w:type="dxa"/>
            <w:vAlign w:val="bottom"/>
            <w:gridSpan w:val="3"/>
          </w:tcPr>
          <w:p>
            <w:pPr>
              <w:ind w:left="20"/>
              <w:spacing w:after="0"/>
              <w:rPr>
                <w:sz w:val="20"/>
                <w:szCs w:val="20"/>
                <w:color w:val="auto"/>
              </w:rPr>
            </w:pPr>
            <w:r>
              <w:rPr>
                <w:rFonts w:ascii="Arial" w:cs="Arial" w:eastAsia="Arial" w:hAnsi="Arial"/>
                <w:sz w:val="18"/>
                <w:szCs w:val="18"/>
                <w:i w:val="1"/>
                <w:iCs w:val="1"/>
                <w:color w:val="auto"/>
              </w:rPr>
              <w:t>($ millions)</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6/30/19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6/30/19</w:t>
            </w:r>
          </w:p>
        </w:tc>
        <w:tc>
          <w:tcPr>
            <w:tcW w:w="300" w:type="dxa"/>
            <w:vAlign w:val="bottom"/>
          </w:tcPr>
          <w:p>
            <w:pPr>
              <w:spacing w:after="0"/>
              <w:rPr>
                <w:sz w:val="23"/>
                <w:szCs w:val="23"/>
                <w:color w:val="auto"/>
              </w:rPr>
            </w:pPr>
          </w:p>
        </w:tc>
      </w:tr>
      <w:tr>
        <w:trPr>
          <w:trHeight w:val="27"/>
        </w:trPr>
        <w:tc>
          <w:tcPr>
            <w:tcW w:w="48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r>
      <w:tr>
        <w:trPr>
          <w:trHeight w:val="263"/>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6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64"/>
        </w:trPr>
        <w:tc>
          <w:tcPr>
            <w:tcW w:w="48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55</w:t>
            </w: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second quarter of 2020, the Company reported Net Income of $76 million, Adjusted EBITDA of $316 million, Cash from Operating Activities of $100 million, and CAFD of $86 million, which includes adjustments to reflect CAFD generated by unconsolidated investments that were unable to distribute project dividends due to the PG&amp;E bankruptcy as of June 30, 2020. Net Income increased versus the second quarter of 2019 primarily due to higher EBITDA and lower non-cash changes to the fair value of interest rate swaps. Second quarter Adjusted EBITDA results were higher than 2019 primarily due to the acquisition of Carlsbad and improved renewable energy production versus last year including at the Company's CVSR facility which experienced an outage in June 2019. In the second quarter, CAFD results were higher than 2019 primarily due to higher Adjusted EBITDA and the timing of corporate interest payments due to the issuance of the 2028 Senior Notes and redemption of the 2024 Senior Notes.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COVID-19 pandemic, the Company has implemented measures and developed corporate and regional response plans to protect its employees and to maintain safe and reliable operations at its facilities. Based on its experience year to date, the Company does not currently anticipate any material impact to its financial conditions resulting from the pandemic.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9"/>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0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1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6/30/20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6/30/19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23"/>
                <w:szCs w:val="23"/>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6/30/19</w:t>
            </w:r>
          </w:p>
        </w:tc>
      </w:tr>
      <w:tr>
        <w:trPr>
          <w:trHeight w:val="27"/>
        </w:trPr>
        <w:tc>
          <w:tcPr>
            <w:tcW w:w="1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140" w:type="dxa"/>
            <w:vAlign w:val="bottom"/>
          </w:tcPr>
          <w:p>
            <w:pPr>
              <w:spacing w:after="0"/>
              <w:rPr>
                <w:sz w:val="22"/>
                <w:szCs w:val="22"/>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87.5 %</w:t>
            </w:r>
          </w:p>
        </w:tc>
      </w:tr>
      <w:tr>
        <w:trPr>
          <w:trHeight w:val="270"/>
        </w:trPr>
        <w:tc>
          <w:tcPr>
            <w:tcW w:w="140" w:type="dxa"/>
            <w:vAlign w:val="bottom"/>
          </w:tcPr>
          <w:p>
            <w:pPr>
              <w:spacing w:after="0"/>
              <w:rPr>
                <w:sz w:val="23"/>
                <w:szCs w:val="23"/>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2,259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50"/>
        </w:trPr>
        <w:tc>
          <w:tcPr>
            <w:tcW w:w="14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0"/>
        </w:trPr>
        <w:tc>
          <w:tcPr>
            <w:tcW w:w="1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2020, availability at the Conventional segment was higher than the second quarter of 2019 due to the timing of spring outages in 2019. Generation in the Renewables segment during the second quarter of 2020 was 16% higher than the second quarter of 2019 due to weaker renewable resource conditions in the second quarter of 2019 and the outage at the CVSR facility in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hanging="92"/>
        <w:spacing w:after="0"/>
        <w:tabs>
          <w:tab w:leader="none" w:pos="10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adjustments to reflect CAFD generated by unconsolidated investments that were unable to distribute project dividends due to the PG&amp;E bankruptcy as of June 30, 2020</w:t>
      </w:r>
    </w:p>
    <w:p>
      <w:pPr>
        <w:spacing w:after="0" w:line="182" w:lineRule="auto"/>
        <w:rPr>
          <w:rFonts w:ascii="Arial" w:cs="Arial" w:eastAsia="Arial" w:hAnsi="Arial"/>
          <w:sz w:val="23"/>
          <w:szCs w:val="23"/>
          <w:color w:val="auto"/>
          <w:vertAlign w:val="superscript"/>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Excludes unconsolidated projects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89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740" w:type="dxa"/>
            <w:vAlign w:val="bottom"/>
          </w:tcPr>
          <w:p>
            <w:pPr>
              <w:spacing w:after="0"/>
              <w:rPr>
                <w:sz w:val="23"/>
                <w:szCs w:val="23"/>
                <w:color w:val="auto"/>
              </w:rPr>
            </w:pPr>
          </w:p>
        </w:tc>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3"/>
                <w:szCs w:val="23"/>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6/30/2020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12/31/2019</w:t>
            </w:r>
          </w:p>
        </w:tc>
      </w:tr>
      <w:tr>
        <w:trPr>
          <w:trHeight w:val="27"/>
        </w:trPr>
        <w:tc>
          <w:tcPr>
            <w:tcW w:w="740" w:type="dxa"/>
            <w:vAlign w:val="bottom"/>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0" w:type="dxa"/>
            <w:vAlign w:val="bottom"/>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4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w:t>
            </w:r>
          </w:p>
        </w:tc>
      </w:tr>
      <w:tr>
        <w:trPr>
          <w:trHeight w:val="27"/>
        </w:trPr>
        <w:tc>
          <w:tcPr>
            <w:tcW w:w="7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r>
      <w:tr>
        <w:trPr>
          <w:trHeight w:val="224"/>
        </w:trPr>
        <w:tc>
          <w:tcPr>
            <w:tcW w:w="7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7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r>
      <w:tr>
        <w:trPr>
          <w:trHeight w:val="243"/>
        </w:trPr>
        <w:tc>
          <w:tcPr>
            <w:tcW w:w="74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133</w:t>
            </w:r>
          </w:p>
        </w:tc>
      </w:tr>
      <w:tr>
        <w:trPr>
          <w:trHeight w:val="27"/>
        </w:trPr>
        <w:tc>
          <w:tcPr>
            <w:tcW w:w="74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740" w:type="dxa"/>
            <w:vAlign w:val="bottom"/>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416</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r>
      <w:tr>
        <w:trPr>
          <w:trHeight w:val="237"/>
        </w:trPr>
        <w:tc>
          <w:tcPr>
            <w:tcW w:w="7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425</w:t>
            </w:r>
          </w:p>
        </w:tc>
      </w:tr>
      <w:tr>
        <w:trPr>
          <w:trHeight w:val="27"/>
        </w:trPr>
        <w:tc>
          <w:tcPr>
            <w:tcW w:w="74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740" w:type="dxa"/>
            <w:vAlign w:val="bottom"/>
          </w:tcPr>
          <w:p>
            <w:pPr>
              <w:spacing w:after="0"/>
              <w:rPr>
                <w:sz w:val="24"/>
                <w:szCs w:val="2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855</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w:t>
            </w:r>
          </w:p>
        </w:tc>
      </w:tr>
      <w:tr>
        <w:trPr>
          <w:trHeight w:val="20"/>
        </w:trPr>
        <w:tc>
          <w:tcPr>
            <w:tcW w:w="74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liquidity as of June 30, 2020 was $855 million, which was $13 million higher than as of December 31, 2019 primarily due to proceeds raised through the Company's ATM program during 2020, the offering of additional 2028 Senior Notes, and the proceeds from the residential solar portfolio divestiture. This increase was in part offset by the execution of growth investments, including the acquisition of the remaining interest in Repowering 1.0, and the redemption of the remaining balance of the 2024 Senior Notes and 2020 Convertible Notes. As of June 30, 2020, the Company had approximately $168 million of excess restricted cash at consolidated and unconsolidated subsidiaries that were previously affected by the PG&amp;E bankruptcy. The company has already received $83 million of this amount with the balance expected in the ordinary course of project level distributions.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$241 million</w:t>
      </w:r>
      <w:r>
        <w:rPr>
          <w:rFonts w:ascii="Arial" w:cs="Arial" w:eastAsia="Arial" w:hAnsi="Arial"/>
          <w:sz w:val="18"/>
          <w:szCs w:val="18"/>
          <w:color w:val="231F20"/>
        </w:rPr>
        <w:t xml:space="preserve"> of restricted cash as of June 30, 2020.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June 30, 2020, these restricted funds were</w:t>
      </w:r>
      <w:r>
        <w:rPr>
          <w:rFonts w:ascii="Arial" w:cs="Arial" w:eastAsia="Arial" w:hAnsi="Arial"/>
          <w:sz w:val="18"/>
          <w:szCs w:val="18"/>
          <w:color w:val="231F20"/>
        </w:rPr>
        <w:t xml:space="preserve"> </w:t>
      </w:r>
      <w:r>
        <w:rPr>
          <w:rFonts w:ascii="Arial" w:cs="Arial" w:eastAsia="Arial" w:hAnsi="Arial"/>
          <w:sz w:val="18"/>
          <w:szCs w:val="18"/>
          <w:color w:val="000000"/>
        </w:rPr>
        <w:t>comprised of $80 million designated to fund operating expenses, approximately $20 million designated for current debt service payments, and $56 million of reserves for debt service, performance obligations and other items including capital expenditures. The remaining $85 million is held in distribution accounts.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ATM offerings, availability under the revolving credit facility, asset dispositions, and, subject to market conditions, new corporate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PG&amp;E Bankruptcy Update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The Company is finalizing with certain lenders the timing of the distribution of cash previously withheld as a result of the bankruptcy.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Drop Down Offer</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August 3, 2020, Clearway Energy Group (CEG) offered the Company the opportunity to purchase (i) residual interests in the Kawailoa and Oahu Solar Partnerships and (ii) 100% of its interests in Langford Holding, LLC, which owns the Langford wind project. The transaction is subject to negotiation and approval by the Company's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Investment in Mesquite Star Wind Project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3, 2020, the Company entered into an agreement with CEG to acquire an interest in Mesquite Star Pledgor LLC, which owns the Mesquite Star wind project, a 419 MW utility scale wind facility that reached COD in June 2020. A majority of the project’s output is backed by contracts with investment grade counterparties with a 12 year weighted average contract life. The Company has committed to invest, subject to the completion of certain conditions prior to closing, $79 million in corporate capital to fund the transaction. The investment is structured such that the Company will receive 50% of the project’s cash flow through the first half of 2031, and then 22.5% of the project's cash flow thereafter. The project is expected to contribute asset CAFD on a five-year average annual basis of approximately $8.3 million beginning January 1, 2021. The investment will be funded with existing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Start Services at Marsh Landing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 2017, the California Independent System Operator (CAISO) selected a proposal by the Company's Marsh Landing project to provide black start capability in the greater San Francisco Bay Area. The black start service would restart Marsh Landing in the event of a blackout to support the CAISO’s directed restoration of the electrical grid in response to an emergency condition. As of July 2020, the project has received the necessary regulatory approvals, and has commenced construction. The project has a five-year contract with the CAISO, is expected to achieve commercial operations in 2021, and will require approximately $19 million in corporate capital. The investment is expected to contribute asset CAFD of approximately $5 million per year on average over the life of the contract.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Interest in Repowering 1.0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11, 2020, and as part of the April 20, 2020 Drop Down transaction described below, the Company closed the acquisition of CEG's remaining interest in Repowering Partnership II LLC (Repowering 1.0) for $70 million, which gave the Company sole ownership of the Partnership. Repowering 1.0 includes the 161 MW Wildorado and 122 MW Elbow Creek wind projects which were previously repowered.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Agreements to Acquire and Invest in a Portfolio of Renewable Energy Projects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20, 2020 the Company announced it had entered into binding agreements with CEG that enables the Company to acquire and invest in a portfolio of renewable energy projects. The following projects were included in the drop-down:</w:t>
      </w:r>
    </w:p>
    <w:p>
      <w:pPr>
        <w:spacing w:after="0" w:line="193" w:lineRule="exact"/>
        <w:rPr>
          <w:sz w:val="20"/>
          <w:szCs w:val="20"/>
          <w:color w:val="auto"/>
        </w:rPr>
      </w:pPr>
    </w:p>
    <w:p>
      <w:pPr>
        <w:ind w:left="660" w:right="8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Rattlesnake Wind: </w:t>
      </w:r>
      <w:r>
        <w:rPr>
          <w:rFonts w:ascii="Arial" w:cs="Arial" w:eastAsia="Arial" w:hAnsi="Arial"/>
          <w:sz w:val="18"/>
          <w:szCs w:val="18"/>
          <w:color w:val="auto"/>
        </w:rPr>
        <w:t>The Company signed agreements to acquire Rattlesnake Flat, LLC, which owns the Rattlesnake Wind Project, a 144 net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facility located in Adams County, WA. The project has a 20-year power purchase agreement with Avista. Commercial operations and corporate capital funding for the project are expected to occur by the end of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Remaining Interest in Repowering 1.0: </w:t>
      </w:r>
      <w:r>
        <w:rPr>
          <w:rFonts w:ascii="Arial" w:cs="Arial" w:eastAsia="Arial" w:hAnsi="Arial"/>
          <w:sz w:val="18"/>
          <w:szCs w:val="18"/>
          <w:color w:val="auto"/>
        </w:rPr>
        <w:t>As described above, the Company acquired this interest on May 11, 2020</w:t>
      </w:r>
    </w:p>
    <w:p>
      <w:pPr>
        <w:spacing w:after="0" w:line="44"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Pinnacle Wind Repowering: </w:t>
      </w:r>
      <w:r>
        <w:rPr>
          <w:rFonts w:ascii="Arial" w:cs="Arial" w:eastAsia="Arial" w:hAnsi="Arial"/>
          <w:sz w:val="16"/>
          <w:szCs w:val="16"/>
          <w:color w:val="auto"/>
        </w:rPr>
        <w:t>The Company, through an indirect subsidiary, agreed to enter into a new partnership with CEG to repower the</w:t>
      </w:r>
      <w:r>
        <w:rPr>
          <w:rFonts w:ascii="Arial" w:cs="Arial" w:eastAsia="Arial" w:hAnsi="Arial"/>
          <w:sz w:val="16"/>
          <w:szCs w:val="16"/>
          <w:b w:val="1"/>
          <w:bCs w:val="1"/>
          <w:color w:val="auto"/>
        </w:rPr>
        <w:t xml:space="preserve"> </w:t>
      </w:r>
      <w:r>
        <w:rPr>
          <w:rFonts w:ascii="Arial" w:cs="Arial" w:eastAsia="Arial" w:hAnsi="Arial"/>
          <w:sz w:val="16"/>
          <w:szCs w:val="16"/>
          <w:color w:val="auto"/>
        </w:rPr>
        <w:t>Pinnacle Wind Project, a 55 net MW wind facility located in Mineral County, WV. In order to facilitate the repowering, the Company contributed its interests in the Pinnacle Wind Project to the partnership. The existing Pinnacle Wind power purchase agreements will continue to run through 2031. Commercial operations and corporate capital funding for the Pinnacle Wind Repowering Partnership are expected to occur in 2021.</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agreements commit the Company to invest, at closing, an estimated $241 million in corporate capital, subject to closing adjustments. The investment at commercial operations excludes, subject to closing adjustments, an additional $27 million payment in 2031 at the Pinnacle Wind Repowering Partnership. The transactions are expected to have a five-year average annual asset CAFD of approximately $23 million prior to corporate financing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Renewables Investment Partnerships with Clearway Group (CEG)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2020, the Company invested approximately $3 million in DGPV Holdco 3 as part of the business renewables investment partnerships with CEG, bringing total capital invested to $207 million in these investment partnerships. As of June 30, 2020, through the existing partnership agreements, the Company owns approximately 277 MW of business renewables (C&amp;I) and community solar capacity based on cash to be distributed with a weighted average contract life of approximately 19 years.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On May 29, 2020, the final construction projects for DGPV Holdco 3 were placed in service which resulted in a reconsideration event for consolidation of DGPV Holdco 3. Upon the reconsideration event, the Company determined that it was the primary beneficiary of DGPV Holdco 3. As such, effective on May 29, 2020, the Company consolidates DGPV Holdco 3, and shows the interest owned by CEG as noncontrolling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Solar Portfolio Divestiture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RPV Holding LLC, an indirect subsidiary of Clearway Energy, Inc., and Clearway Energy Group LLC jointly entered into a purchase and sale agreement with Spruce Finance to sell 100% of their interests in RPV Holdco 1 LLC and its subsidiaries. The Company's allocation of cash proceeds from the sale was $75 million subject to a customary working capital adjustment. RPV Holdco 1 LLC consists of a portfolio of residential solar leases representing 53 MW. The transaction closed simultaneously with the execution of the purchase and sale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 ATM Program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2020, the Company raised gross proceeds of approximately $28.0 million through the sale of 1,271,281 shares of Class C common stock under the Company's ATM program at a weighted average price of $22.05 per share. As of June 30, 2020, the Company had completed the issuance of shares of Class C common stock available under the ATM Program. On July 30, 2020, the Company's Board authorized a new $150 million ATM program.</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$250 Million of Additional “Green Bond” Senior Notes Due 2028 and Repurchase of Remaining 2020 Convertible Notes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21, 2020, Clearway Energy Operating LLC (“Clearway Operating”), a subsidiary of Clearway Energy, Inc. issued $250 million in aggregate principal amount of its 4.750% Senior Notes due 2028 (the “Additional Notes”). The Additional Notes were issued at 102.0% of par, plus accrued interest from December 11, 2019. The Additional Notes were offered as an additional issue of Clearway Operating’s existing $600 million aggregate principal amount of 4.750% Senior Notes due 2028 that Clearway Operating issued on December 11, 2019 (the “Initial Notes”). Clearway Operating used the proceeds of the offering to fund the repayment at maturity, on June 1, 2020, of the $45 million outstanding aggregate principal amount of Clearway Energy’s 3.25% convertible notes due 2020, as well as to fund the repayment of outstanding borrowings under Clearway Operating’s revolving credit facility and for general corporate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30, 2020, Clearway Energy, Inc.’s Board of Directors declared a quarterly dividend on Class A and Class C common stock of $0.3125 per share payable on September 15, 2020, to stockholders of record as of September 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including those impacted by the PG&amp;E bankruptcy.</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Guidance</w:t>
      </w:r>
    </w:p>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reaffirming its 2020 full year CAFD guidance of $310 million. Financial guidance for 2020 continues to be based on median renewable energy production estimates for the full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6, 2020,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related to COVID-19 or any other pandemic, impacts related to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related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0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Clearway Energy, Inc. undertakes no obligation to update or revise any forward-looking statements, whether as a result of new information, future events or otherwise. The Adjusted EBITDA and Cash Available for Distribution are estimates as of today’s date, August 6, 2020, and are based on assumptions believed to be reasonable as of this date. Clearway Energy, Inc.</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ind w:right="160"/>
        <w:spacing w:after="0" w:line="257" w:lineRule="auto"/>
        <w:rPr>
          <w:sz w:val="20"/>
          <w:szCs w:val="20"/>
          <w:color w:val="auto"/>
        </w:rPr>
      </w:pPr>
      <w:r>
        <w:rPr>
          <w:rFonts w:ascii="Arial" w:cs="Arial" w:eastAsia="Arial" w:hAnsi="Arial"/>
          <w:sz w:val="18"/>
          <w:szCs w:val="18"/>
          <w:color w:val="auto"/>
        </w:rPr>
        <w:t>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7"/>
          <w:szCs w:val="17"/>
          <w:b w:val="1"/>
          <w:bCs w:val="1"/>
          <w:color w:val="auto"/>
        </w:rPr>
        <w:t>Media:</w:t>
      </w:r>
    </w:p>
    <w:p>
      <w:pPr>
        <w:spacing w:after="0" w:line="27"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investor.relations@clearwayenergy.com media@clearwayenergy.com</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5" w:right="339" w:bottom="1440" w:gutter="0" w:footer="0" w:header="0"/>
        </w:sectPr>
      </w:pPr>
    </w:p>
    <w:bookmarkStart w:id="10" w:name="page11"/>
    <w:bookmarkEnd w:id="10"/>
    <w:p>
      <w:pPr>
        <w:jc w:val="center"/>
        <w:ind w:right="34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2"/>
        </w:trPr>
        <w:tc>
          <w:tcPr>
            <w:tcW w:w="52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14"/>
                <w:szCs w:val="14"/>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284</w:t>
            </w:r>
          </w:p>
        </w:tc>
        <w:tc>
          <w:tcPr>
            <w:tcW w:w="380" w:type="dxa"/>
            <w:vAlign w:val="bottom"/>
            <w:tcBorders>
              <w:bottom w:val="single" w:sz="8" w:color="BFE4FF"/>
            </w:tcBorders>
            <w:gridSpan w:val="2"/>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Cost of operations</w:t>
            </w: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Development costs</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2400" w:type="dxa"/>
            <w:vAlign w:val="bottom"/>
            <w:tcBorders>
              <w:bottom w:val="single" w:sz="8" w:color="BFE4FF"/>
            </w:tcBorders>
          </w:tcPr>
          <w:p>
            <w:pPr>
              <w:spacing w:after="0"/>
              <w:rPr>
                <w:sz w:val="2"/>
                <w:szCs w:val="2"/>
                <w:color w:val="auto"/>
              </w:rPr>
            </w:pPr>
          </w:p>
        </w:tc>
        <w:tc>
          <w:tcPr>
            <w:tcW w:w="286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BFE4FF"/>
            </w:tcBorders>
            <w:shd w:val="clear" w:color="auto" w:fill="BFE4FF"/>
          </w:tcPr>
          <w:p>
            <w:pPr>
              <w:spacing w:after="0"/>
              <w:rPr>
                <w:sz w:val="22"/>
                <w:szCs w:val="22"/>
                <w:color w:val="auto"/>
              </w:rPr>
            </w:pPr>
          </w:p>
        </w:tc>
        <w:tc>
          <w:tcPr>
            <w:tcW w:w="526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405</w:t>
            </w:r>
          </w:p>
        </w:tc>
        <w:tc>
          <w:tcPr>
            <w:tcW w:w="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2400" w:type="dxa"/>
            <w:vAlign w:val="bottom"/>
            <w:tcBorders>
              <w:bottom w:val="single" w:sz="8" w:color="BFE4FF"/>
            </w:tcBorders>
          </w:tcPr>
          <w:p>
            <w:pPr>
              <w:spacing w:after="0"/>
              <w:rPr>
                <w:sz w:val="2"/>
                <w:szCs w:val="2"/>
                <w:color w:val="auto"/>
              </w:rPr>
            </w:pPr>
          </w:p>
        </w:tc>
        <w:tc>
          <w:tcPr>
            <w:tcW w:w="286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BFE4FF"/>
          </w:tcPr>
          <w:p>
            <w:pPr>
              <w:spacing w:after="0"/>
              <w:rPr>
                <w:sz w:val="23"/>
                <w:szCs w:val="23"/>
                <w:color w:val="auto"/>
              </w:rPr>
            </w:pPr>
          </w:p>
        </w:tc>
        <w:tc>
          <w:tcPr>
            <w:tcW w:w="5260" w:type="dxa"/>
            <w:vAlign w:val="bottom"/>
            <w:gridSpan w:val="2"/>
            <w:shd w:val="clear" w:color="auto" w:fill="BFE4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49</w:t>
            </w:r>
          </w:p>
        </w:tc>
        <w:tc>
          <w:tcPr>
            <w:tcW w:w="8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526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8"/>
                <w:szCs w:val="18"/>
                <w:color w:val="auto"/>
              </w:rPr>
              <w:t>Loss on debt extinguishment</w:t>
            </w:r>
          </w:p>
        </w:tc>
        <w:tc>
          <w:tcPr>
            <w:tcW w:w="2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rPr>
              <w:t>Less: Income (loss) attributable to noncontrolling interests and</w:t>
            </w:r>
          </w:p>
        </w:tc>
        <w:tc>
          <w:tcPr>
            <w:tcW w:w="26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redeemable interests</w:t>
            </w:r>
          </w:p>
        </w:tc>
        <w:tc>
          <w:tcPr>
            <w:tcW w:w="2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2400" w:type="dxa"/>
            <w:vAlign w:val="bottom"/>
            <w:tcBorders>
              <w:bottom w:val="single" w:sz="8" w:color="BFE4FF"/>
            </w:tcBorders>
          </w:tcPr>
          <w:p>
            <w:pPr>
              <w:spacing w:after="0" w:line="20" w:lineRule="exact"/>
              <w:rPr>
                <w:sz w:val="1"/>
                <w:szCs w:val="1"/>
                <w:color w:val="auto"/>
              </w:rPr>
            </w:pPr>
          </w:p>
        </w:tc>
        <w:tc>
          <w:tcPr>
            <w:tcW w:w="286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gridSpan w:val="3"/>
            <w:shd w:val="clear" w:color="auto" w:fill="BFE4FF"/>
          </w:tcPr>
          <w:p>
            <w:pPr>
              <w:ind w:left="20"/>
              <w:spacing w:after="0" w:line="142" w:lineRule="exact"/>
              <w:rPr>
                <w:sz w:val="20"/>
                <w:szCs w:val="20"/>
                <w:color w:val="auto"/>
              </w:rPr>
            </w:pPr>
            <w:r>
              <w:rPr>
                <w:rFonts w:ascii="Arial" w:cs="Arial" w:eastAsia="Arial" w:hAnsi="Arial"/>
                <w:sz w:val="16"/>
                <w:szCs w:val="16"/>
                <w:b w:val="1"/>
                <w:bCs w:val="1"/>
                <w:color w:val="auto"/>
              </w:rPr>
              <w:t>Earnings (Losses) Per Share Attributable to Clearway Energy,</w:t>
            </w:r>
          </w:p>
        </w:tc>
        <w:tc>
          <w:tcPr>
            <w:tcW w:w="260" w:type="dxa"/>
            <w:vAlign w:val="bottom"/>
            <w:shd w:val="clear" w:color="auto" w:fill="BFE4FF"/>
          </w:tcPr>
          <w:p>
            <w:pPr>
              <w:spacing w:after="0"/>
              <w:rPr>
                <w:sz w:val="12"/>
                <w:szCs w:val="12"/>
                <w:color w:val="auto"/>
              </w:rPr>
            </w:pPr>
          </w:p>
        </w:tc>
        <w:tc>
          <w:tcPr>
            <w:tcW w:w="1000" w:type="dxa"/>
            <w:vAlign w:val="bottom"/>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spacing w:after="0"/>
              <w:rPr>
                <w:sz w:val="12"/>
                <w:szCs w:val="12"/>
                <w:color w:val="auto"/>
              </w:rPr>
            </w:pPr>
          </w:p>
        </w:tc>
        <w:tc>
          <w:tcPr>
            <w:tcW w:w="960" w:type="dxa"/>
            <w:vAlign w:val="bottom"/>
            <w:shd w:val="clear" w:color="auto" w:fill="BFE4FF"/>
          </w:tcPr>
          <w:p>
            <w:pPr>
              <w:spacing w:after="0"/>
              <w:rPr>
                <w:sz w:val="12"/>
                <w:szCs w:val="12"/>
                <w:color w:val="auto"/>
              </w:rPr>
            </w:pPr>
          </w:p>
        </w:tc>
        <w:tc>
          <w:tcPr>
            <w:tcW w:w="80" w:type="dxa"/>
            <w:vAlign w:val="bottom"/>
            <w:shd w:val="clear" w:color="auto" w:fill="BFE4FF"/>
          </w:tcPr>
          <w:p>
            <w:pPr>
              <w:spacing w:after="0"/>
              <w:rPr>
                <w:sz w:val="12"/>
                <w:szCs w:val="12"/>
                <w:color w:val="auto"/>
              </w:rPr>
            </w:pPr>
          </w:p>
        </w:tc>
        <w:tc>
          <w:tcPr>
            <w:tcW w:w="300" w:type="dxa"/>
            <w:vAlign w:val="bottom"/>
            <w:shd w:val="clear" w:color="auto" w:fill="BFE4FF"/>
          </w:tcPr>
          <w:p>
            <w:pPr>
              <w:spacing w:after="0"/>
              <w:rPr>
                <w:sz w:val="12"/>
                <w:szCs w:val="12"/>
                <w:color w:val="auto"/>
              </w:rPr>
            </w:pPr>
          </w:p>
        </w:tc>
        <w:tc>
          <w:tcPr>
            <w:tcW w:w="960" w:type="dxa"/>
            <w:vAlign w:val="bottom"/>
            <w:shd w:val="clear" w:color="auto" w:fill="BFE4FF"/>
          </w:tcPr>
          <w:p>
            <w:pPr>
              <w:spacing w:after="0"/>
              <w:rPr>
                <w:sz w:val="12"/>
                <w:szCs w:val="12"/>
                <w:color w:val="auto"/>
              </w:rPr>
            </w:pPr>
          </w:p>
        </w:tc>
        <w:tc>
          <w:tcPr>
            <w:tcW w:w="8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980" w:type="dxa"/>
            <w:vAlign w:val="bottom"/>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BFE4FF"/>
          </w:tcPr>
          <w:p>
            <w:pPr>
              <w:spacing w:after="0"/>
              <w:rPr>
                <w:sz w:val="19"/>
                <w:szCs w:val="19"/>
                <w:color w:val="auto"/>
              </w:rPr>
            </w:pPr>
          </w:p>
        </w:tc>
        <w:tc>
          <w:tcPr>
            <w:tcW w:w="5260" w:type="dxa"/>
            <w:vAlign w:val="bottom"/>
            <w:gridSpan w:val="2"/>
            <w:shd w:val="clear" w:color="auto" w:fill="BFE4FF"/>
          </w:tcPr>
          <w:p>
            <w:pPr>
              <w:ind w:left="160"/>
              <w:spacing w:after="0"/>
              <w:rPr>
                <w:sz w:val="20"/>
                <w:szCs w:val="20"/>
                <w:color w:val="auto"/>
              </w:rPr>
            </w:pPr>
            <w:r>
              <w:rPr>
                <w:rFonts w:ascii="Arial" w:cs="Arial" w:eastAsia="Arial" w:hAnsi="Arial"/>
                <w:sz w:val="18"/>
                <w:szCs w:val="18"/>
                <w:b w:val="1"/>
                <w:bCs w:val="1"/>
                <w:color w:val="auto"/>
              </w:rPr>
              <w:t>Inc. Class A and Class C Common Stockholders</w:t>
            </w:r>
          </w:p>
        </w:tc>
        <w:tc>
          <w:tcPr>
            <w:tcW w:w="26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gridSpan w:val="2"/>
          </w:tcPr>
          <w:p>
            <w:pPr>
              <w:ind w:left="120"/>
              <w:spacing w:after="0"/>
              <w:rPr>
                <w:sz w:val="20"/>
                <w:szCs w:val="20"/>
                <w:color w:val="auto"/>
              </w:rPr>
            </w:pPr>
            <w:r>
              <w:rPr>
                <w:rFonts w:ascii="Arial" w:cs="Arial" w:eastAsia="Arial" w:hAnsi="Arial"/>
                <w:sz w:val="14"/>
                <w:szCs w:val="14"/>
                <w:color w:val="auto"/>
                <w:w w:val="96"/>
              </w:rPr>
              <w:t>Weighted average number of Class A common shares outstanding - basic and diluted</w:t>
            </w:r>
          </w:p>
        </w:tc>
        <w:tc>
          <w:tcPr>
            <w:tcW w:w="26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6"/>
        </w:trPr>
        <w:tc>
          <w:tcPr>
            <w:tcW w:w="20" w:type="dxa"/>
            <w:vAlign w:val="bottom"/>
            <w:shd w:val="clear" w:color="auto" w:fill="BFE4FF"/>
          </w:tcPr>
          <w:p>
            <w:pPr>
              <w:spacing w:after="0"/>
              <w:rPr>
                <w:sz w:val="24"/>
                <w:szCs w:val="24"/>
                <w:color w:val="auto"/>
              </w:rPr>
            </w:pPr>
          </w:p>
        </w:tc>
        <w:tc>
          <w:tcPr>
            <w:tcW w:w="5260" w:type="dxa"/>
            <w:vAlign w:val="bottom"/>
            <w:gridSpan w:val="2"/>
            <w:shd w:val="clear" w:color="auto" w:fill="BFE4FF"/>
          </w:tcPr>
          <w:p>
            <w:pPr>
              <w:ind w:left="120"/>
              <w:spacing w:after="0"/>
              <w:rPr>
                <w:sz w:val="20"/>
                <w:szCs w:val="20"/>
                <w:color w:val="auto"/>
              </w:rPr>
            </w:pPr>
            <w:r>
              <w:rPr>
                <w:rFonts w:ascii="Arial" w:cs="Arial" w:eastAsia="Arial" w:hAnsi="Arial"/>
                <w:sz w:val="14"/>
                <w:szCs w:val="14"/>
                <w:color w:val="auto"/>
                <w:w w:val="96"/>
              </w:rPr>
              <w:t>Weighted average number of Class C common shares outstanding - basic and diluted</w:t>
            </w:r>
          </w:p>
        </w:tc>
        <w:tc>
          <w:tcPr>
            <w:tcW w:w="2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73</w:t>
            </w:r>
          </w:p>
        </w:tc>
        <w:tc>
          <w:tcPr>
            <w:tcW w:w="8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96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79</w:t>
            </w:r>
          </w:p>
        </w:tc>
        <w:tc>
          <w:tcPr>
            <w:tcW w:w="80" w:type="dxa"/>
            <w:vAlign w:val="bottom"/>
            <w:shd w:val="clear" w:color="auto" w:fill="BFE4FF"/>
          </w:tcPr>
          <w:p>
            <w:pPr>
              <w:spacing w:after="0"/>
              <w:rPr>
                <w:sz w:val="24"/>
                <w:szCs w:val="24"/>
                <w:color w:val="auto"/>
              </w:rPr>
            </w:pPr>
          </w:p>
        </w:tc>
        <w:tc>
          <w:tcPr>
            <w:tcW w:w="28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52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8"/>
              </w:rPr>
              <w:t>Earnings (Losses) per Weighted Average Class A and Class C</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(0.22)</w:t>
            </w:r>
          </w:p>
        </w:tc>
        <w:tc>
          <w:tcPr>
            <w:tcW w:w="3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Common Share - Basic and Diluted</w:t>
            </w: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2400" w:type="dxa"/>
            <w:vAlign w:val="bottom"/>
            <w:tcBorders>
              <w:bottom w:val="single" w:sz="8" w:color="BFE4FF"/>
            </w:tcBorders>
          </w:tcPr>
          <w:p>
            <w:pPr>
              <w:spacing w:after="0" w:line="20" w:lineRule="exact"/>
              <w:rPr>
                <w:sz w:val="1"/>
                <w:szCs w:val="1"/>
                <w:color w:val="auto"/>
              </w:rPr>
            </w:pPr>
          </w:p>
        </w:tc>
        <w:tc>
          <w:tcPr>
            <w:tcW w:w="2860" w:type="dxa"/>
            <w:vAlign w:val="bottom"/>
            <w:tcBorders>
              <w:bottom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26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BFE4FF"/>
            </w:tcBorders>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BFE4FF"/>
            </w:tcBorders>
            <w:shd w:val="clear" w:color="auto" w:fill="BFE4FF"/>
          </w:tcPr>
          <w:p>
            <w:pPr>
              <w:spacing w:after="0"/>
              <w:rPr>
                <w:sz w:val="24"/>
                <w:szCs w:val="24"/>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BFE4FF"/>
            </w:tcBorders>
            <w:shd w:val="clear" w:color="auto" w:fill="BFE4FF"/>
          </w:tcPr>
          <w:p>
            <w:pPr>
              <w:spacing w:after="0"/>
              <w:rPr>
                <w:sz w:val="24"/>
                <w:szCs w:val="24"/>
                <w:color w:val="auto"/>
              </w:rPr>
            </w:pPr>
          </w:p>
        </w:tc>
        <w:tc>
          <w:tcPr>
            <w:tcW w:w="28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Dividends Per Class C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66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62"/>
        </w:trPr>
        <w:tc>
          <w:tcPr>
            <w:tcW w:w="20" w:type="dxa"/>
            <w:vAlign w:val="bottom"/>
          </w:tcPr>
          <w:p>
            <w:pPr>
              <w:spacing w:after="0"/>
              <w:rPr>
                <w:sz w:val="14"/>
                <w:szCs w:val="14"/>
                <w:color w:val="auto"/>
              </w:rPr>
            </w:pPr>
          </w:p>
        </w:tc>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Unrealized gain (loss) on derivatives, net of income tax expense (benefit) of $1,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$0, $(1), $0</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29"/>
        </w:trPr>
        <w:tc>
          <w:tcPr>
            <w:tcW w:w="20" w:type="dxa"/>
            <w:vAlign w:val="bottom"/>
          </w:tcPr>
          <w:p>
            <w:pPr>
              <w:spacing w:after="0"/>
              <w:rPr>
                <w:sz w:val="19"/>
                <w:szCs w:val="19"/>
                <w:color w:val="auto"/>
              </w:rPr>
            </w:pPr>
          </w:p>
        </w:tc>
        <w:tc>
          <w:tcPr>
            <w:tcW w:w="6000" w:type="dxa"/>
            <w:vAlign w:val="bottom"/>
            <w:gridSpan w:val="2"/>
          </w:tcPr>
          <w:p>
            <w:pPr>
              <w:ind w:left="100"/>
              <w:spacing w:after="0"/>
              <w:rPr>
                <w:sz w:val="20"/>
                <w:szCs w:val="20"/>
                <w:color w:val="auto"/>
              </w:rPr>
            </w:pPr>
            <w:r>
              <w:rPr>
                <w:rFonts w:ascii="Arial" w:cs="Arial" w:eastAsia="Arial" w:hAnsi="Arial"/>
                <w:sz w:val="18"/>
                <w:szCs w:val="18"/>
                <w:color w:val="auto"/>
                <w:w w:val="94"/>
              </w:rPr>
              <w:t>Less: Comprehensive income (loss) attributable to noncontrolling interests and</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100"/>
              <w:spacing w:after="0"/>
              <w:rPr>
                <w:sz w:val="20"/>
                <w:szCs w:val="20"/>
                <w:color w:val="auto"/>
              </w:rPr>
            </w:pPr>
            <w:r>
              <w:rPr>
                <w:rFonts w:ascii="Arial" w:cs="Arial" w:eastAsia="Arial" w:hAnsi="Arial"/>
                <w:sz w:val="18"/>
                <w:szCs w:val="18"/>
                <w:color w:val="auto"/>
              </w:rPr>
              <w:t>redeemable interests</w:t>
            </w:r>
          </w:p>
        </w:tc>
        <w:tc>
          <w:tcPr>
            <w:tcW w:w="24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69" w:right="339" w:bottom="1440" w:gutter="0" w:footer="0" w:header="0"/>
        </w:sectPr>
      </w:pPr>
    </w:p>
    <w:bookmarkStart w:id="12" w:name="page13"/>
    <w:bookmarkEnd w:id="12"/>
    <w:p>
      <w:pPr>
        <w:jc w:val="center"/>
        <w:ind w:right="4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(In millions, except shares)</w:t>
            </w:r>
          </w:p>
        </w:tc>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Pr>
          <w:p>
            <w:pPr>
              <w:spacing w:after="0"/>
              <w:rPr>
                <w:sz w:val="17"/>
                <w:szCs w:val="17"/>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960" w:type="dxa"/>
            <w:vAlign w:val="bottom"/>
            <w:vMerge w:val="restart"/>
          </w:tcPr>
          <w:p>
            <w:pPr>
              <w:jc w:val="center"/>
              <w:ind w:right="1799"/>
              <w:spacing w:after="0"/>
              <w:rPr>
                <w:sz w:val="20"/>
                <w:szCs w:val="20"/>
                <w:color w:val="auto"/>
              </w:rPr>
            </w:pPr>
            <w:r>
              <w:rPr>
                <w:rFonts w:ascii="Arial" w:cs="Arial" w:eastAsia="Arial" w:hAnsi="Arial"/>
                <w:sz w:val="16"/>
                <w:szCs w:val="16"/>
                <w:b w:val="1"/>
                <w:bCs w:val="1"/>
                <w:color w:val="auto"/>
                <w:w w:val="93"/>
              </w:rPr>
              <w:t>ASSETS</w:t>
            </w: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Right of use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Accounts payable — affiliate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Accrued interest expense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Class A, Class B, Class C and Class D common stock, $0.01 par value; 3,000,000,000 shares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6"/>
              </w:rPr>
              <w:t>authorized (Class A 500,000,000, Class B 500,000,000, Class C 1,000,000,000, Class 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4"/>
              </w:rPr>
              <w:t>1,000,000,000); 200,678,701 shares issued and outstanding (Class A 34,599,645, Class B</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5"/>
              </w:rPr>
              <w:t>42,738,750, Class C 80,601,556, Class D 42,738,750) at June 30, 2020 and 198,819,999</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shares issued and outstanding (Class A 34,599,645, Class B 42,738,750, Class C 78,742,854,</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Class D 42,738,750) at December 31, 2019</w:t>
            </w:r>
          </w:p>
        </w:tc>
        <w:tc>
          <w:tcPr>
            <w:tcW w:w="2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780" w:top="769" w:right="339" w:bottom="984" w:gutter="0" w:footer="0" w:header="0"/>
        </w:sectPr>
      </w:pPr>
    </w:p>
    <w:p>
      <w:pPr>
        <w:spacing w:after="0" w:line="357" w:lineRule="exact"/>
        <w:rPr>
          <w:sz w:val="20"/>
          <w:szCs w:val="20"/>
          <w:color w:val="auto"/>
        </w:rPr>
      </w:pPr>
    </w:p>
    <w:p>
      <w:pPr>
        <w:ind w:left="106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780"/>
          </w:cols>
          <w:pgMar w:left="780" w:top="769" w:right="339" w:bottom="984" w:gutter="0" w:footer="0" w:header="0"/>
          <w:type w:val="continuous"/>
        </w:sectPr>
      </w:pPr>
    </w:p>
    <w:bookmarkStart w:id="13" w:name="page14"/>
    <w:bookmarkEnd w:id="13"/>
    <w:p>
      <w:pPr>
        <w:jc w:val="center"/>
        <w:ind w:right="58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6"/>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190"/>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176</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Amortization of financing costs and debt discounts</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Amortization of intangibles and out-of-market contracts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35</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Right-of-use asset amortization</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Gain on sale of unconsolidated affiliate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Impairment losses</w:t>
            </w:r>
          </w:p>
        </w:tc>
        <w:tc>
          <w:tcPr>
            <w:tcW w:w="2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Changes in deferred income taxes</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Changes in derivative instruments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70</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Loss on disposal of asset components</w:t>
            </w:r>
          </w:p>
        </w:tc>
        <w:tc>
          <w:tcPr>
            <w:tcW w:w="28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Cash used in changes in other working capital</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r>
      <w:tr>
        <w:trPr>
          <w:trHeight w:val="243"/>
        </w:trPr>
        <w:tc>
          <w:tcPr>
            <w:tcW w:w="7560" w:type="dxa"/>
            <w:vAlign w:val="bottom"/>
          </w:tcPr>
          <w:p>
            <w:pPr>
              <w:ind w:left="4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60" w:type="dxa"/>
            <w:vAlign w:val="bottom"/>
            <w:tcBorders>
              <w:bottom w:val="single" w:sz="8" w:color="BFE4FF"/>
            </w:tcBorders>
            <w:shd w:val="clear" w:color="auto" w:fill="BFE4FF"/>
          </w:tcPr>
          <w:p>
            <w:pPr>
              <w:ind w:left="440"/>
              <w:spacing w:after="0"/>
              <w:rPr>
                <w:sz w:val="20"/>
                <w:szCs w:val="20"/>
                <w:color w:val="auto"/>
              </w:rPr>
            </w:pPr>
            <w:r>
              <w:rPr>
                <w:rFonts w:ascii="Arial" w:cs="Arial" w:eastAsia="Arial" w:hAnsi="Arial"/>
                <w:sz w:val="18"/>
                <w:szCs w:val="18"/>
                <w:color w:val="auto"/>
              </w:rPr>
              <w:t>Changes in other working capital</w:t>
            </w:r>
          </w:p>
        </w:tc>
        <w:tc>
          <w:tcPr>
            <w:tcW w:w="28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w:t>
            </w:r>
          </w:p>
        </w:tc>
      </w:tr>
      <w:tr>
        <w:trPr>
          <w:trHeight w:val="27"/>
        </w:trPr>
        <w:tc>
          <w:tcPr>
            <w:tcW w:w="756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r>
      <w:tr>
        <w:trPr>
          <w:trHeight w:val="270"/>
        </w:trPr>
        <w:tc>
          <w:tcPr>
            <w:tcW w:w="75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Partnership interest acquisition</w:t>
            </w:r>
          </w:p>
        </w:tc>
        <w:tc>
          <w:tcPr>
            <w:tcW w:w="2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Buyout of Wind TE Holdco noncontrolling interest</w:t>
            </w:r>
          </w:p>
        </w:tc>
        <w:tc>
          <w:tcPr>
            <w:tcW w:w="28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Consolidation of DGPV Holdco 3 LLC</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Proceeds from sale of assets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Insurance proceeds</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7560" w:type="dxa"/>
            <w:vAlign w:val="bottom"/>
          </w:tcPr>
          <w:p>
            <w:pPr>
              <w:ind w:left="3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56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spacing w:after="0"/>
              <w:rPr>
                <w:sz w:val="20"/>
                <w:szCs w:val="20"/>
                <w:color w:val="auto"/>
              </w:rPr>
            </w:pP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Net contributions (distributions) from noncontrolling interests</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Buyout of Repowering Partnership II LLC noncontrolling interest</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Payments of dividends and distributions</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22</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Payments for the revolving credit facility</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60" w:type="dxa"/>
            <w:vAlign w:val="bottom"/>
            <w:tcBorders>
              <w:bottom w:val="single" w:sz="8" w:color="BFE4FF"/>
            </w:tcBorders>
            <w:shd w:val="clear" w:color="auto" w:fill="BFE4FF"/>
          </w:tcPr>
          <w:p>
            <w:pPr>
              <w:ind w:left="320"/>
              <w:spacing w:after="0"/>
              <w:rPr>
                <w:sz w:val="20"/>
                <w:szCs w:val="20"/>
                <w:color w:val="auto"/>
              </w:rPr>
            </w:pPr>
            <w:r>
              <w:rPr>
                <w:rFonts w:ascii="Arial" w:cs="Arial" w:eastAsia="Arial" w:hAnsi="Arial"/>
                <w:sz w:val="18"/>
                <w:szCs w:val="18"/>
                <w:color w:val="auto"/>
              </w:rPr>
              <w:t>Proceeds from the issuance of long-term debt</w:t>
            </w:r>
          </w:p>
        </w:tc>
        <w:tc>
          <w:tcPr>
            <w:tcW w:w="2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493</w:t>
            </w:r>
          </w:p>
        </w:tc>
      </w:tr>
      <w:tr>
        <w:trPr>
          <w:trHeight w:val="243"/>
        </w:trPr>
        <w:tc>
          <w:tcPr>
            <w:tcW w:w="7560" w:type="dxa"/>
            <w:vAlign w:val="bottom"/>
          </w:tcPr>
          <w:p>
            <w:pPr>
              <w:ind w:left="320"/>
              <w:spacing w:after="0"/>
              <w:rPr>
                <w:sz w:val="20"/>
                <w:szCs w:val="20"/>
                <w:color w:val="auto"/>
              </w:rPr>
            </w:pPr>
            <w:r>
              <w:rPr>
                <w:rFonts w:ascii="Arial" w:cs="Arial" w:eastAsia="Arial" w:hAnsi="Arial"/>
                <w:sz w:val="18"/>
                <w:szCs w:val="18"/>
                <w:color w:val="auto"/>
              </w:rPr>
              <w:t>Payments for long-term debt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(616)</w:t>
            </w:r>
          </w:p>
        </w:tc>
      </w:tr>
      <w:tr>
        <w:trPr>
          <w:trHeight w:val="27"/>
        </w:trPr>
        <w:tc>
          <w:tcPr>
            <w:tcW w:w="756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BFE4FF"/>
            </w:tcBorders>
            <w:shd w:val="clear" w:color="auto" w:fill="BFE4FF"/>
          </w:tcPr>
          <w:p>
            <w:pPr>
              <w:spacing w:after="0"/>
              <w:rPr>
                <w:sz w:val="22"/>
                <w:szCs w:val="22"/>
                <w:color w:val="auto"/>
              </w:rPr>
            </w:pPr>
          </w:p>
        </w:tc>
        <w:tc>
          <w:tcPr>
            <w:tcW w:w="9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(226)</w:t>
            </w: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583</w:t>
            </w:r>
          </w:p>
        </w:tc>
      </w:tr>
      <w:tr>
        <w:trPr>
          <w:trHeight w:val="264"/>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296</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900" w:top="769" w:right="339" w:bottom="1440" w:gutter="0" w:footer="0" w:header="0"/>
        </w:sectPr>
      </w:pPr>
    </w:p>
    <w:p>
      <w:pPr>
        <w:spacing w:after="0" w:line="249" w:lineRule="exact"/>
        <w:rPr>
          <w:sz w:val="20"/>
          <w:szCs w:val="20"/>
          <w:color w:val="auto"/>
        </w:rPr>
      </w:pPr>
    </w:p>
    <w:p>
      <w:pPr>
        <w:ind w:left="1050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660"/>
          </w:cols>
          <w:pgMar w:left="900" w:top="769" w:right="339" w:bottom="1440" w:gutter="0" w:footer="0" w:header="0"/>
          <w:type w:val="continuous"/>
        </w:sectPr>
      </w:pPr>
    </w:p>
    <w:bookmarkStart w:id="14" w:name="page15"/>
    <w:bookmarkEnd w:id="14"/>
    <w:p>
      <w:pPr>
        <w:jc w:val="center"/>
        <w:ind w:right="3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For the Six Months Ended June 30, 2020</w:t>
      </w:r>
    </w:p>
    <w:p>
      <w:pPr>
        <w:spacing w:after="0" w:line="16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20" w:type="dxa"/>
            <w:vAlign w:val="bottom"/>
          </w:tcPr>
          <w:p>
            <w:pPr>
              <w:spacing w:after="0"/>
              <w:rPr>
                <w:sz w:val="12"/>
                <w:szCs w:val="12"/>
                <w:color w:val="auto"/>
              </w:rPr>
            </w:pPr>
          </w:p>
        </w:tc>
        <w:tc>
          <w:tcPr>
            <w:tcW w:w="38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2"/>
                <w:szCs w:val="12"/>
                <w:color w:val="auto"/>
              </w:rPr>
            </w:pPr>
          </w:p>
        </w:tc>
        <w:tc>
          <w:tcPr>
            <w:tcW w:w="64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92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2"/>
                <w:szCs w:val="12"/>
                <w:color w:val="auto"/>
              </w:rPr>
            </w:pPr>
          </w:p>
        </w:tc>
        <w:tc>
          <w:tcPr>
            <w:tcW w:w="740" w:type="dxa"/>
            <w:vAlign w:val="bottom"/>
          </w:tcPr>
          <w:p>
            <w:pPr>
              <w:jc w:val="center"/>
              <w:ind w:right="101"/>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1,936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2,263</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(107)</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24"/>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Contributions from CEG, cash</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tax equity interests, net of</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150</w:t>
            </w:r>
          </w:p>
        </w:tc>
      </w:tr>
      <w:tr>
        <w:trPr>
          <w:trHeight w:val="22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w w:val="91"/>
              </w:rPr>
              <w:t>Net proceeds from the issuance of common stock under</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the ATM Program</w:t>
            </w:r>
          </w:p>
        </w:tc>
        <w:tc>
          <w:tcPr>
            <w:tcW w:w="14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10</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to tax equity investors, non-cash</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24"/>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Common stock dividends and distributions to CEG</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(42)</w:t>
            </w: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1,922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2,264</w:t>
            </w:r>
          </w:p>
        </w:tc>
      </w:tr>
      <w:tr>
        <w:trPr>
          <w:trHeight w:val="224"/>
        </w:trPr>
        <w:tc>
          <w:tcPr>
            <w:tcW w:w="20" w:type="dxa"/>
            <w:vAlign w:val="bottom"/>
          </w:tcPr>
          <w:p>
            <w:pPr>
              <w:spacing w:after="0"/>
              <w:rPr>
                <w:sz w:val="19"/>
                <w:szCs w:val="19"/>
                <w:color w:val="auto"/>
              </w:rPr>
            </w:pPr>
          </w:p>
        </w:tc>
        <w:tc>
          <w:tcPr>
            <w:tcW w:w="384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76</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Contributions from CEG, non-cash</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8</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CEG, cash</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r>
      <w:tr>
        <w:trPr>
          <w:trHeight w:val="22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Distributions to tax equity interests, net of</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contributions, cash.</w:t>
            </w:r>
          </w:p>
        </w:tc>
        <w:tc>
          <w:tcPr>
            <w:tcW w:w="14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Consolidation of DGPV Holdco 3</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r>
      <w:tr>
        <w:trPr>
          <w:trHeight w:val="22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Buyout of Repowering Partnership II LLC</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(70)</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Non-cash adjustment for change in tax basis</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7</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Net proceeds from the issuance of common stock under</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the ATM Program</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r>
      <w:tr>
        <w:trPr>
          <w:trHeight w:val="224"/>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Distributions to tax equity investors, non-cash</w:t>
            </w:r>
          </w:p>
        </w:tc>
        <w:tc>
          <w:tcPr>
            <w:tcW w:w="14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Common stock dividends and distributions to CEG</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r>
      <w:tr>
        <w:trPr>
          <w:trHeight w:val="21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Balances at June 30,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474747"/>
                <w:w w:val="71"/>
              </w:rPr>
              <w:t>$</w:t>
            </w:r>
          </w:p>
        </w:tc>
        <w:tc>
          <w:tcPr>
            <w:tcW w:w="54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474747"/>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474747"/>
                <w:w w:val="71"/>
              </w:rPr>
              <w:t>$</w:t>
            </w:r>
          </w:p>
        </w:tc>
        <w:tc>
          <w:tcPr>
            <w:tcW w:w="6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474747"/>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474747"/>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474747"/>
              </w:rPr>
              <w:t>1,934</w:t>
            </w: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474747"/>
                <w:w w:val="71"/>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474747"/>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474747"/>
                <w:w w:val="89"/>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474747"/>
              </w:rPr>
              <w:t>(19)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474747"/>
                <w:w w:val="89"/>
              </w:rPr>
              <w:t>$</w:t>
            </w: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474747"/>
              </w:rPr>
              <w:t>370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474747"/>
                <w:w w:val="71"/>
              </w:rPr>
              <w:t>$</w:t>
            </w:r>
          </w:p>
        </w:tc>
        <w:tc>
          <w:tcPr>
            <w:tcW w:w="7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474747"/>
              </w:rPr>
              <w:t>2,232</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60"/>
          </w:cols>
          <w:pgMar w:left="700" w:top="769" w:right="339" w:bottom="1440" w:gutter="0" w:footer="0" w:header="0"/>
        </w:sectPr>
      </w:pPr>
    </w:p>
    <w:bookmarkStart w:id="15" w:name="page16"/>
    <w:bookmarkEnd w:id="15"/>
    <w:p>
      <w:pPr>
        <w:jc w:val="center"/>
        <w:ind w:right="3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For the Six Months Ended June 30, 2019</w:t>
      </w:r>
    </w:p>
    <w:p>
      <w:pPr>
        <w:spacing w:after="0" w:line="16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20" w:type="dxa"/>
            <w:vAlign w:val="bottom"/>
          </w:tcPr>
          <w:p>
            <w:pPr>
              <w:spacing w:after="0"/>
              <w:rPr>
                <w:sz w:val="12"/>
                <w:szCs w:val="12"/>
                <w:color w:val="auto"/>
              </w:rPr>
            </w:pPr>
          </w:p>
        </w:tc>
        <w:tc>
          <w:tcPr>
            <w:tcW w:w="38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2"/>
                <w:szCs w:val="12"/>
                <w:color w:val="auto"/>
              </w:rPr>
            </w:pPr>
          </w:p>
        </w:tc>
        <w:tc>
          <w:tcPr>
            <w:tcW w:w="740" w:type="dxa"/>
            <w:vAlign w:val="bottom"/>
          </w:tcPr>
          <w:p>
            <w:pPr>
              <w:jc w:val="center"/>
              <w:ind w:right="101"/>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1,897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2,224</w:t>
            </w:r>
          </w:p>
        </w:tc>
      </w:tr>
      <w:tr>
        <w:trPr>
          <w:trHeight w:val="250"/>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(47)</w:t>
            </w:r>
          </w:p>
        </w:tc>
      </w:tr>
      <w:tr>
        <w:trPr>
          <w:trHeight w:val="263"/>
        </w:trPr>
        <w:tc>
          <w:tcPr>
            <w:tcW w:w="20" w:type="dxa"/>
            <w:vAlign w:val="bottom"/>
            <w:shd w:val="clear" w:color="auto" w:fill="CCEEFF"/>
          </w:tcPr>
          <w:p>
            <w:pPr>
              <w:spacing w:after="0"/>
              <w:rPr>
                <w:sz w:val="22"/>
                <w:szCs w:val="22"/>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50"/>
        </w:trPr>
        <w:tc>
          <w:tcPr>
            <w:tcW w:w="20" w:type="dxa"/>
            <w:vAlign w:val="bottom"/>
          </w:tcPr>
          <w:p>
            <w:pPr>
              <w:spacing w:after="0"/>
              <w:rPr>
                <w:sz w:val="21"/>
                <w:szCs w:val="21"/>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Buyout of Wind TE Holdco noncontrolling interest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226"/>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tax equity interests, net of</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9"/>
        </w:trPr>
        <w:tc>
          <w:tcPr>
            <w:tcW w:w="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cash</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r>
      <w:tr>
        <w:trPr>
          <w:trHeight w:val="22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w w:val="99"/>
              </w:rPr>
              <w:t>Contributions from CEG for Oahu Partnership, non-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cash</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12</w:t>
            </w:r>
          </w:p>
        </w:tc>
      </w:tr>
      <w:tr>
        <w:trPr>
          <w:trHeight w:val="263"/>
        </w:trPr>
        <w:tc>
          <w:tcPr>
            <w:tcW w:w="20" w:type="dxa"/>
            <w:vAlign w:val="bottom"/>
            <w:shd w:val="clear" w:color="auto" w:fill="CCEEFF"/>
          </w:tcPr>
          <w:p>
            <w:pPr>
              <w:spacing w:after="0"/>
              <w:rPr>
                <w:sz w:val="22"/>
                <w:szCs w:val="22"/>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3"/>
              </w:rPr>
              <w:t>Cumulative effect of change in the accounting principle</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51"/>
        </w:trPr>
        <w:tc>
          <w:tcPr>
            <w:tcW w:w="20" w:type="dxa"/>
            <w:vAlign w:val="bottom"/>
            <w:tcBorders>
              <w:bottom w:val="single" w:sz="8" w:color="CCEEFF"/>
            </w:tcBorders>
          </w:tcPr>
          <w:p>
            <w:pPr>
              <w:spacing w:after="0"/>
              <w:rPr>
                <w:sz w:val="21"/>
                <w:szCs w:val="21"/>
                <w:color w:val="auto"/>
              </w:rPr>
            </w:pPr>
          </w:p>
        </w:tc>
        <w:tc>
          <w:tcPr>
            <w:tcW w:w="3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Common stock dividends and distributions to CEG</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r>
      <w:tr>
        <w:trPr>
          <w:trHeight w:val="243"/>
        </w:trPr>
        <w:tc>
          <w:tcPr>
            <w:tcW w:w="2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ind w:left="181"/>
              <w:spacing w:after="0"/>
              <w:rPr>
                <w:sz w:val="20"/>
                <w:szCs w:val="20"/>
                <w:color w:val="auto"/>
              </w:rPr>
            </w:pPr>
            <w:r>
              <w:rPr>
                <w:rFonts w:ascii="Arial" w:cs="Arial" w:eastAsia="Arial" w:hAnsi="Arial"/>
                <w:sz w:val="14"/>
                <w:szCs w:val="14"/>
                <w:color w:val="auto"/>
                <w:w w:val="96"/>
              </w:rPr>
              <w:t>(80)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2,145</w:t>
            </w:r>
          </w:p>
        </w:tc>
      </w:tr>
      <w:tr>
        <w:trPr>
          <w:trHeight w:val="254"/>
        </w:trPr>
        <w:tc>
          <w:tcPr>
            <w:tcW w:w="20" w:type="dxa"/>
            <w:vAlign w:val="bottom"/>
          </w:tcPr>
          <w:p>
            <w:pPr>
              <w:spacing w:after="0"/>
              <w:rPr>
                <w:sz w:val="22"/>
                <w:szCs w:val="22"/>
                <w:color w:val="auto"/>
              </w:rPr>
            </w:pPr>
          </w:p>
        </w:tc>
        <w:tc>
          <w:tcPr>
            <w:tcW w:w="384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(36)</w:t>
            </w: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r>
      <w:tr>
        <w:trPr>
          <w:trHeight w:val="22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Distributions to noncontrolling interests, net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contributions, cash</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CEG for Kawailoa, Repowering</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Partnerships, non-cash</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94"/>
              </w:rPr>
              <w:t>Non-cash adjustment for change in tax basis of assets</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6"/>
                <w:szCs w:val="16"/>
                <w:color w:val="auto"/>
              </w:rPr>
              <w:t>Common stock dividends and distributions to CEG</w:t>
            </w:r>
          </w:p>
        </w:tc>
        <w:tc>
          <w:tcPr>
            <w:tcW w:w="1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left="8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(38)</w:t>
            </w: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2019</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60"/>
          </w:cols>
          <w:pgMar w:left="700" w:top="769"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A-1: Three Months Ended June 30,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7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6"/>
        </w:trPr>
        <w:tc>
          <w:tcPr>
            <w:tcW w:w="4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180" w:type="dxa"/>
            <w:vAlign w:val="bottom"/>
            <w:gridSpan w:val="2"/>
          </w:tcPr>
          <w:p>
            <w:pPr>
              <w:ind w:left="34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0"/>
                <w:szCs w:val="20"/>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June 30,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Acquisition-related transaction and integration costs</w:t>
            </w:r>
          </w:p>
        </w:tc>
        <w:tc>
          <w:tcPr>
            <w:tcW w:w="16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51"/>
              <w:spacing w:after="0"/>
              <w:rPr>
                <w:sz w:val="20"/>
                <w:szCs w:val="20"/>
                <w:color w:val="auto"/>
              </w:rPr>
            </w:pPr>
            <w:r>
              <w:rPr>
                <w:rFonts w:ascii="Arial" w:cs="Arial" w:eastAsia="Arial" w:hAnsi="Arial"/>
                <w:sz w:val="18"/>
                <w:szCs w:val="18"/>
                <w:b w:val="1"/>
                <w:bCs w:val="1"/>
                <w:color w:val="auto"/>
              </w:rPr>
              <w:t>76</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191</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008"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A-3: Six Months Ended June 30,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17145</wp:posOffset>
            </wp:positionV>
            <wp:extent cx="4294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Thermal</w:t>
            </w:r>
          </w:p>
        </w:tc>
        <w:tc>
          <w:tcPr>
            <w:tcW w:w="2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w w:val="97"/>
              </w:rPr>
              <w:t>Mark to Market (MtM) Losses on Economic Hedges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0"/>
        </w:trPr>
        <w:tc>
          <w:tcPr>
            <w:tcW w:w="4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Six Months Ended June 30,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17145</wp:posOffset>
            </wp:positionV>
            <wp:extent cx="429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Thermal</w:t>
            </w:r>
          </w:p>
        </w:tc>
        <w:tc>
          <w:tcPr>
            <w:tcW w:w="2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Mark to Market (MtM) Losses</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on economic hedges</w:t>
            </w:r>
          </w:p>
        </w:tc>
        <w:tc>
          <w:tcPr>
            <w:tcW w:w="1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7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180" w:type="dxa"/>
            <w:vAlign w:val="bottom"/>
            <w:gridSpan w:val="2"/>
          </w:tcPr>
          <w:p>
            <w:pPr>
              <w:ind w:left="34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145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469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6/30/19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6/30/20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6/30/19</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469</w:t>
            </w:r>
          </w:p>
        </w:tc>
      </w:tr>
      <w:tr>
        <w:trPr>
          <w:trHeight w:val="237"/>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Cash interest paid</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32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w:t>
            </w:r>
          </w:p>
        </w:tc>
      </w:tr>
      <w:tr>
        <w:trPr>
          <w:trHeight w:val="270"/>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150</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5</w:t>
            </w: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7</w:t>
            </w: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reflect CAFD generated by unconsolidated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investments that are unable to distribute project dividends due to the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PG&amp;E bankruptcy</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r>
      <w:tr>
        <w:trPr>
          <w:trHeight w:val="237"/>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86</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94</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008" w:right="339" w:bottom="1440" w:gutter="0" w:footer="0" w:header="0"/>
        </w:sectPr>
      </w:pPr>
    </w:p>
    <w:bookmarkStart w:id="19" w:name="page20"/>
    <w:bookmarkEnd w:id="19"/>
    <w:p>
      <w:pPr>
        <w:ind w:right="420"/>
        <w:spacing w:after="0" w:line="323" w:lineRule="auto"/>
        <w:rPr>
          <w:sz w:val="20"/>
          <w:szCs w:val="20"/>
          <w:color w:val="auto"/>
        </w:rPr>
      </w:pPr>
      <w:r>
        <w:rPr>
          <w:rFonts w:ascii="Arial" w:cs="Arial" w:eastAsia="Arial" w:hAnsi="Arial"/>
          <w:sz w:val="18"/>
          <w:szCs w:val="18"/>
          <w:b w:val="1"/>
          <w:bCs w:val="1"/>
          <w:color w:val="auto"/>
        </w:rPr>
        <w:t xml:space="preserve">Appendix Table A-6: </w:t>
      </w:r>
      <w:r>
        <w:rPr>
          <w:rFonts w:ascii="Arial" w:cs="Arial" w:eastAsia="Arial" w:hAnsi="Arial"/>
          <w:sz w:val="15"/>
          <w:szCs w:val="15"/>
          <w:b w:val="1"/>
          <w:bCs w:val="1"/>
          <w:color w:val="auto"/>
        </w:rPr>
        <w:t>Six Months Ended June 30, 2020</w:t>
      </w:r>
      <w:r>
        <w:rPr>
          <w:rFonts w:ascii="Arial" w:cs="Arial" w:eastAsia="Arial" w:hAnsi="Arial"/>
          <w:sz w:val="18"/>
          <w:szCs w:val="18"/>
          <w:b w:val="1"/>
          <w:bCs w:val="1"/>
          <w:color w:val="auto"/>
        </w:rPr>
        <w:t xml:space="preserve">, Sources and Uses of Liquidity </w:t>
      </w:r>
      <w:r>
        <w:rPr>
          <w:rFonts w:ascii="Arial" w:cs="Arial" w:eastAsia="Arial" w:hAnsi="Arial"/>
          <w:sz w:val="18"/>
          <w:szCs w:val="18"/>
          <w:color w:val="auto"/>
        </w:rPr>
        <w:t>The following table summarizes the sources and uses of liquidity in 2020:</w:t>
      </w:r>
    </w:p>
    <w:p>
      <w:pPr>
        <w:spacing w:after="0" w:line="200" w:lineRule="exact"/>
        <w:rPr>
          <w:sz w:val="20"/>
          <w:szCs w:val="20"/>
          <w:color w:val="auto"/>
        </w:rPr>
      </w:pPr>
    </w:p>
    <w:p>
      <w:pPr>
        <w:spacing w:after="0" w:line="250"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31750</wp:posOffset>
            </wp:positionV>
            <wp:extent cx="490347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Proceeds from the revolving credit facility</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Net contributions from non-controlling interests</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Proceeds from the issuance of common stock</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163830</wp:posOffset>
            </wp:positionV>
            <wp:extent cx="49034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03470" cy="179705"/>
                    </a:xfrm>
                    <a:prstGeom prst="rect">
                      <a:avLst/>
                    </a:prstGeom>
                    <a:noFill/>
                  </pic:spPr>
                </pic:pic>
              </a:graphicData>
            </a:graphic>
          </wp:anchor>
        </w:drawing>
      </w:r>
    </w:p>
    <w:p>
      <w:pPr>
        <w:spacing w:after="0" w:line="278"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Uses:</w:t>
      </w:r>
    </w:p>
    <w:p>
      <w:pPr>
        <w:spacing w:after="0" w:line="9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Payments for the revolving credit facility</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Buyout of Repowering Partnership II LLC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34925</wp:posOffset>
            </wp:positionV>
            <wp:extent cx="49034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6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189230</wp:posOffset>
            </wp:positionV>
            <wp:extent cx="490347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03470" cy="179705"/>
                    </a:xfrm>
                    <a:prstGeom prst="rect">
                      <a:avLst/>
                    </a:prstGeom>
                    <a:noFill/>
                  </pic:spPr>
                </pic:pic>
              </a:graphicData>
            </a:graphic>
          </wp:anchor>
        </w:drawing>
      </w:r>
    </w:p>
    <w:p>
      <w:pPr>
        <w:spacing w:after="0" w:line="319"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6/30/20</w:t>
      </w:r>
    </w:p>
    <w:p>
      <w:pPr>
        <w:spacing w:after="0" w:line="337"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286</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265</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184</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154</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90</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34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(547)</w:t>
      </w:r>
    </w:p>
    <w:p>
      <w:pPr>
        <w:spacing w:after="0" w:line="6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(265)</w:t>
      </w:r>
    </w:p>
    <w:p>
      <w:pPr>
        <w:spacing w:after="0" w:line="6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(84)</w:t>
      </w:r>
    </w:p>
    <w:p>
      <w:pPr>
        <w:spacing w:after="0" w:line="6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(83)</w:t>
      </w:r>
    </w:p>
    <w:p>
      <w:pPr>
        <w:spacing w:after="0" w:line="6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(70)</w:t>
      </w:r>
    </w:p>
    <w:p>
      <w:pPr>
        <w:spacing w:after="0" w:line="6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(10)</w:t>
      </w:r>
    </w:p>
    <w:p>
      <w:pPr>
        <w:spacing w:after="0" w:line="334" w:lineRule="exact"/>
        <w:rPr>
          <w:sz w:val="20"/>
          <w:szCs w:val="20"/>
          <w:color w:val="auto"/>
        </w:rPr>
      </w:pPr>
    </w:p>
    <w:p>
      <w:pPr>
        <w:ind w:left="1140" w:hanging="1135"/>
        <w:spacing w:after="0"/>
        <w:tabs>
          <w:tab w:leader="none" w:pos="114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(1)</w:t>
      </w:r>
    </w:p>
    <w:p>
      <w:pPr>
        <w:spacing w:after="0" w:line="222" w:lineRule="exact"/>
        <w:rPr>
          <w:sz w:val="20"/>
          <w:szCs w:val="20"/>
          <w:color w:val="auto"/>
        </w:rPr>
      </w:pPr>
    </w:p>
    <w:p>
      <w:pPr>
        <w:sectPr>
          <w:pgSz w:w="11900" w:h="16838" w:orient="portrait"/>
          <w:cols w:equalWidth="0" w:num="2">
            <w:col w:w="7360" w:space="720"/>
            <w:col w:w="3160"/>
          </w:cols>
          <w:pgMar w:left="320" w:top="1008"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A-7: Adjusted EBITDA and Cash Available for Distribution Guidance</w:t>
      </w:r>
    </w:p>
    <w:p>
      <w:pPr>
        <w:spacing w:after="0" w:line="30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31750</wp:posOffset>
            </wp:positionV>
            <wp:extent cx="481774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17745" cy="180340"/>
                    </a:xfrm>
                    <a:prstGeom prst="rect">
                      <a:avLst/>
                    </a:prstGeom>
                    <a:noFill/>
                  </pic:spPr>
                </pic:pic>
              </a:graphicData>
            </a:graphic>
          </wp:anchor>
        </w:drawing>
      </w:r>
    </w:p>
    <w:p>
      <w:pPr>
        <w:spacing w:after="0" w:line="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34290</wp:posOffset>
            </wp:positionV>
            <wp:extent cx="39090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14605</wp:posOffset>
            </wp:positionV>
            <wp:extent cx="481774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17745" cy="162560"/>
                    </a:xfrm>
                    <a:prstGeom prst="rect">
                      <a:avLst/>
                    </a:prstGeom>
                    <a:noFill/>
                  </pic:spPr>
                </pic:pic>
              </a:graphicData>
            </a:graphic>
          </wp:anchor>
        </w:drawing>
      </w:r>
    </w:p>
    <w:p>
      <w:pPr>
        <w:spacing w:after="0" w:line="3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Depreciation, Amortization, and ARO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14605</wp:posOffset>
            </wp:positionV>
            <wp:extent cx="481774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17745" cy="257175"/>
                    </a:xfrm>
                    <a:prstGeom prst="rect">
                      <a:avLst/>
                    </a:prstGeom>
                    <a:noFill/>
                  </pic:spPr>
                </pic:pic>
              </a:graphicData>
            </a:graphic>
          </wp:anchor>
        </w:drawing>
      </w:r>
    </w:p>
    <w:p>
      <w:pPr>
        <w:spacing w:after="0" w:line="3" w:lineRule="exact"/>
        <w:rPr>
          <w:sz w:val="20"/>
          <w:szCs w:val="20"/>
          <w:color w:val="auto"/>
        </w:rPr>
      </w:pPr>
    </w:p>
    <w:p>
      <w:pPr>
        <w:ind w:left="2180" w:hanging="161"/>
        <w:spacing w:after="0" w:line="234" w:lineRule="auto"/>
        <w:rPr>
          <w:sz w:val="20"/>
          <w:szCs w:val="20"/>
          <w:color w:val="auto"/>
        </w:rPr>
      </w:pPr>
      <w:r>
        <w:rPr>
          <w:rFonts w:ascii="Arial" w:cs="Arial" w:eastAsia="Arial" w:hAnsi="Arial"/>
          <w:sz w:val="18"/>
          <w:szCs w:val="18"/>
          <w:color w:val="auto"/>
        </w:rPr>
        <w:t>Adjustment to reflect CWEN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635</wp:posOffset>
            </wp:positionV>
            <wp:extent cx="3909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34290</wp:posOffset>
            </wp:positionV>
            <wp:extent cx="481774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17745" cy="171450"/>
                    </a:xfrm>
                    <a:prstGeom prst="rect">
                      <a:avLst/>
                    </a:prstGeom>
                    <a:noFill/>
                  </pic:spPr>
                </pic:pic>
              </a:graphicData>
            </a:graphic>
          </wp:anchor>
        </w:drawing>
      </w:r>
    </w:p>
    <w:p>
      <w:pPr>
        <w:spacing w:after="0" w:line="7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interest paid</w:t>
      </w:r>
    </w:p>
    <w:p>
      <w:pPr>
        <w:spacing w:after="0" w:line="5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Changes in prepaid and accrued liabilities for tolling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14605</wp:posOffset>
            </wp:positionV>
            <wp:extent cx="481774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17745" cy="162560"/>
                    </a:xfrm>
                    <a:prstGeom prst="rect">
                      <a:avLst/>
                    </a:prstGeom>
                    <a:noFill/>
                  </pic:spPr>
                </pic:pic>
              </a:graphicData>
            </a:graphic>
          </wp:anchor>
        </w:drawing>
      </w:r>
    </w:p>
    <w:p>
      <w:pPr>
        <w:spacing w:after="0" w:line="3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Pro-rata Adjusted EBITDA from unconsolidated affiliates</w:t>
      </w:r>
    </w:p>
    <w:p>
      <w:pPr>
        <w:spacing w:after="0" w:line="5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-20955</wp:posOffset>
            </wp:positionV>
            <wp:extent cx="481774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17745" cy="1797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3909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-20955</wp:posOffset>
            </wp:positionV>
            <wp:extent cx="481774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17745" cy="16256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8"/>
          <w:szCs w:val="18"/>
          <w:color w:val="auto"/>
        </w:rPr>
        <w:t>Net contributions to non-controlling interest</w:t>
      </w:r>
      <w:r>
        <w:rPr>
          <w:rFonts w:ascii="Arial" w:cs="Arial" w:eastAsia="Arial" w:hAnsi="Arial"/>
          <w:sz w:val="23"/>
          <w:szCs w:val="23"/>
          <w:color w:val="auto"/>
          <w:vertAlign w:val="superscript"/>
        </w:rPr>
        <w:t>10</w:t>
      </w:r>
    </w:p>
    <w:p>
      <w:pPr>
        <w:ind w:left="2020"/>
        <w:spacing w:after="0"/>
        <w:rPr>
          <w:sz w:val="20"/>
          <w:szCs w:val="20"/>
          <w:color w:val="auto"/>
        </w:rPr>
      </w:pP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4445</wp:posOffset>
            </wp:positionV>
            <wp:extent cx="481774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17745" cy="162560"/>
                    </a:xfrm>
                    <a:prstGeom prst="rect">
                      <a:avLst/>
                    </a:prstGeom>
                    <a:noFill/>
                  </pic:spPr>
                </pic:pic>
              </a:graphicData>
            </a:graphic>
          </wp:anchor>
        </w:drawing>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14605</wp:posOffset>
            </wp:positionV>
            <wp:extent cx="3909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ind w:right="1839"/>
        <w:spacing w:after="0"/>
        <w:rPr>
          <w:sz w:val="20"/>
          <w:szCs w:val="20"/>
          <w:color w:val="auto"/>
        </w:rPr>
      </w:pPr>
      <w:r>
        <w:rPr>
          <w:rFonts w:ascii="Arial" w:cs="Arial" w:eastAsia="Arial" w:hAnsi="Arial"/>
          <w:sz w:val="16"/>
          <w:szCs w:val="16"/>
          <w:b w:val="1"/>
          <w:bCs w:val="1"/>
          <w:color w:val="auto"/>
        </w:rPr>
        <w:t>2020 Full Year</w:t>
      </w:r>
    </w:p>
    <w:p>
      <w:pPr>
        <w:spacing w:after="0" w:line="50" w:lineRule="exact"/>
        <w:rPr>
          <w:sz w:val="20"/>
          <w:szCs w:val="20"/>
          <w:color w:val="auto"/>
        </w:rPr>
      </w:pPr>
    </w:p>
    <w:p>
      <w:pPr>
        <w:jc w:val="center"/>
        <w:ind w:right="1839"/>
        <w:spacing w:after="0"/>
        <w:rPr>
          <w:sz w:val="20"/>
          <w:szCs w:val="20"/>
          <w:color w:val="auto"/>
        </w:rPr>
      </w:pPr>
      <w:r>
        <w:rPr>
          <w:rFonts w:ascii="Arial" w:cs="Arial" w:eastAsia="Arial" w:hAnsi="Arial"/>
          <w:sz w:val="18"/>
          <w:szCs w:val="18"/>
          <w:b w:val="1"/>
          <w:bCs w:val="1"/>
          <w:color w:val="auto"/>
        </w:rPr>
        <w:t>Guidance</w:t>
      </w:r>
    </w:p>
    <w:p>
      <w:pPr>
        <w:spacing w:after="0" w:line="76" w:lineRule="exact"/>
        <w:rPr>
          <w:sz w:val="20"/>
          <w:szCs w:val="20"/>
          <w:color w:val="auto"/>
        </w:rPr>
      </w:pPr>
    </w:p>
    <w:p>
      <w:pPr>
        <w:ind w:left="921" w:hanging="921"/>
        <w:spacing w:after="0"/>
        <w:tabs>
          <w:tab w:leader="none" w:pos="92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160</w:t>
      </w:r>
    </w:p>
    <w:p>
      <w:pPr>
        <w:spacing w:after="0" w:line="90" w:lineRule="exact"/>
        <w:rPr>
          <w:rFonts w:ascii="Arial" w:cs="Arial" w:eastAsia="Arial" w:hAnsi="Arial"/>
          <w:sz w:val="16"/>
          <w:szCs w:val="16"/>
          <w:b w:val="1"/>
          <w:bCs w:val="1"/>
          <w:color w:val="auto"/>
        </w:rPr>
      </w:pPr>
    </w:p>
    <w:p>
      <w:pPr>
        <w:ind w:left="1001"/>
        <w:spacing w:after="0"/>
        <w:rPr>
          <w:rFonts w:ascii="Arial" w:cs="Arial" w:eastAsia="Arial" w:hAnsi="Arial"/>
          <w:sz w:val="16"/>
          <w:szCs w:val="16"/>
          <w:b w:val="1"/>
          <w:bCs w:val="1"/>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3" w:lineRule="exact"/>
        <w:rPr>
          <w:sz w:val="20"/>
          <w:szCs w:val="20"/>
          <w:color w:val="auto"/>
        </w:rPr>
      </w:pPr>
    </w:p>
    <w:p>
      <w:pPr>
        <w:ind w:left="921"/>
        <w:spacing w:after="0"/>
        <w:rPr>
          <w:sz w:val="20"/>
          <w:szCs w:val="20"/>
          <w:color w:val="auto"/>
        </w:rPr>
      </w:pPr>
      <w:r>
        <w:rPr>
          <w:rFonts w:ascii="Arial" w:cs="Arial" w:eastAsia="Arial" w:hAnsi="Arial"/>
          <w:sz w:val="16"/>
          <w:szCs w:val="16"/>
          <w:color w:val="auto"/>
        </w:rPr>
        <w:t>335</w:t>
      </w:r>
    </w:p>
    <w:p>
      <w:pPr>
        <w:spacing w:after="0" w:line="73" w:lineRule="exact"/>
        <w:rPr>
          <w:sz w:val="20"/>
          <w:szCs w:val="20"/>
          <w:color w:val="auto"/>
        </w:rPr>
      </w:pPr>
    </w:p>
    <w:p>
      <w:pPr>
        <w:ind w:left="921"/>
        <w:spacing w:after="0"/>
        <w:rPr>
          <w:sz w:val="20"/>
          <w:szCs w:val="20"/>
          <w:color w:val="auto"/>
        </w:rPr>
      </w:pPr>
      <w:r>
        <w:rPr>
          <w:rFonts w:ascii="Arial" w:cs="Arial" w:eastAsia="Arial" w:hAnsi="Arial"/>
          <w:sz w:val="16"/>
          <w:szCs w:val="16"/>
          <w:color w:val="auto"/>
        </w:rPr>
        <w:t>455</w:t>
      </w:r>
    </w:p>
    <w:p>
      <w:pPr>
        <w:spacing w:after="0" w:line="221" w:lineRule="exact"/>
        <w:rPr>
          <w:sz w:val="20"/>
          <w:szCs w:val="20"/>
          <w:color w:val="auto"/>
        </w:rPr>
      </w:pPr>
    </w:p>
    <w:p>
      <w:pPr>
        <w:ind w:left="921"/>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822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6" w:lineRule="exact"/>
        <w:rPr>
          <w:sz w:val="20"/>
          <w:szCs w:val="20"/>
          <w:color w:val="auto"/>
        </w:rPr>
      </w:pPr>
    </w:p>
    <w:p>
      <w:pPr>
        <w:ind w:left="801"/>
        <w:spacing w:after="0"/>
        <w:rPr>
          <w:sz w:val="20"/>
          <w:szCs w:val="20"/>
          <w:color w:val="auto"/>
        </w:rPr>
      </w:pPr>
      <w:r>
        <w:rPr>
          <w:rFonts w:ascii="Arial" w:cs="Arial" w:eastAsia="Arial" w:hAnsi="Arial"/>
          <w:sz w:val="15"/>
          <w:szCs w:val="15"/>
          <w:b w:val="1"/>
          <w:bCs w:val="1"/>
          <w:color w:val="auto"/>
        </w:rPr>
        <w:t>1,120</w:t>
      </w:r>
    </w:p>
    <w:p>
      <w:pPr>
        <w:spacing w:after="0" w:line="102"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(325)</w:t>
      </w:r>
    </w:p>
    <w:p>
      <w:pPr>
        <w:spacing w:after="0" w:line="73"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(1)</w:t>
      </w:r>
    </w:p>
    <w:p>
      <w:pPr>
        <w:spacing w:after="0" w:line="73"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(218)</w:t>
      </w:r>
    </w:p>
    <w:p>
      <w:pPr>
        <w:spacing w:after="0" w:line="73"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125</w:t>
      </w:r>
    </w:p>
    <w:p>
      <w:pPr>
        <w:spacing w:after="0" w:line="96" w:lineRule="exact"/>
        <w:rPr>
          <w:sz w:val="20"/>
          <w:szCs w:val="20"/>
          <w:color w:val="auto"/>
        </w:rPr>
      </w:pPr>
    </w:p>
    <w:p>
      <w:pPr>
        <w:ind w:left="921"/>
        <w:spacing w:after="0"/>
        <w:rPr>
          <w:sz w:val="20"/>
          <w:szCs w:val="20"/>
          <w:color w:val="auto"/>
        </w:rPr>
      </w:pPr>
      <w:r>
        <w:rPr>
          <w:rFonts w:ascii="Arial" w:cs="Arial" w:eastAsia="Arial" w:hAnsi="Arial"/>
          <w:sz w:val="16"/>
          <w:szCs w:val="16"/>
          <w:b w:val="1"/>
          <w:bCs w:val="1"/>
          <w:color w:val="auto"/>
        </w:rPr>
        <w:t>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0" w:lineRule="exact"/>
        <w:rPr>
          <w:sz w:val="20"/>
          <w:szCs w:val="20"/>
          <w:color w:val="auto"/>
        </w:rPr>
      </w:pPr>
    </w:p>
    <w:p>
      <w:pPr>
        <w:ind w:left="1081"/>
        <w:spacing w:after="0"/>
        <w:rPr>
          <w:sz w:val="20"/>
          <w:szCs w:val="20"/>
          <w:color w:val="auto"/>
        </w:rPr>
      </w:pPr>
      <w:r>
        <w:rPr>
          <w:rFonts w:ascii="Arial" w:cs="Arial" w:eastAsia="Arial" w:hAnsi="Arial"/>
          <w:sz w:val="16"/>
          <w:szCs w:val="16"/>
          <w:color w:val="auto"/>
        </w:rPr>
        <w:t>4</w:t>
      </w:r>
    </w:p>
    <w:p>
      <w:pPr>
        <w:spacing w:after="0" w:line="73"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(24)</w:t>
      </w:r>
    </w:p>
    <w:p>
      <w:pPr>
        <w:spacing w:after="0" w:line="73"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(32)</w:t>
      </w:r>
    </w:p>
    <w:p>
      <w:pPr>
        <w:spacing w:after="0" w:line="73"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822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460" w:space="679"/>
            <w:col w:w="3101"/>
          </w:cols>
          <w:pgMar w:left="320" w:top="1008" w:right="339" w:bottom="1440" w:gutter="0" w:footer="0" w:header="0"/>
          <w:type w:val="continuous"/>
        </w:sectPr>
      </w:pPr>
    </w:p>
    <w:tbl>
      <w:tblPr>
        <w:tblLayout w:type="fixed"/>
        <w:tblInd w:w="184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Available for Distribution</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310</w:t>
            </w: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Add Back: Principal amortization of indebtedness</w:t>
            </w:r>
          </w:p>
        </w:tc>
        <w:tc>
          <w:tcPr>
            <w:tcW w:w="5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r>
      <w:tr>
        <w:trPr>
          <w:trHeight w:val="236"/>
        </w:trPr>
        <w:tc>
          <w:tcPr>
            <w:tcW w:w="6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Adjusted Cash from Operations</w:t>
            </w:r>
          </w:p>
        </w:tc>
        <w:tc>
          <w:tcPr>
            <w:tcW w:w="1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649</w:t>
            </w: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type w:val="continuous"/>
        </w:sectPr>
      </w:pPr>
    </w:p>
    <w:p>
      <w:pPr>
        <w:spacing w:after="0" w:line="11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008" w:right="339" w:bottom="1440" w:gutter="0" w:footer="0" w:header="0"/>
          <w:type w:val="continuous"/>
        </w:sectPr>
      </w:pPr>
    </w:p>
    <w:bookmarkStart w:id="20" w:name="page21"/>
    <w:bookmarkEnd w:id="20"/>
    <w:p>
      <w:pPr>
        <w:ind w:left="99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20"/>
          </w:cols>
          <w:pgMar w:left="1440" w:top="1237"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Appendix Table A-8: Growth Investments 5 Year Average CAFD</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Dropdown</w:t>
            </w:r>
          </w:p>
        </w:tc>
        <w:tc>
          <w:tcPr>
            <w:tcW w:w="180" w:type="dxa"/>
            <w:vAlign w:val="bottom"/>
          </w:tcPr>
          <w:p>
            <w:pPr>
              <w:spacing w:after="0"/>
              <w:rPr>
                <w:sz w:val="18"/>
                <w:szCs w:val="18"/>
                <w:color w:val="auto"/>
              </w:rPr>
            </w:pPr>
          </w:p>
        </w:tc>
        <w:tc>
          <w:tcPr>
            <w:tcW w:w="1380" w:type="dxa"/>
            <w:vAlign w:val="bottom"/>
            <w:vMerge w:val="restart"/>
          </w:tcPr>
          <w:p>
            <w:pPr>
              <w:jc w:val="center"/>
              <w:ind w:right="58"/>
              <w:spacing w:after="0"/>
              <w:rPr>
                <w:sz w:val="20"/>
                <w:szCs w:val="20"/>
                <w:color w:val="auto"/>
              </w:rPr>
            </w:pPr>
            <w:r>
              <w:rPr>
                <w:rFonts w:ascii="Arial" w:cs="Arial" w:eastAsia="Arial" w:hAnsi="Arial"/>
                <w:sz w:val="18"/>
                <w:szCs w:val="18"/>
                <w:b w:val="1"/>
                <w:bCs w:val="1"/>
                <w:color w:val="auto"/>
                <w:w w:val="91"/>
              </w:rPr>
              <w:t>Mesquite Star</w:t>
            </w:r>
          </w:p>
        </w:tc>
        <w:tc>
          <w:tcPr>
            <w:tcW w:w="240" w:type="dxa"/>
            <w:vAlign w:val="bottom"/>
          </w:tcPr>
          <w:p>
            <w:pPr>
              <w:spacing w:after="0"/>
              <w:rPr>
                <w:sz w:val="18"/>
                <w:szCs w:val="18"/>
                <w:color w:val="auto"/>
              </w:rPr>
            </w:pPr>
          </w:p>
        </w:tc>
        <w:tc>
          <w:tcPr>
            <w:tcW w:w="1340" w:type="dxa"/>
            <w:vAlign w:val="bottom"/>
            <w:vMerge w:val="restart"/>
          </w:tcPr>
          <w:p>
            <w:pPr>
              <w:jc w:val="center"/>
              <w:ind w:right="158"/>
              <w:spacing w:after="0"/>
              <w:rPr>
                <w:sz w:val="20"/>
                <w:szCs w:val="20"/>
                <w:color w:val="auto"/>
              </w:rPr>
            </w:pPr>
            <w:r>
              <w:rPr>
                <w:rFonts w:ascii="Arial" w:cs="Arial" w:eastAsia="Arial" w:hAnsi="Arial"/>
                <w:sz w:val="18"/>
                <w:szCs w:val="18"/>
                <w:b w:val="1"/>
                <w:bCs w:val="1"/>
                <w:color w:val="auto"/>
                <w:w w:val="91"/>
              </w:rPr>
              <w:t>Black Start</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restart"/>
          </w:tcPr>
          <w:p>
            <w:pPr>
              <w:jc w:val="center"/>
              <w:ind w:right="137"/>
              <w:spacing w:after="0"/>
              <w:rPr>
                <w:sz w:val="20"/>
                <w:szCs w:val="20"/>
                <w:color w:val="auto"/>
              </w:rPr>
            </w:pPr>
            <w:r>
              <w:rPr>
                <w:rFonts w:ascii="Arial" w:cs="Arial" w:eastAsia="Arial" w:hAnsi="Arial"/>
                <w:sz w:val="18"/>
                <w:szCs w:val="18"/>
                <w:b w:val="1"/>
                <w:bCs w:val="1"/>
                <w:color w:val="auto"/>
                <w:w w:val="91"/>
              </w:rPr>
              <w:t>Portfolio</w:t>
            </w:r>
          </w:p>
        </w:tc>
        <w:tc>
          <w:tcPr>
            <w:tcW w:w="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5 Year Ave. - 2021-</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5 Year Ave. - 2021-</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0"/>
              </w:rPr>
              <w:t>5 Year Ave. - 2021-</w:t>
            </w:r>
          </w:p>
        </w:tc>
        <w:tc>
          <w:tcPr>
            <w:tcW w:w="156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18"/>
                <w:szCs w:val="18"/>
                <w:color w:val="auto"/>
              </w:rPr>
            </w:pPr>
          </w:p>
        </w:tc>
        <w:tc>
          <w:tcPr>
            <w:tcW w:w="1300" w:type="dxa"/>
            <w:vAlign w:val="bottom"/>
            <w:vMerge w:val="restart"/>
          </w:tcPr>
          <w:p>
            <w:pPr>
              <w:jc w:val="center"/>
              <w:ind w:right="137"/>
              <w:spacing w:after="0"/>
              <w:rPr>
                <w:sz w:val="20"/>
                <w:szCs w:val="20"/>
                <w:color w:val="auto"/>
              </w:rPr>
            </w:pPr>
            <w:r>
              <w:rPr>
                <w:rFonts w:ascii="Arial" w:cs="Arial" w:eastAsia="Arial" w:hAnsi="Arial"/>
                <w:sz w:val="18"/>
                <w:szCs w:val="18"/>
                <w:b w:val="1"/>
                <w:bCs w:val="1"/>
                <w:color w:val="auto"/>
                <w:w w:val="89"/>
              </w:rPr>
              <w:t>2025</w:t>
            </w:r>
          </w:p>
        </w:tc>
        <w:tc>
          <w:tcPr>
            <w:tcW w:w="180" w:type="dxa"/>
            <w:vAlign w:val="bottom"/>
          </w:tcPr>
          <w:p>
            <w:pPr>
              <w:spacing w:after="0"/>
              <w:rPr>
                <w:sz w:val="18"/>
                <w:szCs w:val="18"/>
                <w:color w:val="auto"/>
              </w:rPr>
            </w:pPr>
          </w:p>
        </w:tc>
        <w:tc>
          <w:tcPr>
            <w:tcW w:w="138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2025</w:t>
            </w:r>
          </w:p>
        </w:tc>
        <w:tc>
          <w:tcPr>
            <w:tcW w:w="240" w:type="dxa"/>
            <w:vAlign w:val="bottom"/>
          </w:tcPr>
          <w:p>
            <w:pPr>
              <w:spacing w:after="0"/>
              <w:rPr>
                <w:sz w:val="18"/>
                <w:szCs w:val="18"/>
                <w:color w:val="auto"/>
              </w:rPr>
            </w:pPr>
          </w:p>
        </w:tc>
        <w:tc>
          <w:tcPr>
            <w:tcW w:w="1340" w:type="dxa"/>
            <w:vAlign w:val="bottom"/>
          </w:tcPr>
          <w:p>
            <w:pPr>
              <w:jc w:val="center"/>
              <w:ind w:right="138"/>
              <w:spacing w:after="0"/>
              <w:rPr>
                <w:sz w:val="20"/>
                <w:szCs w:val="20"/>
                <w:color w:val="auto"/>
              </w:rPr>
            </w:pPr>
            <w:r>
              <w:rPr>
                <w:rFonts w:ascii="Arial" w:cs="Arial" w:eastAsia="Arial" w:hAnsi="Arial"/>
                <w:sz w:val="18"/>
                <w:szCs w:val="18"/>
                <w:b w:val="1"/>
                <w:bCs w:val="1"/>
                <w:color w:val="auto"/>
                <w:w w:val="89"/>
              </w:rPr>
              <w:t>2025</w:t>
            </w:r>
          </w:p>
        </w:tc>
        <w:tc>
          <w:tcPr>
            <w:tcW w:w="0" w:type="dxa"/>
            <w:vAlign w:val="bottom"/>
          </w:tcPr>
          <w:p>
            <w:pPr>
              <w:spacing w:after="0"/>
              <w:rPr>
                <w:sz w:val="1"/>
                <w:szCs w:val="1"/>
                <w:color w:val="auto"/>
              </w:rPr>
            </w:pPr>
          </w:p>
        </w:tc>
      </w:tr>
      <w:tr>
        <w:trPr>
          <w:trHeight w:val="54"/>
        </w:trPr>
        <w:tc>
          <w:tcPr>
            <w:tcW w:w="54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50"/>
        </w:trPr>
        <w:tc>
          <w:tcPr>
            <w:tcW w:w="5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Adjustment to reflect CWEN share of Adjusted EBITDA in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220"/>
              <w:spacing w:after="0"/>
              <w:rPr>
                <w:sz w:val="20"/>
                <w:szCs w:val="20"/>
                <w:color w:val="auto"/>
              </w:rPr>
            </w:pPr>
            <w:r>
              <w:rPr>
                <w:rFonts w:ascii="Arial" w:cs="Arial" w:eastAsia="Arial" w:hAnsi="Arial"/>
                <w:sz w:val="18"/>
                <w:szCs w:val="18"/>
                <w:color w:val="auto"/>
              </w:rPr>
              <w:t>unconsolidated affiliates</w:t>
            </w:r>
          </w:p>
        </w:tc>
        <w:tc>
          <w:tcPr>
            <w:tcW w:w="22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380" w:type="dxa"/>
            <w:vAlign w:val="bottom"/>
          </w:tcPr>
          <w:p>
            <w:pPr>
              <w:jc w:val="right"/>
              <w:ind w:right="38"/>
              <w:spacing w:after="0"/>
              <w:rPr>
                <w:sz w:val="20"/>
                <w:szCs w:val="20"/>
                <w:color w:val="auto"/>
              </w:rPr>
            </w:pPr>
            <w:r>
              <w:rPr>
                <w:rFonts w:ascii="Arial" w:cs="Arial" w:eastAsia="Arial" w:hAnsi="Arial"/>
                <w:sz w:val="16"/>
                <w:szCs w:val="16"/>
                <w:b w:val="1"/>
                <w:bCs w:val="1"/>
                <w:color w:val="auto"/>
              </w:rPr>
              <w:t>8.0</w:t>
            </w:r>
          </w:p>
        </w:tc>
        <w:tc>
          <w:tcPr>
            <w:tcW w:w="240" w:type="dxa"/>
            <w:vAlign w:val="bottom"/>
          </w:tcPr>
          <w:p>
            <w:pPr>
              <w:spacing w:after="0"/>
              <w:rPr>
                <w:sz w:val="20"/>
                <w:szCs w:val="20"/>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6.9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5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22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2"/>
                <w:szCs w:val="22"/>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distributions from unconsolidated affiliates</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8.3</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5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Net distributions from non-controlling interest</w:t>
            </w:r>
          </w:p>
        </w:tc>
        <w:tc>
          <w:tcPr>
            <w:tcW w:w="22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2"/>
                <w:szCs w:val="22"/>
                <w:color w:val="auto"/>
              </w:rPr>
            </w:pPr>
          </w:p>
        </w:tc>
        <w:tc>
          <w:tcPr>
            <w:tcW w:w="13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8.3</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0"/>
        </w:trPr>
        <w:tc>
          <w:tcPr>
            <w:tcW w:w="5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008"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Available for Distribution (CAFD) is a non-GAAP financial measure. We define CAFD as Adjusted EBITDA plus cash distributions/return of investment from unconsolidated affiliates, adjustments to reflect CAFD generated by unconsolidated investments that were unable to distribute project dividends due to the PG&amp;E bankruptcy as of June 30, 2020,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2788920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hanging="134"/>
        <w:spacing w:after="0"/>
        <w:tabs>
          <w:tab w:leader="none" w:pos="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relates to Thermal Development Expenses</w:t>
      </w:r>
    </w:p>
    <w:p>
      <w:pPr>
        <w:ind w:left="160" w:hanging="134"/>
        <w:spacing w:after="0" w:line="216" w:lineRule="auto"/>
        <w:tabs>
          <w:tab w:leader="none" w:pos="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2020 excludes $152 million of contributions relating to funding of Repowering 1.0 Partnership; 2019 excludes $18 million of contributions related to funding of Oahu tax equity partnership;</w:t>
      </w:r>
    </w:p>
    <w:p>
      <w:pPr>
        <w:ind w:left="160" w:hanging="134"/>
        <w:spacing w:after="0" w:line="201" w:lineRule="auto"/>
        <w:tabs>
          <w:tab w:leader="none" w:pos="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allocated insurance proceeds</w:t>
      </w:r>
    </w:p>
    <w:p>
      <w:pPr>
        <w:ind w:left="20" w:right="580" w:firstLine="6"/>
        <w:spacing w:after="0" w:line="201" w:lineRule="auto"/>
        <w:tabs>
          <w:tab w:leader="none" w:pos="164" w:val="left"/>
        </w:tabs>
        <w:numPr>
          <w:ilvl w:val="0"/>
          <w:numId w:val="9"/>
        </w:numPr>
        <w:rPr>
          <w:rFonts w:ascii="Arial" w:cs="Arial" w:eastAsia="Arial" w:hAnsi="Arial"/>
          <w:sz w:val="14"/>
          <w:szCs w:val="14"/>
          <w:color w:val="auto"/>
        </w:rPr>
      </w:pPr>
      <w:r>
        <w:rPr>
          <w:rFonts w:ascii="Arial" w:cs="Arial" w:eastAsia="Arial" w:hAnsi="Arial"/>
          <w:sz w:val="14"/>
          <w:szCs w:val="14"/>
          <w:color w:val="auto"/>
        </w:rPr>
        <w:t>2020 excludes $260 million for the repayment of construction financing in connection with the Repowering 1.0 Partnership and $135 million total consideration for the redemption of Corporate Notes; 2019 excludes $220 million for the redemption of Corporate Notes</w:t>
      </w:r>
    </w:p>
    <w:p>
      <w:pPr>
        <w:ind w:left="160" w:hanging="134"/>
        <w:spacing w:after="0" w:line="216" w:lineRule="auto"/>
        <w:tabs>
          <w:tab w:leader="none" w:pos="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ind w:left="160" w:hanging="134"/>
        <w:spacing w:after="0" w:line="201" w:lineRule="auto"/>
        <w:tabs>
          <w:tab w:leader="none" w:pos="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relates to Thermal Development Expenses</w:t>
      </w:r>
    </w:p>
    <w:p>
      <w:pPr>
        <w:ind w:left="240" w:hanging="214"/>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tax equity proceeds and distributions to tax equity partners</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21</w:t>
      </w:r>
    </w:p>
    <w:sectPr>
      <w:pgSz w:w="11900" w:h="16838" w:orient="portrait"/>
      <w:cols w:equalWidth="0" w:num="1">
        <w:col w:w="11240"/>
      </w:cols>
      <w:pgMar w:left="320" w:top="82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2020-08-06T05:25:45Z</dcterms:created>
  <dcterms:modified xsi:type="dcterms:W3CDTF">2020-08-06T05:25:45Z</dcterms:modified>
</cp:coreProperties>
</file>