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04-2747644</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3760" w:type="dxa"/>
            <w:vAlign w:val="bottom"/>
          </w:tcPr>
          <w:p>
            <w:pPr>
              <w:ind w:left="80"/>
              <w:spacing w:after="0" w:line="243" w:lineRule="exact"/>
              <w:rPr>
                <w:sz w:val="20"/>
                <w:szCs w:val="20"/>
                <w:color w:val="auto"/>
              </w:rPr>
            </w:pPr>
            <w:r>
              <w:rPr>
                <w:rFonts w:ascii="Arial" w:cs="Arial" w:eastAsia="Arial" w:hAnsi="Arial"/>
                <w:sz w:val="22"/>
                <w:szCs w:val="22"/>
                <w:color w:val="auto"/>
              </w:rPr>
              <w:t>(b) [ ]</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Not Applicable</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1,363,670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1,363,670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w w:val="91"/>
              </w:rPr>
              <w:t>1,363,670 shares of Class A Common Stock consisting of shares beneficially owned by MFS and/or certain</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other non-reporting entities</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Not Applicable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3.9%</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640" w:hanging="713"/>
        <w:spacing w:after="0"/>
        <w:tabs>
          <w:tab w:leader="none" w:pos="1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CLEARWAY ENERGY, INC.</w:t>
      </w:r>
    </w:p>
    <w:p>
      <w:pPr>
        <w:spacing w:after="0" w:line="101" w:lineRule="exact"/>
        <w:rPr>
          <w:rFonts w:ascii="Arial" w:cs="Arial" w:eastAsia="Arial" w:hAnsi="Arial"/>
          <w:sz w:val="22"/>
          <w:szCs w:val="22"/>
          <w:b w:val="1"/>
          <w:bCs w:val="1"/>
          <w:color w:val="auto"/>
        </w:rPr>
      </w:pPr>
    </w:p>
    <w:p>
      <w:pPr>
        <w:ind w:left="1640" w:hanging="713"/>
        <w:spacing w:after="0"/>
        <w:tabs>
          <w:tab w:leader="none" w:pos="1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300 Carnegie Center, Suite 300, Princeton, NJ 08540-6213</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40" w:hanging="713"/>
        <w:spacing w:after="0"/>
        <w:tabs>
          <w:tab w:leader="none" w:pos="1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40" w:right="4220" w:hanging="713"/>
        <w:spacing w:after="0" w:line="256" w:lineRule="auto"/>
        <w:tabs>
          <w:tab w:leader="none" w:pos="1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640" w:right="858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640" w:right="722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Class A Common Stock</w:t>
      </w:r>
    </w:p>
    <w:p>
      <w:pPr>
        <w:spacing w:after="0" w:line="11" w:lineRule="exact"/>
        <w:rPr>
          <w:rFonts w:ascii="Arial" w:cs="Arial" w:eastAsia="Arial" w:hAnsi="Arial"/>
          <w:sz w:val="19"/>
          <w:szCs w:val="19"/>
          <w:b w:val="1"/>
          <w:bCs w:val="1"/>
          <w:color w:val="auto"/>
        </w:rPr>
      </w:pPr>
    </w:p>
    <w:p>
      <w:pPr>
        <w:ind w:left="1640" w:right="814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18539C105</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6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460"/>
            <w:col w:w="880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640" w:hanging="713"/>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40" w:right="320"/>
        <w:spacing w:after="0" w:line="251" w:lineRule="auto"/>
        <w:rPr>
          <w:rFonts w:ascii="Arial" w:cs="Arial" w:eastAsia="Arial" w:hAnsi="Arial"/>
          <w:sz w:val="22"/>
          <w:szCs w:val="22"/>
          <w:color w:val="auto"/>
        </w:rPr>
      </w:pPr>
      <w:r>
        <w:rPr>
          <w:rFonts w:ascii="Arial" w:cs="Arial" w:eastAsia="Arial" w:hAnsi="Arial"/>
          <w:sz w:val="22"/>
          <w:szCs w:val="22"/>
          <w:color w:val="auto"/>
        </w:rPr>
        <w:t>1,363,670 shares of Class A Common Stock consisting of shares beneficially owned by MFS and/or certain other non-reporting entities</w:t>
      </w:r>
    </w:p>
    <w:p>
      <w:pPr>
        <w:sectPr>
          <w:pgSz w:w="11900" w:h="16838" w:orient="portrait"/>
          <w:cols w:equalWidth="0" w:num="1">
            <w:col w:w="11260"/>
          </w:cols>
          <w:pgMar w:left="320" w:top="423" w:right="319" w:bottom="0" w:gutter="0" w:footer="0" w:header="0"/>
          <w:type w:val="continuous"/>
        </w:sectPr>
      </w:pPr>
    </w:p>
    <w:p>
      <w:pPr>
        <w:spacing w:after="0" w:line="92" w:lineRule="exact"/>
        <w:rPr>
          <w:sz w:val="20"/>
          <w:szCs w:val="20"/>
          <w:color w:val="auto"/>
        </w:rPr>
      </w:pPr>
    </w:p>
    <w:p>
      <w:pPr>
        <w:ind w:left="1640" w:hanging="71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3.9%</w:t>
      </w:r>
    </w:p>
    <w:p>
      <w:pPr>
        <w:spacing w:after="0" w:line="125" w:lineRule="exact"/>
        <w:rPr>
          <w:rFonts w:ascii="Arial" w:cs="Arial" w:eastAsia="Arial" w:hAnsi="Arial"/>
          <w:sz w:val="22"/>
          <w:szCs w:val="22"/>
          <w:color w:val="auto"/>
        </w:rPr>
      </w:pPr>
    </w:p>
    <w:p>
      <w:pPr>
        <w:ind w:left="1640" w:hanging="71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60" w:hanging="817"/>
        <w:spacing w:after="0"/>
        <w:tabs>
          <w:tab w:leader="none" w:pos="2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60" w:hanging="817"/>
        <w:spacing w:after="0"/>
        <w:tabs>
          <w:tab w:leader="none" w:pos="2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60" w:hanging="817"/>
        <w:spacing w:after="0" w:line="183" w:lineRule="auto"/>
        <w:tabs>
          <w:tab w:leader="none" w:pos="24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60" w:right="780" w:hanging="817"/>
        <w:spacing w:after="0" w:line="183" w:lineRule="auto"/>
        <w:tabs>
          <w:tab w:leader="none" w:pos="24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1,363,670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1,363,670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40" w:space="340"/>
            <w:col w:w="428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8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40"/>
          </w:cols>
          <w:pgMar w:left="320" w:top="112"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Flaherty</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Date: February 13, 2020</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Name: Robert R. Flaherty</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2020-02-17T17:12:45Z</dcterms:created>
  <dcterms:modified xsi:type="dcterms:W3CDTF">2020-02-17T17:12:45Z</dcterms:modified>
</cp:coreProperties>
</file>