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21590</wp:posOffset>
            </wp:positionH>
            <wp:positionV relativeFrom="paragraph">
              <wp:posOffset>-10795</wp:posOffset>
            </wp:positionV>
            <wp:extent cx="139700" cy="1885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8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40" w:hanging="260"/>
        <w:spacing w:after="0" w:line="183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5412105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4067175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833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83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56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NRG ENERGY, INC.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NRG YIELD,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211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NRG Yield,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NYLD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780" w:hanging="3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42" w:val="left"/>
          <w:tab w:leader="none" w:pos="218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8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of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42,738,750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42,738,750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NRG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Yield LLC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Class 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of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42,738,750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42,738,750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NRG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Yield LLC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160" w:firstLine="1"/>
        <w:spacing w:after="0" w:line="256" w:lineRule="auto"/>
        <w:tabs>
          <w:tab w:leader="none" w:pos="168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an amended and restated exchange agreement, dated May 14, 2015 (the "Exchange Agreement"), the Class B Units of NRG Yield LLC ("Class B Units") are exchangeable at any time for shares of Class A Common Stock of the Issuer ("Class A Common Stock"), and the Class D Units of NRG Yield LLC ("Class D Units") are exchangeable at any time for shares of Class C Common Stock of the Issuer ("Class C Common Stock"), in each case on a one-for-one basis, subject to equitable adjustments for stock splits, stock dividends and reclassifications. Pursuant to the Exchange Agreement, as Class B Units are exchanged for shares of Class A Common Stock and as Class D Units are exchanged for shares of Class C Common Stock, an equivalent number of shares of Class B Common Stock of the Issuer ("Class B Common Stock") and shares of Class D Common Stock of the Issuer ("Class D Common Stock"), respectively, will automatically be cancelled.</w:t>
      </w:r>
    </w:p>
    <w:p>
      <w:pPr>
        <w:spacing w:after="0" w:line="2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1"/>
        <w:spacing w:after="0" w:line="237" w:lineRule="auto"/>
        <w:tabs>
          <w:tab w:leader="none" w:pos="16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31, 2018, NRG Repowering Holdings LLC, a wholly owned subsidiary of the Reporting Person (together with the Reporting Person, the "NRG Parties"), sold 100% of the outstanding membership interests of Zephyr Renewables LLC (the "Company"), pursuant to a purchase and sale agreement, dated February 6, 2018, for total consideration of approximately $1,347,000,000. At the time of sale, the Company owned (i) 100% of the Class B Common Stock and 100% of the Class D Common Stock and (ii) 100% of the Class B Units and 100% of the Class D Units.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Brian Curci, Authorized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08/31/2018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Representative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871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2019-12-03T23:04:17Z</dcterms:created>
  <dcterms:modified xsi:type="dcterms:W3CDTF">2019-12-03T23:04:17Z</dcterms:modified>
</cp:coreProperties>
</file>