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19,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Title of each class</w:t>
            </w:r>
          </w:p>
        </w:tc>
        <w:tc>
          <w:tcPr>
            <w:tcW w:w="32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9"/>
              </w:rPr>
              <w:t>Trading Symbol(s)</w:t>
            </w:r>
          </w:p>
        </w:tc>
        <w:tc>
          <w:tcPr>
            <w:tcW w:w="41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40" w:type="dxa"/>
            <w:vAlign w:val="bottom"/>
          </w:tcPr>
          <w:p>
            <w:pPr>
              <w:jc w:val="center"/>
              <w:ind w:left="30"/>
              <w:spacing w:after="0"/>
              <w:rPr>
                <w:sz w:val="20"/>
                <w:szCs w:val="20"/>
                <w:color w:val="auto"/>
              </w:rPr>
            </w:pPr>
            <w:r>
              <w:rPr>
                <w:rFonts w:ascii="Arial" w:cs="Arial" w:eastAsia="Arial" w:hAnsi="Arial"/>
                <w:sz w:val="18"/>
                <w:szCs w:val="18"/>
                <w:color w:val="auto"/>
                <w:w w:val="92"/>
              </w:rPr>
              <w:t>None</w:t>
            </w:r>
          </w:p>
        </w:tc>
        <w:tc>
          <w:tcPr>
            <w:tcW w:w="3260" w:type="dxa"/>
            <w:vAlign w:val="bottom"/>
          </w:tcPr>
          <w:p>
            <w:pPr>
              <w:jc w:val="center"/>
              <w:ind w:left="470"/>
              <w:spacing w:after="0"/>
              <w:rPr>
                <w:sz w:val="20"/>
                <w:szCs w:val="20"/>
                <w:color w:val="auto"/>
              </w:rPr>
            </w:pPr>
            <w:r>
              <w:rPr>
                <w:rFonts w:ascii="Arial" w:cs="Arial" w:eastAsia="Arial" w:hAnsi="Arial"/>
                <w:sz w:val="18"/>
                <w:szCs w:val="18"/>
                <w:color w:val="auto"/>
                <w:w w:val="88"/>
              </w:rPr>
              <w:t>None</w:t>
            </w:r>
          </w:p>
        </w:tc>
        <w:tc>
          <w:tcPr>
            <w:tcW w:w="4140" w:type="dxa"/>
            <w:vAlign w:val="bottom"/>
          </w:tcPr>
          <w:p>
            <w:pPr>
              <w:jc w:val="center"/>
              <w:ind w:left="350"/>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November 19, 2020, Clearway AC Solar Holdings LLC, a subsidiary of Clearway Energy LLC (the “Company”), entered into a Purchase and Sale Agreement (the “Purchase Agreement”) with NRG Solar Sunrise LLC, a subsidiary of NRG Energy, Inc. (“NRG Solar”). Pursuant to the terms of the Purchase Agreement, the Company will acquire from NRG Solar 100% of the membership interests in Agua Caliente Borrower 1 LLC, which owns 35% of the membership interests in AC Solar Holdings LLC (“AC Solar Holdings”), a 290 megawatt utility-scale solar project located in Dateland, Arizona, for a purchase price of $202 million (the “Transaction”). The Company currently owns 16% of the membership interests in AC Solar Holdings, and, upon the closing of the Transaction, will own 51% of the membership interests in AC Solar Holdings.</w:t>
      </w:r>
    </w:p>
    <w:p>
      <w:pPr>
        <w:spacing w:after="0" w:line="17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Purchase Agreement contains customary representations and warranties and covenants made by the parties. Each of the Company and NRG Solar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closing of the Transaction is subject to customary closing conditions and certain third-party approvals. The Company expects the Transaction to close in the first quarter of 2021.</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foregoing description of the Purchase Agreement is not complete and is qualified in its entirety by reference to the full text of the Purchase Agreement, a copy of which is filed as Exhibit 2.1 to this Current Report on Form 8-K and is incorporated herein by reference.</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380" w:type="dxa"/>
            <w:vAlign w:val="bottom"/>
          </w:tcPr>
          <w:p>
            <w:pPr>
              <w:spacing w:after="0"/>
              <w:rPr>
                <w:sz w:val="20"/>
                <w:szCs w:val="20"/>
                <w:color w:val="auto"/>
              </w:rPr>
            </w:pPr>
          </w:p>
        </w:tc>
        <w:tc>
          <w:tcPr>
            <w:tcW w:w="9720" w:type="dxa"/>
            <w:vAlign w:val="bottom"/>
            <w:gridSpan w:val="2"/>
          </w:tcPr>
          <w:p>
            <w:pPr>
              <w:ind w:left="42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20" w:type="dxa"/>
            <w:vAlign w:val="bottom"/>
            <w:tcBorders>
              <w:top w:val="single" w:sz="8" w:color="auto"/>
            </w:tcBorders>
          </w:tcPr>
          <w:p>
            <w:pPr>
              <w:spacing w:after="0" w:line="169"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2.1</w:t>
              </w:r>
            </w:hyperlink>
          </w:p>
        </w:tc>
        <w:tc>
          <w:tcPr>
            <w:tcW w:w="220" w:type="dxa"/>
            <w:vAlign w:val="bottom"/>
          </w:tcPr>
          <w:p>
            <w:pPr>
              <w:spacing w:after="0"/>
              <w:rPr>
                <w:sz w:val="14"/>
                <w:szCs w:val="14"/>
                <w:color w:val="auto"/>
              </w:rPr>
            </w:pPr>
          </w:p>
        </w:tc>
        <w:tc>
          <w:tcPr>
            <w:tcW w:w="10100" w:type="dxa"/>
            <w:vAlign w:val="bottom"/>
            <w:tcBorders>
              <w:top w:val="single" w:sz="8" w:color="auto"/>
            </w:tcBorders>
            <w:gridSpan w:val="3"/>
          </w:tcPr>
          <w:p>
            <w:pPr>
              <w:spacing w:after="0" w:line="169"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Purchase and Sale Agreement, dated as of November 19, 2020, by and between NRG Solar Sunrise LLC and Clearway AC Solar Holdings</w:t>
              </w:r>
            </w:hyperlink>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LLC.</w:t>
              </w:r>
            </w:hyperlink>
          </w:p>
        </w:tc>
        <w:tc>
          <w:tcPr>
            <w:tcW w:w="1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720" w:type="dxa"/>
            <w:vAlign w:val="bottom"/>
            <w:gridSpan w:val="2"/>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ind w:right="40"/>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PURCHASE AND SALE AGREEMENT</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dated as of November 19, 2020</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NRG SOLAR SUNRISE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a Delaware limited liability company, as Seller,</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CLEARWAY AC SOLAR HOLDINGS LLC,</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a Delaware limited liability company, 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72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ARTICLE 1 DEFINITIONS, INTERPRETATION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7720" w:type="dxa"/>
            <w:vAlign w:val="bottom"/>
          </w:tcPr>
          <w:p>
            <w:pPr>
              <w:ind w:left="600"/>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7720" w:type="dxa"/>
            <w:vAlign w:val="bottom"/>
          </w:tcPr>
          <w:p>
            <w:pPr>
              <w:ind w:left="600"/>
              <w:spacing w:after="0"/>
              <w:rPr>
                <w:sz w:val="20"/>
                <w:szCs w:val="20"/>
                <w:color w:val="auto"/>
              </w:rPr>
            </w:pPr>
            <w:r>
              <w:rPr>
                <w:rFonts w:ascii="Arial" w:cs="Arial" w:eastAsia="Arial" w:hAnsi="Arial"/>
                <w:sz w:val="18"/>
                <w:szCs w:val="18"/>
                <w:color w:val="auto"/>
              </w:rPr>
              <w:t>Interpretation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2 SALE OF MEMBERSHIP INTERESTS AND CLOSING</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2.01</w:t>
            </w:r>
          </w:p>
        </w:tc>
        <w:tc>
          <w:tcPr>
            <w:tcW w:w="7720" w:type="dxa"/>
            <w:vAlign w:val="bottom"/>
          </w:tcPr>
          <w:p>
            <w:pPr>
              <w:ind w:left="600"/>
              <w:spacing w:after="0"/>
              <w:rPr>
                <w:sz w:val="20"/>
                <w:szCs w:val="20"/>
                <w:color w:val="auto"/>
              </w:rPr>
            </w:pPr>
            <w:r>
              <w:rPr>
                <w:rFonts w:ascii="Arial" w:cs="Arial" w:eastAsia="Arial" w:hAnsi="Arial"/>
                <w:sz w:val="18"/>
                <w:szCs w:val="18"/>
                <w:color w:val="auto"/>
              </w:rPr>
              <w:t>Purchase and Sale</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2.02</w:t>
            </w:r>
          </w:p>
        </w:tc>
        <w:tc>
          <w:tcPr>
            <w:tcW w:w="7720" w:type="dxa"/>
            <w:vAlign w:val="bottom"/>
          </w:tcPr>
          <w:p>
            <w:pPr>
              <w:ind w:left="600"/>
              <w:spacing w:after="0"/>
              <w:rPr>
                <w:sz w:val="20"/>
                <w:szCs w:val="20"/>
                <w:color w:val="auto"/>
              </w:rPr>
            </w:pPr>
            <w:r>
              <w:rPr>
                <w:rFonts w:ascii="Arial" w:cs="Arial" w:eastAsia="Arial" w:hAnsi="Arial"/>
                <w:sz w:val="18"/>
                <w:szCs w:val="18"/>
                <w:color w:val="auto"/>
              </w:rPr>
              <w:t>Payment of Purchase Price</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2.03</w:t>
            </w:r>
          </w:p>
        </w:tc>
        <w:tc>
          <w:tcPr>
            <w:tcW w:w="7720" w:type="dxa"/>
            <w:vAlign w:val="bottom"/>
          </w:tcPr>
          <w:p>
            <w:pPr>
              <w:ind w:left="600"/>
              <w:spacing w:after="0"/>
              <w:rPr>
                <w:sz w:val="20"/>
                <w:szCs w:val="20"/>
                <w:color w:val="auto"/>
              </w:rPr>
            </w:pPr>
            <w:r>
              <w:rPr>
                <w:rFonts w:ascii="Arial" w:cs="Arial" w:eastAsia="Arial" w:hAnsi="Arial"/>
                <w:sz w:val="18"/>
                <w:szCs w:val="18"/>
                <w:color w:val="auto"/>
              </w:rPr>
              <w:t>Closing</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 OF SELLER</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3.01</w:t>
            </w:r>
          </w:p>
        </w:tc>
        <w:tc>
          <w:tcPr>
            <w:tcW w:w="7720" w:type="dxa"/>
            <w:vAlign w:val="bottom"/>
          </w:tcPr>
          <w:p>
            <w:pPr>
              <w:ind w:left="600"/>
              <w:spacing w:after="0"/>
              <w:rPr>
                <w:sz w:val="20"/>
                <w:szCs w:val="20"/>
                <w:color w:val="auto"/>
              </w:rPr>
            </w:pPr>
            <w:r>
              <w:rPr>
                <w:rFonts w:ascii="Arial" w:cs="Arial" w:eastAsia="Arial" w:hAnsi="Arial"/>
                <w:sz w:val="18"/>
                <w:szCs w:val="18"/>
                <w:color w:val="auto"/>
              </w:rPr>
              <w:t>Existence</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3.02</w:t>
            </w:r>
          </w:p>
        </w:tc>
        <w:tc>
          <w:tcPr>
            <w:tcW w:w="7720" w:type="dxa"/>
            <w:vAlign w:val="bottom"/>
          </w:tcPr>
          <w:p>
            <w:pPr>
              <w:ind w:left="600"/>
              <w:spacing w:after="0"/>
              <w:rPr>
                <w:sz w:val="20"/>
                <w:szCs w:val="20"/>
                <w:color w:val="auto"/>
              </w:rPr>
            </w:pPr>
            <w:r>
              <w:rPr>
                <w:rFonts w:ascii="Arial" w:cs="Arial" w:eastAsia="Arial" w:hAnsi="Arial"/>
                <w:sz w:val="18"/>
                <w:szCs w:val="18"/>
                <w:color w:val="auto"/>
              </w:rPr>
              <w:t>Authority</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3.03</w:t>
            </w:r>
          </w:p>
        </w:tc>
        <w:tc>
          <w:tcPr>
            <w:tcW w:w="7720" w:type="dxa"/>
            <w:vAlign w:val="bottom"/>
          </w:tcPr>
          <w:p>
            <w:pPr>
              <w:ind w:left="600"/>
              <w:spacing w:after="0"/>
              <w:rPr>
                <w:sz w:val="20"/>
                <w:szCs w:val="20"/>
                <w:color w:val="auto"/>
              </w:rPr>
            </w:pPr>
            <w:r>
              <w:rPr>
                <w:rFonts w:ascii="Arial" w:cs="Arial" w:eastAsia="Arial" w:hAnsi="Arial"/>
                <w:sz w:val="18"/>
                <w:szCs w:val="18"/>
                <w:color w:val="auto"/>
              </w:rPr>
              <w:t>No Consent</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3.04</w:t>
            </w:r>
          </w:p>
        </w:tc>
        <w:tc>
          <w:tcPr>
            <w:tcW w:w="7720" w:type="dxa"/>
            <w:vAlign w:val="bottom"/>
          </w:tcPr>
          <w:p>
            <w:pPr>
              <w:ind w:left="600"/>
              <w:spacing w:after="0"/>
              <w:rPr>
                <w:sz w:val="20"/>
                <w:szCs w:val="20"/>
                <w:color w:val="auto"/>
              </w:rPr>
            </w:pPr>
            <w:r>
              <w:rPr>
                <w:rFonts w:ascii="Arial" w:cs="Arial" w:eastAsia="Arial" w:hAnsi="Arial"/>
                <w:sz w:val="18"/>
                <w:szCs w:val="18"/>
                <w:color w:val="auto"/>
              </w:rPr>
              <w:t>No Conflicts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3.05</w:t>
            </w:r>
          </w:p>
        </w:tc>
        <w:tc>
          <w:tcPr>
            <w:tcW w:w="7720" w:type="dxa"/>
            <w:vAlign w:val="bottom"/>
          </w:tcPr>
          <w:p>
            <w:pPr>
              <w:ind w:left="600"/>
              <w:spacing w:after="0"/>
              <w:rPr>
                <w:sz w:val="20"/>
                <w:szCs w:val="20"/>
                <w:color w:val="auto"/>
              </w:rPr>
            </w:pPr>
            <w:r>
              <w:rPr>
                <w:rFonts w:ascii="Arial" w:cs="Arial" w:eastAsia="Arial" w:hAnsi="Arial"/>
                <w:sz w:val="18"/>
                <w:szCs w:val="18"/>
                <w:color w:val="auto"/>
              </w:rPr>
              <w:t>Regulatory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3.06</w:t>
            </w:r>
          </w:p>
        </w:tc>
        <w:tc>
          <w:tcPr>
            <w:tcW w:w="7720" w:type="dxa"/>
            <w:vAlign w:val="bottom"/>
          </w:tcPr>
          <w:p>
            <w:pPr>
              <w:ind w:left="600"/>
              <w:spacing w:after="0"/>
              <w:rPr>
                <w:sz w:val="20"/>
                <w:szCs w:val="20"/>
                <w:color w:val="auto"/>
              </w:rPr>
            </w:pPr>
            <w:r>
              <w:rPr>
                <w:rFonts w:ascii="Arial" w:cs="Arial" w:eastAsia="Arial" w:hAnsi="Arial"/>
                <w:sz w:val="18"/>
                <w:szCs w:val="18"/>
                <w:color w:val="auto"/>
              </w:rPr>
              <w:t>Legal Proceedings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3.07</w:t>
            </w:r>
          </w:p>
        </w:tc>
        <w:tc>
          <w:tcPr>
            <w:tcW w:w="7720" w:type="dxa"/>
            <w:vAlign w:val="bottom"/>
          </w:tcPr>
          <w:p>
            <w:pPr>
              <w:ind w:left="600"/>
              <w:spacing w:after="0"/>
              <w:rPr>
                <w:sz w:val="20"/>
                <w:szCs w:val="20"/>
                <w:color w:val="auto"/>
              </w:rPr>
            </w:pPr>
            <w:r>
              <w:rPr>
                <w:rFonts w:ascii="Arial" w:cs="Arial" w:eastAsia="Arial" w:hAnsi="Arial"/>
                <w:sz w:val="18"/>
                <w:szCs w:val="18"/>
                <w:color w:val="auto"/>
              </w:rPr>
              <w:t>Brokers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3.08</w:t>
            </w:r>
          </w:p>
        </w:tc>
        <w:tc>
          <w:tcPr>
            <w:tcW w:w="7720" w:type="dxa"/>
            <w:vAlign w:val="bottom"/>
          </w:tcPr>
          <w:p>
            <w:pPr>
              <w:ind w:left="600"/>
              <w:spacing w:after="0"/>
              <w:rPr>
                <w:sz w:val="20"/>
                <w:szCs w:val="20"/>
                <w:color w:val="auto"/>
              </w:rPr>
            </w:pPr>
            <w:r>
              <w:rPr>
                <w:rFonts w:ascii="Arial" w:cs="Arial" w:eastAsia="Arial" w:hAnsi="Arial"/>
                <w:sz w:val="18"/>
                <w:szCs w:val="18"/>
                <w:color w:val="auto"/>
              </w:rPr>
              <w:t>Compliance with Laws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3.09</w:t>
            </w:r>
          </w:p>
        </w:tc>
        <w:tc>
          <w:tcPr>
            <w:tcW w:w="7720" w:type="dxa"/>
            <w:vAlign w:val="bottom"/>
          </w:tcPr>
          <w:p>
            <w:pPr>
              <w:ind w:left="600"/>
              <w:spacing w:after="0"/>
              <w:rPr>
                <w:sz w:val="20"/>
                <w:szCs w:val="20"/>
                <w:color w:val="auto"/>
              </w:rPr>
            </w:pPr>
            <w:r>
              <w:rPr>
                <w:rFonts w:ascii="Arial" w:cs="Arial" w:eastAsia="Arial" w:hAnsi="Arial"/>
                <w:sz w:val="18"/>
                <w:szCs w:val="18"/>
                <w:color w:val="auto"/>
              </w:rPr>
              <w:t>The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3.10</w:t>
            </w:r>
          </w:p>
        </w:tc>
        <w:tc>
          <w:tcPr>
            <w:tcW w:w="7720" w:type="dxa"/>
            <w:vAlign w:val="bottom"/>
          </w:tcPr>
          <w:p>
            <w:pPr>
              <w:ind w:left="600"/>
              <w:spacing w:after="0"/>
              <w:rPr>
                <w:sz w:val="20"/>
                <w:szCs w:val="20"/>
                <w:color w:val="auto"/>
              </w:rPr>
            </w:pPr>
            <w:r>
              <w:rPr>
                <w:rFonts w:ascii="Arial" w:cs="Arial" w:eastAsia="Arial" w:hAnsi="Arial"/>
                <w:sz w:val="18"/>
                <w:szCs w:val="18"/>
                <w:color w:val="auto"/>
              </w:rPr>
              <w:t>No Undisclosed Liabilities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3.11</w:t>
            </w:r>
          </w:p>
        </w:tc>
        <w:tc>
          <w:tcPr>
            <w:tcW w:w="7720" w:type="dxa"/>
            <w:vAlign w:val="bottom"/>
          </w:tcPr>
          <w:p>
            <w:pPr>
              <w:ind w:left="600"/>
              <w:spacing w:after="0"/>
              <w:rPr>
                <w:sz w:val="20"/>
                <w:szCs w:val="20"/>
                <w:color w:val="auto"/>
              </w:rPr>
            </w:pPr>
            <w:r>
              <w:rPr>
                <w:rFonts w:ascii="Arial" w:cs="Arial" w:eastAsia="Arial" w:hAnsi="Arial"/>
                <w:sz w:val="18"/>
                <w:szCs w:val="18"/>
                <w:color w:val="auto"/>
              </w:rPr>
              <w:t>Taxes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3.12</w:t>
            </w:r>
          </w:p>
        </w:tc>
        <w:tc>
          <w:tcPr>
            <w:tcW w:w="7720" w:type="dxa"/>
            <w:vAlign w:val="bottom"/>
          </w:tcPr>
          <w:p>
            <w:pPr>
              <w:ind w:left="600"/>
              <w:spacing w:after="0"/>
              <w:rPr>
                <w:sz w:val="20"/>
                <w:szCs w:val="20"/>
                <w:color w:val="auto"/>
              </w:rPr>
            </w:pPr>
            <w:r>
              <w:rPr>
                <w:rFonts w:ascii="Arial" w:cs="Arial" w:eastAsia="Arial" w:hAnsi="Arial"/>
                <w:sz w:val="18"/>
                <w:szCs w:val="18"/>
                <w:color w:val="auto"/>
              </w:rPr>
              <w:t>Employees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3.13</w:t>
            </w:r>
          </w:p>
        </w:tc>
        <w:tc>
          <w:tcPr>
            <w:tcW w:w="7720" w:type="dxa"/>
            <w:vAlign w:val="bottom"/>
          </w:tcPr>
          <w:p>
            <w:pPr>
              <w:ind w:left="600"/>
              <w:spacing w:after="0"/>
              <w:rPr>
                <w:sz w:val="20"/>
                <w:szCs w:val="20"/>
                <w:color w:val="auto"/>
              </w:rPr>
            </w:pPr>
            <w:r>
              <w:rPr>
                <w:rFonts w:ascii="Arial" w:cs="Arial" w:eastAsia="Arial" w:hAnsi="Arial"/>
                <w:sz w:val="18"/>
                <w:szCs w:val="18"/>
                <w:color w:val="auto"/>
              </w:rPr>
              <w:t>Company Contracts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3.14</w:t>
            </w:r>
          </w:p>
        </w:tc>
        <w:tc>
          <w:tcPr>
            <w:tcW w:w="7720" w:type="dxa"/>
            <w:vAlign w:val="bottom"/>
          </w:tcPr>
          <w:p>
            <w:pPr>
              <w:ind w:left="600"/>
              <w:spacing w:after="0"/>
              <w:rPr>
                <w:sz w:val="20"/>
                <w:szCs w:val="20"/>
                <w:color w:val="auto"/>
              </w:rPr>
            </w:pPr>
            <w:r>
              <w:rPr>
                <w:rFonts w:ascii="Arial" w:cs="Arial" w:eastAsia="Arial" w:hAnsi="Arial"/>
                <w:sz w:val="18"/>
                <w:szCs w:val="18"/>
                <w:color w:val="auto"/>
              </w:rPr>
              <w:t>Notices; Permits; Intellectual Property</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3.15</w:t>
            </w:r>
          </w:p>
        </w:tc>
        <w:tc>
          <w:tcPr>
            <w:tcW w:w="7720" w:type="dxa"/>
            <w:vAlign w:val="bottom"/>
          </w:tcPr>
          <w:p>
            <w:pPr>
              <w:ind w:left="600"/>
              <w:spacing w:after="0"/>
              <w:rPr>
                <w:sz w:val="20"/>
                <w:szCs w:val="20"/>
                <w:color w:val="auto"/>
              </w:rPr>
            </w:pPr>
            <w:r>
              <w:rPr>
                <w:rFonts w:ascii="Arial" w:cs="Arial" w:eastAsia="Arial" w:hAnsi="Arial"/>
                <w:sz w:val="18"/>
                <w:szCs w:val="18"/>
                <w:color w:val="auto"/>
              </w:rPr>
              <w:t>Insurance</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3.16</w:t>
            </w:r>
          </w:p>
        </w:tc>
        <w:tc>
          <w:tcPr>
            <w:tcW w:w="7720" w:type="dxa"/>
            <w:vAlign w:val="bottom"/>
          </w:tcPr>
          <w:p>
            <w:pPr>
              <w:ind w:left="600"/>
              <w:spacing w:after="0"/>
              <w:rPr>
                <w:sz w:val="20"/>
                <w:szCs w:val="20"/>
                <w:color w:val="auto"/>
              </w:rPr>
            </w:pPr>
            <w:r>
              <w:rPr>
                <w:rFonts w:ascii="Arial" w:cs="Arial" w:eastAsia="Arial" w:hAnsi="Arial"/>
                <w:sz w:val="18"/>
                <w:szCs w:val="18"/>
                <w:color w:val="auto"/>
              </w:rPr>
              <w:t>Bank Accounts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3.17</w:t>
            </w:r>
          </w:p>
        </w:tc>
        <w:tc>
          <w:tcPr>
            <w:tcW w:w="7720" w:type="dxa"/>
            <w:vAlign w:val="bottom"/>
          </w:tcPr>
          <w:p>
            <w:pPr>
              <w:ind w:left="600"/>
              <w:spacing w:after="0"/>
              <w:rPr>
                <w:sz w:val="20"/>
                <w:szCs w:val="20"/>
                <w:color w:val="auto"/>
              </w:rPr>
            </w:pPr>
            <w:r>
              <w:rPr>
                <w:rFonts w:ascii="Arial" w:cs="Arial" w:eastAsia="Arial" w:hAnsi="Arial"/>
                <w:sz w:val="18"/>
                <w:szCs w:val="18"/>
                <w:color w:val="auto"/>
              </w:rPr>
              <w:t>Disclosures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3.18</w:t>
            </w:r>
          </w:p>
        </w:tc>
        <w:tc>
          <w:tcPr>
            <w:tcW w:w="7720" w:type="dxa"/>
            <w:vAlign w:val="bottom"/>
          </w:tcPr>
          <w:p>
            <w:pPr>
              <w:ind w:left="600"/>
              <w:spacing w:after="0"/>
              <w:rPr>
                <w:sz w:val="20"/>
                <w:szCs w:val="20"/>
                <w:color w:val="auto"/>
              </w:rPr>
            </w:pPr>
            <w:r>
              <w:rPr>
                <w:rFonts w:ascii="Arial" w:cs="Arial" w:eastAsia="Arial" w:hAnsi="Arial"/>
                <w:sz w:val="18"/>
                <w:szCs w:val="18"/>
                <w:color w:val="auto"/>
              </w:rPr>
              <w:t>No Other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4.01</w:t>
            </w:r>
          </w:p>
        </w:tc>
        <w:tc>
          <w:tcPr>
            <w:tcW w:w="7720" w:type="dxa"/>
            <w:vAlign w:val="bottom"/>
          </w:tcPr>
          <w:p>
            <w:pPr>
              <w:ind w:left="600"/>
              <w:spacing w:after="0"/>
              <w:rPr>
                <w:sz w:val="20"/>
                <w:szCs w:val="20"/>
                <w:color w:val="auto"/>
              </w:rPr>
            </w:pPr>
            <w:r>
              <w:rPr>
                <w:rFonts w:ascii="Arial" w:cs="Arial" w:eastAsia="Arial" w:hAnsi="Arial"/>
                <w:sz w:val="18"/>
                <w:szCs w:val="18"/>
                <w:color w:val="auto"/>
              </w:rPr>
              <w:t>Existence</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4.02</w:t>
            </w:r>
          </w:p>
        </w:tc>
        <w:tc>
          <w:tcPr>
            <w:tcW w:w="7720" w:type="dxa"/>
            <w:vAlign w:val="bottom"/>
          </w:tcPr>
          <w:p>
            <w:pPr>
              <w:ind w:left="600"/>
              <w:spacing w:after="0"/>
              <w:rPr>
                <w:sz w:val="20"/>
                <w:szCs w:val="20"/>
                <w:color w:val="auto"/>
              </w:rPr>
            </w:pPr>
            <w:r>
              <w:rPr>
                <w:rFonts w:ascii="Arial" w:cs="Arial" w:eastAsia="Arial" w:hAnsi="Arial"/>
                <w:sz w:val="18"/>
                <w:szCs w:val="18"/>
                <w:color w:val="auto"/>
              </w:rPr>
              <w:t>Authority</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4.03</w:t>
            </w:r>
          </w:p>
        </w:tc>
        <w:tc>
          <w:tcPr>
            <w:tcW w:w="7720" w:type="dxa"/>
            <w:vAlign w:val="bottom"/>
          </w:tcPr>
          <w:p>
            <w:pPr>
              <w:ind w:left="600"/>
              <w:spacing w:after="0"/>
              <w:rPr>
                <w:sz w:val="20"/>
                <w:szCs w:val="20"/>
                <w:color w:val="auto"/>
              </w:rPr>
            </w:pPr>
            <w:r>
              <w:rPr>
                <w:rFonts w:ascii="Arial" w:cs="Arial" w:eastAsia="Arial" w:hAnsi="Arial"/>
                <w:sz w:val="18"/>
                <w:szCs w:val="18"/>
                <w:color w:val="auto"/>
              </w:rPr>
              <w:t>No Consent</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4.04</w:t>
            </w:r>
          </w:p>
        </w:tc>
        <w:tc>
          <w:tcPr>
            <w:tcW w:w="7720" w:type="dxa"/>
            <w:vAlign w:val="bottom"/>
          </w:tcPr>
          <w:p>
            <w:pPr>
              <w:ind w:left="600"/>
              <w:spacing w:after="0"/>
              <w:rPr>
                <w:sz w:val="20"/>
                <w:szCs w:val="20"/>
                <w:color w:val="auto"/>
              </w:rPr>
            </w:pPr>
            <w:r>
              <w:rPr>
                <w:rFonts w:ascii="Arial" w:cs="Arial" w:eastAsia="Arial" w:hAnsi="Arial"/>
                <w:sz w:val="18"/>
                <w:szCs w:val="18"/>
                <w:color w:val="auto"/>
              </w:rPr>
              <w:t>No Conflicts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7800" w:type="dxa"/>
            <w:vAlign w:val="bottom"/>
          </w:tcPr>
          <w:p>
            <w:pPr>
              <w:ind w:left="3340"/>
              <w:spacing w:after="0"/>
              <w:rPr>
                <w:sz w:val="20"/>
                <w:szCs w:val="20"/>
                <w:color w:val="auto"/>
              </w:rPr>
            </w:pPr>
            <w:r>
              <w:rPr>
                <w:rFonts w:ascii="Arial" w:cs="Arial" w:eastAsia="Arial" w:hAnsi="Arial"/>
                <w:sz w:val="22"/>
                <w:szCs w:val="22"/>
                <w:b w:val="1"/>
                <w:bCs w:val="1"/>
                <w:color w:val="auto"/>
              </w:rPr>
              <w:t>TABLE OF CONTENTS</w:t>
            </w:r>
          </w:p>
        </w:tc>
        <w:tc>
          <w:tcPr>
            <w:tcW w:w="2340" w:type="dxa"/>
            <w:vAlign w:val="bottom"/>
          </w:tcPr>
          <w:p>
            <w:pPr>
              <w:spacing w:after="0"/>
              <w:rPr>
                <w:sz w:val="21"/>
                <w:szCs w:val="21"/>
                <w:color w:val="auto"/>
              </w:rPr>
            </w:pPr>
          </w:p>
        </w:tc>
      </w:tr>
      <w:tr>
        <w:trPr>
          <w:trHeight w:val="274"/>
        </w:trPr>
        <w:tc>
          <w:tcPr>
            <w:tcW w:w="1100" w:type="dxa"/>
            <w:vAlign w:val="bottom"/>
          </w:tcPr>
          <w:p>
            <w:pPr>
              <w:spacing w:after="0"/>
              <w:rPr>
                <w:sz w:val="23"/>
                <w:szCs w:val="23"/>
                <w:color w:val="auto"/>
              </w:rPr>
            </w:pPr>
          </w:p>
        </w:tc>
        <w:tc>
          <w:tcPr>
            <w:tcW w:w="7800" w:type="dxa"/>
            <w:vAlign w:val="bottom"/>
          </w:tcPr>
          <w:p>
            <w:pPr>
              <w:ind w:left="4020"/>
              <w:spacing w:after="0"/>
              <w:rPr>
                <w:sz w:val="20"/>
                <w:szCs w:val="20"/>
                <w:color w:val="auto"/>
              </w:rPr>
            </w:pPr>
            <w:r>
              <w:rPr>
                <w:rFonts w:ascii="Arial" w:cs="Arial" w:eastAsia="Arial" w:hAnsi="Arial"/>
                <w:sz w:val="22"/>
                <w:szCs w:val="22"/>
                <w:color w:val="auto"/>
              </w:rPr>
              <w:t>(continued)</w:t>
            </w:r>
          </w:p>
        </w:tc>
        <w:tc>
          <w:tcPr>
            <w:tcW w:w="2340" w:type="dxa"/>
            <w:vAlign w:val="bottom"/>
          </w:tcPr>
          <w:p>
            <w:pPr>
              <w:spacing w:after="0"/>
              <w:rPr>
                <w:sz w:val="23"/>
                <w:szCs w:val="23"/>
                <w:color w:val="auto"/>
              </w:rPr>
            </w:pPr>
          </w:p>
        </w:tc>
      </w:tr>
      <w:tr>
        <w:trPr>
          <w:trHeight w:val="449"/>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4.05</w:t>
            </w:r>
          </w:p>
        </w:tc>
        <w:tc>
          <w:tcPr>
            <w:tcW w:w="7800" w:type="dxa"/>
            <w:vAlign w:val="bottom"/>
          </w:tcPr>
          <w:p>
            <w:pPr>
              <w:ind w:left="600"/>
              <w:spacing w:after="0"/>
              <w:rPr>
                <w:sz w:val="20"/>
                <w:szCs w:val="20"/>
                <w:color w:val="auto"/>
              </w:rPr>
            </w:pPr>
            <w:r>
              <w:rPr>
                <w:rFonts w:ascii="Arial" w:cs="Arial" w:eastAsia="Arial" w:hAnsi="Arial"/>
                <w:sz w:val="18"/>
                <w:szCs w:val="18"/>
                <w:color w:val="auto"/>
              </w:rPr>
              <w:t>Legal Proceedings</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4.06</w:t>
            </w:r>
          </w:p>
        </w:tc>
        <w:tc>
          <w:tcPr>
            <w:tcW w:w="7800" w:type="dxa"/>
            <w:vAlign w:val="bottom"/>
          </w:tcPr>
          <w:p>
            <w:pPr>
              <w:ind w:left="600"/>
              <w:spacing w:after="0"/>
              <w:rPr>
                <w:sz w:val="20"/>
                <w:szCs w:val="20"/>
                <w:color w:val="auto"/>
              </w:rPr>
            </w:pPr>
            <w:r>
              <w:rPr>
                <w:rFonts w:ascii="Arial" w:cs="Arial" w:eastAsia="Arial" w:hAnsi="Arial"/>
                <w:sz w:val="18"/>
                <w:szCs w:val="18"/>
                <w:color w:val="auto"/>
              </w:rPr>
              <w:t>Purchase for Investment</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4.07</w:t>
            </w:r>
          </w:p>
        </w:tc>
        <w:tc>
          <w:tcPr>
            <w:tcW w:w="7800" w:type="dxa"/>
            <w:vAlign w:val="bottom"/>
          </w:tcPr>
          <w:p>
            <w:pPr>
              <w:ind w:left="600"/>
              <w:spacing w:after="0"/>
              <w:rPr>
                <w:sz w:val="20"/>
                <w:szCs w:val="20"/>
                <w:color w:val="auto"/>
              </w:rPr>
            </w:pPr>
            <w:r>
              <w:rPr>
                <w:rFonts w:ascii="Arial" w:cs="Arial" w:eastAsia="Arial" w:hAnsi="Arial"/>
                <w:sz w:val="18"/>
                <w:szCs w:val="18"/>
                <w:color w:val="auto"/>
              </w:rPr>
              <w:t>Brokers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4.08</w:t>
            </w:r>
          </w:p>
        </w:tc>
        <w:tc>
          <w:tcPr>
            <w:tcW w:w="7800" w:type="dxa"/>
            <w:vAlign w:val="bottom"/>
          </w:tcPr>
          <w:p>
            <w:pPr>
              <w:ind w:left="600"/>
              <w:spacing w:after="0"/>
              <w:rPr>
                <w:sz w:val="20"/>
                <w:szCs w:val="20"/>
                <w:color w:val="auto"/>
              </w:rPr>
            </w:pPr>
            <w:r>
              <w:rPr>
                <w:rFonts w:ascii="Arial" w:cs="Arial" w:eastAsia="Arial" w:hAnsi="Arial"/>
                <w:sz w:val="18"/>
                <w:szCs w:val="18"/>
                <w:color w:val="auto"/>
              </w:rPr>
              <w:t>Governmental Approvals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4.09</w:t>
            </w:r>
          </w:p>
        </w:tc>
        <w:tc>
          <w:tcPr>
            <w:tcW w:w="7800" w:type="dxa"/>
            <w:vAlign w:val="bottom"/>
          </w:tcPr>
          <w:p>
            <w:pPr>
              <w:ind w:left="600"/>
              <w:spacing w:after="0"/>
              <w:rPr>
                <w:sz w:val="20"/>
                <w:szCs w:val="20"/>
                <w:color w:val="auto"/>
              </w:rPr>
            </w:pPr>
            <w:r>
              <w:rPr>
                <w:rFonts w:ascii="Arial" w:cs="Arial" w:eastAsia="Arial" w:hAnsi="Arial"/>
                <w:sz w:val="18"/>
                <w:szCs w:val="18"/>
                <w:color w:val="auto"/>
              </w:rPr>
              <w:t>Compliance with Laws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4.10</w:t>
            </w:r>
          </w:p>
        </w:tc>
        <w:tc>
          <w:tcPr>
            <w:tcW w:w="7800" w:type="dxa"/>
            <w:vAlign w:val="bottom"/>
          </w:tcPr>
          <w:p>
            <w:pPr>
              <w:ind w:left="600"/>
              <w:spacing w:after="0"/>
              <w:rPr>
                <w:sz w:val="20"/>
                <w:szCs w:val="20"/>
                <w:color w:val="auto"/>
              </w:rPr>
            </w:pPr>
            <w:r>
              <w:rPr>
                <w:rFonts w:ascii="Arial" w:cs="Arial" w:eastAsia="Arial" w:hAnsi="Arial"/>
                <w:sz w:val="18"/>
                <w:szCs w:val="18"/>
                <w:color w:val="auto"/>
              </w:rPr>
              <w:t>Due Diligence</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5 COVENANTS OF SELLER</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5.01</w:t>
            </w:r>
          </w:p>
        </w:tc>
        <w:tc>
          <w:tcPr>
            <w:tcW w:w="7800" w:type="dxa"/>
            <w:vAlign w:val="bottom"/>
          </w:tcPr>
          <w:p>
            <w:pPr>
              <w:ind w:left="600"/>
              <w:spacing w:after="0"/>
              <w:rPr>
                <w:sz w:val="20"/>
                <w:szCs w:val="20"/>
                <w:color w:val="auto"/>
              </w:rPr>
            </w:pPr>
            <w:r>
              <w:rPr>
                <w:rFonts w:ascii="Arial" w:cs="Arial" w:eastAsia="Arial" w:hAnsi="Arial"/>
                <w:sz w:val="18"/>
                <w:szCs w:val="18"/>
                <w:color w:val="auto"/>
              </w:rPr>
              <w:t>Notification of Certain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5.02</w:t>
            </w:r>
          </w:p>
        </w:tc>
        <w:tc>
          <w:tcPr>
            <w:tcW w:w="7800" w:type="dxa"/>
            <w:vAlign w:val="bottom"/>
          </w:tcPr>
          <w:p>
            <w:pPr>
              <w:ind w:left="600"/>
              <w:spacing w:after="0"/>
              <w:rPr>
                <w:sz w:val="20"/>
                <w:szCs w:val="20"/>
                <w:color w:val="auto"/>
              </w:rPr>
            </w:pPr>
            <w:r>
              <w:rPr>
                <w:rFonts w:ascii="Arial" w:cs="Arial" w:eastAsia="Arial" w:hAnsi="Arial"/>
                <w:sz w:val="18"/>
                <w:szCs w:val="18"/>
                <w:color w:val="auto"/>
              </w:rPr>
              <w:t>Conduct of Business</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5.03</w:t>
            </w:r>
          </w:p>
        </w:tc>
        <w:tc>
          <w:tcPr>
            <w:tcW w:w="7800" w:type="dxa"/>
            <w:vAlign w:val="bottom"/>
          </w:tcPr>
          <w:p>
            <w:pPr>
              <w:ind w:left="600"/>
              <w:spacing w:after="0"/>
              <w:rPr>
                <w:sz w:val="20"/>
                <w:szCs w:val="20"/>
                <w:color w:val="auto"/>
              </w:rPr>
            </w:pPr>
            <w:r>
              <w:rPr>
                <w:rFonts w:ascii="Arial" w:cs="Arial" w:eastAsia="Arial" w:hAnsi="Arial"/>
                <w:sz w:val="18"/>
                <w:szCs w:val="18"/>
                <w:color w:val="auto"/>
              </w:rPr>
              <w:t>Casualty Loss</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5.04</w:t>
            </w:r>
          </w:p>
        </w:tc>
        <w:tc>
          <w:tcPr>
            <w:tcW w:w="7800" w:type="dxa"/>
            <w:vAlign w:val="bottom"/>
          </w:tcPr>
          <w:p>
            <w:pPr>
              <w:ind w:left="600"/>
              <w:spacing w:after="0"/>
              <w:rPr>
                <w:sz w:val="20"/>
                <w:szCs w:val="20"/>
                <w:color w:val="auto"/>
              </w:rPr>
            </w:pPr>
            <w:r>
              <w:rPr>
                <w:rFonts w:ascii="Arial" w:cs="Arial" w:eastAsia="Arial" w:hAnsi="Arial"/>
                <w:sz w:val="18"/>
                <w:szCs w:val="18"/>
                <w:color w:val="auto"/>
              </w:rPr>
              <w:t>Seller Parent Guaranty</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5.05</w:t>
            </w:r>
          </w:p>
        </w:tc>
        <w:tc>
          <w:tcPr>
            <w:tcW w:w="7800" w:type="dxa"/>
            <w:vAlign w:val="bottom"/>
          </w:tcPr>
          <w:p>
            <w:pPr>
              <w:ind w:left="600"/>
              <w:spacing w:after="0"/>
              <w:rPr>
                <w:sz w:val="20"/>
                <w:szCs w:val="20"/>
                <w:color w:val="auto"/>
              </w:rPr>
            </w:pPr>
            <w:r>
              <w:rPr>
                <w:rFonts w:ascii="Arial" w:cs="Arial" w:eastAsia="Arial" w:hAnsi="Arial"/>
                <w:sz w:val="18"/>
                <w:szCs w:val="18"/>
                <w:color w:val="auto"/>
              </w:rPr>
              <w:t>Regulatory Filings and Approvals</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5.06</w:t>
            </w:r>
          </w:p>
        </w:tc>
        <w:tc>
          <w:tcPr>
            <w:tcW w:w="7800" w:type="dxa"/>
            <w:vAlign w:val="bottom"/>
          </w:tcPr>
          <w:p>
            <w:pPr>
              <w:ind w:left="600"/>
              <w:spacing w:after="0"/>
              <w:rPr>
                <w:sz w:val="20"/>
                <w:szCs w:val="20"/>
                <w:color w:val="auto"/>
              </w:rPr>
            </w:pPr>
            <w:r>
              <w:rPr>
                <w:rFonts w:ascii="Arial" w:cs="Arial" w:eastAsia="Arial" w:hAnsi="Arial"/>
                <w:sz w:val="18"/>
                <w:szCs w:val="18"/>
                <w:color w:val="auto"/>
              </w:rPr>
              <w:t>Fulfillment of Conditions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5.07</w:t>
            </w:r>
          </w:p>
        </w:tc>
        <w:tc>
          <w:tcPr>
            <w:tcW w:w="7800" w:type="dxa"/>
            <w:vAlign w:val="bottom"/>
          </w:tcPr>
          <w:p>
            <w:pPr>
              <w:ind w:left="600"/>
              <w:spacing w:after="0"/>
              <w:rPr>
                <w:sz w:val="20"/>
                <w:szCs w:val="20"/>
                <w:color w:val="auto"/>
              </w:rPr>
            </w:pPr>
            <w:r>
              <w:rPr>
                <w:rFonts w:ascii="Arial" w:cs="Arial" w:eastAsia="Arial" w:hAnsi="Arial"/>
                <w:sz w:val="18"/>
                <w:szCs w:val="18"/>
                <w:color w:val="auto"/>
              </w:rPr>
              <w:t>Further Assurances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6 COVENANTS OF PURCHASER</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6.01</w:t>
            </w:r>
          </w:p>
        </w:tc>
        <w:tc>
          <w:tcPr>
            <w:tcW w:w="7800" w:type="dxa"/>
            <w:vAlign w:val="bottom"/>
          </w:tcPr>
          <w:p>
            <w:pPr>
              <w:ind w:left="600"/>
              <w:spacing w:after="0"/>
              <w:rPr>
                <w:sz w:val="20"/>
                <w:szCs w:val="20"/>
                <w:color w:val="auto"/>
              </w:rPr>
            </w:pPr>
            <w:r>
              <w:rPr>
                <w:rFonts w:ascii="Arial" w:cs="Arial" w:eastAsia="Arial" w:hAnsi="Arial"/>
                <w:sz w:val="18"/>
                <w:szCs w:val="18"/>
                <w:color w:val="auto"/>
              </w:rPr>
              <w:t>Regulatory Filings and Approvals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6.02</w:t>
            </w:r>
          </w:p>
        </w:tc>
        <w:tc>
          <w:tcPr>
            <w:tcW w:w="7800" w:type="dxa"/>
            <w:vAlign w:val="bottom"/>
          </w:tcPr>
          <w:p>
            <w:pPr>
              <w:ind w:left="600"/>
              <w:spacing w:after="0"/>
              <w:rPr>
                <w:sz w:val="20"/>
                <w:szCs w:val="20"/>
                <w:color w:val="auto"/>
              </w:rPr>
            </w:pPr>
            <w:r>
              <w:rPr>
                <w:rFonts w:ascii="Arial" w:cs="Arial" w:eastAsia="Arial" w:hAnsi="Arial"/>
                <w:sz w:val="18"/>
                <w:szCs w:val="18"/>
                <w:color w:val="auto"/>
              </w:rPr>
              <w:t>Fulfillment of Conditions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6.03</w:t>
            </w:r>
          </w:p>
        </w:tc>
        <w:tc>
          <w:tcPr>
            <w:tcW w:w="7800" w:type="dxa"/>
            <w:vAlign w:val="bottom"/>
          </w:tcPr>
          <w:p>
            <w:pPr>
              <w:ind w:left="600"/>
              <w:spacing w:after="0"/>
              <w:rPr>
                <w:sz w:val="20"/>
                <w:szCs w:val="20"/>
                <w:color w:val="auto"/>
              </w:rPr>
            </w:pPr>
            <w:r>
              <w:rPr>
                <w:rFonts w:ascii="Arial" w:cs="Arial" w:eastAsia="Arial" w:hAnsi="Arial"/>
                <w:sz w:val="18"/>
                <w:szCs w:val="18"/>
                <w:color w:val="auto"/>
              </w:rPr>
              <w:t>Further Assurances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6.04</w:t>
            </w:r>
          </w:p>
        </w:tc>
        <w:tc>
          <w:tcPr>
            <w:tcW w:w="7800" w:type="dxa"/>
            <w:vAlign w:val="bottom"/>
          </w:tcPr>
          <w:p>
            <w:pPr>
              <w:ind w:left="600"/>
              <w:spacing w:after="0"/>
              <w:rPr>
                <w:sz w:val="20"/>
                <w:szCs w:val="20"/>
                <w:color w:val="auto"/>
              </w:rPr>
            </w:pPr>
            <w:r>
              <w:rPr>
                <w:rFonts w:ascii="Arial" w:cs="Arial" w:eastAsia="Arial" w:hAnsi="Arial"/>
                <w:sz w:val="18"/>
                <w:szCs w:val="18"/>
                <w:color w:val="auto"/>
              </w:rPr>
              <w:t>Purchaser Parent Guaranty</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6.05</w:t>
            </w:r>
          </w:p>
        </w:tc>
        <w:tc>
          <w:tcPr>
            <w:tcW w:w="7800" w:type="dxa"/>
            <w:vAlign w:val="bottom"/>
          </w:tcPr>
          <w:p>
            <w:pPr>
              <w:ind w:left="600"/>
              <w:spacing w:after="0"/>
              <w:rPr>
                <w:sz w:val="20"/>
                <w:szCs w:val="20"/>
                <w:color w:val="auto"/>
              </w:rPr>
            </w:pPr>
            <w:r>
              <w:rPr>
                <w:rFonts w:ascii="Arial" w:cs="Arial" w:eastAsia="Arial" w:hAnsi="Arial"/>
                <w:sz w:val="18"/>
                <w:szCs w:val="18"/>
                <w:color w:val="auto"/>
              </w:rPr>
              <w:t>Excluded Assets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7 CONDITIONS TO OBLIGATIONS OF PURCHASER</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7.01</w:t>
            </w:r>
          </w:p>
        </w:tc>
        <w:tc>
          <w:tcPr>
            <w:tcW w:w="7800" w:type="dxa"/>
            <w:vAlign w:val="bottom"/>
          </w:tcPr>
          <w:p>
            <w:pPr>
              <w:ind w:left="600"/>
              <w:spacing w:after="0"/>
              <w:rPr>
                <w:sz w:val="20"/>
                <w:szCs w:val="20"/>
                <w:color w:val="auto"/>
              </w:rPr>
            </w:pPr>
            <w:r>
              <w:rPr>
                <w:rFonts w:ascii="Arial" w:cs="Arial" w:eastAsia="Arial" w:hAnsi="Arial"/>
                <w:sz w:val="18"/>
                <w:szCs w:val="18"/>
                <w:color w:val="auto"/>
              </w:rPr>
              <w:t>Bring-Down of Seller’s Representations and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7.02</w:t>
            </w:r>
          </w:p>
        </w:tc>
        <w:tc>
          <w:tcPr>
            <w:tcW w:w="7800" w:type="dxa"/>
            <w:vAlign w:val="bottom"/>
          </w:tcPr>
          <w:p>
            <w:pPr>
              <w:ind w:left="600"/>
              <w:spacing w:after="0"/>
              <w:rPr>
                <w:sz w:val="20"/>
                <w:szCs w:val="20"/>
                <w:color w:val="auto"/>
              </w:rPr>
            </w:pPr>
            <w:r>
              <w:rPr>
                <w:rFonts w:ascii="Arial" w:cs="Arial" w:eastAsia="Arial" w:hAnsi="Arial"/>
                <w:sz w:val="18"/>
                <w:szCs w:val="18"/>
                <w:color w:val="auto"/>
              </w:rPr>
              <w:t>Performance at Closing</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7.03</w:t>
            </w:r>
          </w:p>
        </w:tc>
        <w:tc>
          <w:tcPr>
            <w:tcW w:w="7800" w:type="dxa"/>
            <w:vAlign w:val="bottom"/>
          </w:tcPr>
          <w:p>
            <w:pPr>
              <w:ind w:left="600"/>
              <w:spacing w:after="0"/>
              <w:rPr>
                <w:sz w:val="20"/>
                <w:szCs w:val="20"/>
                <w:color w:val="auto"/>
              </w:rPr>
            </w:pPr>
            <w:r>
              <w:rPr>
                <w:rFonts w:ascii="Arial" w:cs="Arial" w:eastAsia="Arial" w:hAnsi="Arial"/>
                <w:sz w:val="18"/>
                <w:szCs w:val="18"/>
                <w:color w:val="auto"/>
              </w:rPr>
              <w:t>Litigation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7.04</w:t>
            </w:r>
          </w:p>
        </w:tc>
        <w:tc>
          <w:tcPr>
            <w:tcW w:w="7800" w:type="dxa"/>
            <w:vAlign w:val="bottom"/>
          </w:tcPr>
          <w:p>
            <w:pPr>
              <w:ind w:left="600"/>
              <w:spacing w:after="0"/>
              <w:rPr>
                <w:sz w:val="20"/>
                <w:szCs w:val="20"/>
                <w:color w:val="auto"/>
              </w:rPr>
            </w:pPr>
            <w:r>
              <w:rPr>
                <w:rFonts w:ascii="Arial" w:cs="Arial" w:eastAsia="Arial" w:hAnsi="Arial"/>
                <w:sz w:val="18"/>
                <w:szCs w:val="18"/>
                <w:color w:val="auto"/>
              </w:rPr>
              <w:t>Assignment of Membership Interests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7.05</w:t>
            </w:r>
          </w:p>
        </w:tc>
        <w:tc>
          <w:tcPr>
            <w:tcW w:w="7800" w:type="dxa"/>
            <w:vAlign w:val="bottom"/>
          </w:tcPr>
          <w:p>
            <w:pPr>
              <w:ind w:left="600"/>
              <w:spacing w:after="0"/>
              <w:rPr>
                <w:sz w:val="20"/>
                <w:szCs w:val="20"/>
                <w:color w:val="auto"/>
              </w:rPr>
            </w:pPr>
            <w:r>
              <w:rPr>
                <w:rFonts w:ascii="Arial" w:cs="Arial" w:eastAsia="Arial" w:hAnsi="Arial"/>
                <w:sz w:val="18"/>
                <w:szCs w:val="18"/>
                <w:color w:val="auto"/>
              </w:rPr>
              <w:t>Approvals and Consents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7.06</w:t>
            </w:r>
          </w:p>
        </w:tc>
        <w:tc>
          <w:tcPr>
            <w:tcW w:w="7800" w:type="dxa"/>
            <w:vAlign w:val="bottom"/>
          </w:tcPr>
          <w:p>
            <w:pPr>
              <w:ind w:left="600"/>
              <w:spacing w:after="0"/>
              <w:rPr>
                <w:sz w:val="20"/>
                <w:szCs w:val="20"/>
                <w:color w:val="auto"/>
              </w:rPr>
            </w:pPr>
            <w:r>
              <w:rPr>
                <w:rFonts w:ascii="Arial" w:cs="Arial" w:eastAsia="Arial" w:hAnsi="Arial"/>
                <w:sz w:val="18"/>
                <w:szCs w:val="18"/>
                <w:color w:val="auto"/>
              </w:rPr>
              <w:t>Certificates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7.07</w:t>
            </w:r>
          </w:p>
        </w:tc>
        <w:tc>
          <w:tcPr>
            <w:tcW w:w="7800" w:type="dxa"/>
            <w:vAlign w:val="bottom"/>
          </w:tcPr>
          <w:p>
            <w:pPr>
              <w:ind w:left="600"/>
              <w:spacing w:after="0"/>
              <w:rPr>
                <w:sz w:val="20"/>
                <w:szCs w:val="20"/>
                <w:color w:val="auto"/>
              </w:rPr>
            </w:pPr>
            <w:r>
              <w:rPr>
                <w:rFonts w:ascii="Arial" w:cs="Arial" w:eastAsia="Arial" w:hAnsi="Arial"/>
                <w:sz w:val="18"/>
                <w:szCs w:val="18"/>
                <w:color w:val="auto"/>
              </w:rPr>
              <w:t>FIRPTA Certificate</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8 CONDITIONS TO OBLIGATIONS OF SELLER</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8.01</w:t>
            </w:r>
          </w:p>
        </w:tc>
        <w:tc>
          <w:tcPr>
            <w:tcW w:w="7800" w:type="dxa"/>
            <w:vAlign w:val="bottom"/>
          </w:tcPr>
          <w:p>
            <w:pPr>
              <w:ind w:left="600"/>
              <w:spacing w:after="0"/>
              <w:rPr>
                <w:sz w:val="20"/>
                <w:szCs w:val="20"/>
                <w:color w:val="auto"/>
              </w:rPr>
            </w:pPr>
            <w:r>
              <w:rPr>
                <w:rFonts w:ascii="Arial" w:cs="Arial" w:eastAsia="Arial" w:hAnsi="Arial"/>
                <w:sz w:val="18"/>
                <w:szCs w:val="18"/>
                <w:color w:val="auto"/>
              </w:rPr>
              <w:t>Bring-Down of Purchaser’s Representations and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8.02</w:t>
            </w:r>
          </w:p>
        </w:tc>
        <w:tc>
          <w:tcPr>
            <w:tcW w:w="7800" w:type="dxa"/>
            <w:vAlign w:val="bottom"/>
          </w:tcPr>
          <w:p>
            <w:pPr>
              <w:ind w:left="600"/>
              <w:spacing w:after="0"/>
              <w:rPr>
                <w:sz w:val="20"/>
                <w:szCs w:val="20"/>
                <w:color w:val="auto"/>
              </w:rPr>
            </w:pPr>
            <w:r>
              <w:rPr>
                <w:rFonts w:ascii="Arial" w:cs="Arial" w:eastAsia="Arial" w:hAnsi="Arial"/>
                <w:sz w:val="18"/>
                <w:szCs w:val="18"/>
                <w:color w:val="auto"/>
              </w:rPr>
              <w:t>Performance at Closing</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jc w:val="right"/>
              <w:ind w:right="530"/>
              <w:spacing w:after="0"/>
              <w:rPr>
                <w:sz w:val="20"/>
                <w:szCs w:val="20"/>
                <w:color w:val="auto"/>
              </w:rPr>
            </w:pPr>
            <w:r>
              <w:rPr>
                <w:rFonts w:ascii="Arial" w:cs="Arial" w:eastAsia="Arial" w:hAnsi="Arial"/>
                <w:sz w:val="18"/>
                <w:szCs w:val="18"/>
                <w:color w:val="auto"/>
              </w:rPr>
              <w:t>8.03</w:t>
            </w:r>
          </w:p>
        </w:tc>
        <w:tc>
          <w:tcPr>
            <w:tcW w:w="7800" w:type="dxa"/>
            <w:vAlign w:val="bottom"/>
          </w:tcPr>
          <w:p>
            <w:pPr>
              <w:ind w:left="600"/>
              <w:spacing w:after="0"/>
              <w:rPr>
                <w:sz w:val="20"/>
                <w:szCs w:val="20"/>
                <w:color w:val="auto"/>
              </w:rPr>
            </w:pPr>
            <w:r>
              <w:rPr>
                <w:rFonts w:ascii="Arial" w:cs="Arial" w:eastAsia="Arial" w:hAnsi="Arial"/>
                <w:sz w:val="18"/>
                <w:szCs w:val="18"/>
                <w:color w:val="auto"/>
              </w:rPr>
              <w:t>Approvals and Consents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180"/>
              <w:spacing w:after="0"/>
              <w:rPr>
                <w:sz w:val="20"/>
                <w:szCs w:val="20"/>
                <w:color w:val="auto"/>
              </w:rPr>
            </w:pPr>
            <w:r>
              <w:rPr>
                <w:rFonts w:ascii="Arial" w:cs="Arial" w:eastAsia="Arial" w:hAnsi="Arial"/>
                <w:sz w:val="18"/>
                <w:szCs w:val="18"/>
                <w:color w:val="auto"/>
              </w:rPr>
              <w:t>8.04</w:t>
            </w:r>
          </w:p>
        </w:tc>
        <w:tc>
          <w:tcPr>
            <w:tcW w:w="7700" w:type="dxa"/>
            <w:vAlign w:val="bottom"/>
          </w:tcPr>
          <w:p>
            <w:pPr>
              <w:ind w:left="560"/>
              <w:spacing w:after="0"/>
              <w:rPr>
                <w:sz w:val="20"/>
                <w:szCs w:val="20"/>
                <w:color w:val="auto"/>
              </w:rPr>
            </w:pPr>
            <w:r>
              <w:rPr>
                <w:rFonts w:ascii="Arial" w:cs="Arial" w:eastAsia="Arial" w:hAnsi="Arial"/>
                <w:sz w:val="18"/>
                <w:szCs w:val="18"/>
                <w:color w:val="auto"/>
              </w:rPr>
              <w:t>Litigation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8.05</w:t>
            </w:r>
          </w:p>
        </w:tc>
        <w:tc>
          <w:tcPr>
            <w:tcW w:w="7700" w:type="dxa"/>
            <w:vAlign w:val="bottom"/>
          </w:tcPr>
          <w:p>
            <w:pPr>
              <w:ind w:left="560"/>
              <w:spacing w:after="0"/>
              <w:rPr>
                <w:sz w:val="20"/>
                <w:szCs w:val="20"/>
                <w:color w:val="auto"/>
              </w:rPr>
            </w:pPr>
            <w:r>
              <w:rPr>
                <w:rFonts w:ascii="Arial" w:cs="Arial" w:eastAsia="Arial" w:hAnsi="Arial"/>
                <w:sz w:val="18"/>
                <w:szCs w:val="18"/>
                <w:color w:val="auto"/>
              </w:rPr>
              <w:t>Deliveries. Purchaser shall have delivered to Seller</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9 TAX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9.01</w:t>
            </w:r>
          </w:p>
        </w:tc>
        <w:tc>
          <w:tcPr>
            <w:tcW w:w="7700" w:type="dxa"/>
            <w:vAlign w:val="bottom"/>
          </w:tcPr>
          <w:p>
            <w:pPr>
              <w:ind w:left="560"/>
              <w:spacing w:after="0"/>
              <w:rPr>
                <w:sz w:val="20"/>
                <w:szCs w:val="20"/>
                <w:color w:val="auto"/>
              </w:rPr>
            </w:pPr>
            <w:r>
              <w:rPr>
                <w:rFonts w:ascii="Arial" w:cs="Arial" w:eastAsia="Arial" w:hAnsi="Arial"/>
                <w:sz w:val="18"/>
                <w:szCs w:val="18"/>
                <w:color w:val="auto"/>
              </w:rPr>
              <w:t>Certain Taxes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10 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10.01</w:t>
            </w:r>
          </w:p>
        </w:tc>
        <w:tc>
          <w:tcPr>
            <w:tcW w:w="7700" w:type="dxa"/>
            <w:vAlign w:val="bottom"/>
          </w:tcPr>
          <w:p>
            <w:pPr>
              <w:ind w:left="560"/>
              <w:spacing w:after="0"/>
              <w:rPr>
                <w:sz w:val="20"/>
                <w:szCs w:val="20"/>
                <w:color w:val="auto"/>
              </w:rPr>
            </w:pPr>
            <w:r>
              <w:rPr>
                <w:rFonts w:ascii="Arial" w:cs="Arial" w:eastAsia="Arial" w:hAnsi="Arial"/>
                <w:sz w:val="18"/>
                <w:szCs w:val="18"/>
                <w:color w:val="auto"/>
              </w:rPr>
              <w:t>Survival of Representations, Warranties, Covenants and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11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11.01</w:t>
            </w:r>
          </w:p>
        </w:tc>
        <w:tc>
          <w:tcPr>
            <w:tcW w:w="7700" w:type="dxa"/>
            <w:vAlign w:val="bottom"/>
          </w:tcPr>
          <w:p>
            <w:pPr>
              <w:ind w:left="560"/>
              <w:spacing w:after="0"/>
              <w:rPr>
                <w:sz w:val="20"/>
                <w:szCs w:val="20"/>
                <w:color w:val="auto"/>
              </w:rPr>
            </w:pPr>
            <w:r>
              <w:rPr>
                <w:rFonts w:ascii="Arial" w:cs="Arial" w:eastAsia="Arial" w:hAnsi="Arial"/>
                <w:sz w:val="18"/>
                <w:szCs w:val="18"/>
                <w:color w:val="auto"/>
              </w:rPr>
              <w:t>Indemnification by Seller</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11.02</w:t>
            </w:r>
          </w:p>
        </w:tc>
        <w:tc>
          <w:tcPr>
            <w:tcW w:w="7700" w:type="dxa"/>
            <w:vAlign w:val="bottom"/>
          </w:tcPr>
          <w:p>
            <w:pPr>
              <w:ind w:left="560"/>
              <w:spacing w:after="0"/>
              <w:rPr>
                <w:sz w:val="20"/>
                <w:szCs w:val="20"/>
                <w:color w:val="auto"/>
              </w:rPr>
            </w:pPr>
            <w:r>
              <w:rPr>
                <w:rFonts w:ascii="Arial" w:cs="Arial" w:eastAsia="Arial" w:hAnsi="Arial"/>
                <w:sz w:val="18"/>
                <w:szCs w:val="18"/>
                <w:color w:val="auto"/>
              </w:rPr>
              <w:t>Indemnification by Purchaser</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11.03</w:t>
            </w:r>
          </w:p>
        </w:tc>
        <w:tc>
          <w:tcPr>
            <w:tcW w:w="7700" w:type="dxa"/>
            <w:vAlign w:val="bottom"/>
          </w:tcPr>
          <w:p>
            <w:pPr>
              <w:ind w:left="560"/>
              <w:spacing w:after="0"/>
              <w:rPr>
                <w:sz w:val="20"/>
                <w:szCs w:val="20"/>
                <w:color w:val="auto"/>
              </w:rPr>
            </w:pPr>
            <w:r>
              <w:rPr>
                <w:rFonts w:ascii="Arial" w:cs="Arial" w:eastAsia="Arial" w:hAnsi="Arial"/>
                <w:sz w:val="18"/>
                <w:szCs w:val="18"/>
                <w:color w:val="auto"/>
              </w:rPr>
              <w:t>Period for Making Claims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11.04</w:t>
            </w:r>
          </w:p>
        </w:tc>
        <w:tc>
          <w:tcPr>
            <w:tcW w:w="7700" w:type="dxa"/>
            <w:vAlign w:val="bottom"/>
          </w:tcPr>
          <w:p>
            <w:pPr>
              <w:ind w:left="560"/>
              <w:spacing w:after="0"/>
              <w:rPr>
                <w:sz w:val="20"/>
                <w:szCs w:val="20"/>
                <w:color w:val="auto"/>
              </w:rPr>
            </w:pPr>
            <w:r>
              <w:rPr>
                <w:rFonts w:ascii="Arial" w:cs="Arial" w:eastAsia="Arial" w:hAnsi="Arial"/>
                <w:sz w:val="18"/>
                <w:szCs w:val="18"/>
                <w:color w:val="auto"/>
              </w:rPr>
              <w:t>Limitations on Claims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11.05</w:t>
            </w:r>
          </w:p>
        </w:tc>
        <w:tc>
          <w:tcPr>
            <w:tcW w:w="7700" w:type="dxa"/>
            <w:vAlign w:val="bottom"/>
          </w:tcPr>
          <w:p>
            <w:pPr>
              <w:ind w:left="560"/>
              <w:spacing w:after="0"/>
              <w:rPr>
                <w:sz w:val="20"/>
                <w:szCs w:val="20"/>
                <w:color w:val="auto"/>
              </w:rPr>
            </w:pPr>
            <w:r>
              <w:rPr>
                <w:rFonts w:ascii="Arial" w:cs="Arial" w:eastAsia="Arial" w:hAnsi="Arial"/>
                <w:sz w:val="18"/>
                <w:szCs w:val="18"/>
                <w:color w:val="auto"/>
              </w:rPr>
              <w:t>Procedure for Indemnification of Third Party Claims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11.06</w:t>
            </w:r>
          </w:p>
        </w:tc>
        <w:tc>
          <w:tcPr>
            <w:tcW w:w="7700" w:type="dxa"/>
            <w:vAlign w:val="bottom"/>
          </w:tcPr>
          <w:p>
            <w:pPr>
              <w:ind w:left="560"/>
              <w:spacing w:after="0"/>
              <w:rPr>
                <w:sz w:val="20"/>
                <w:szCs w:val="20"/>
                <w:color w:val="auto"/>
              </w:rPr>
            </w:pPr>
            <w:r>
              <w:rPr>
                <w:rFonts w:ascii="Arial" w:cs="Arial" w:eastAsia="Arial" w:hAnsi="Arial"/>
                <w:sz w:val="18"/>
                <w:szCs w:val="18"/>
                <w:color w:val="auto"/>
              </w:rPr>
              <w:t>Rights of Indemnifying Party in the Defense of Third Party Claims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11.07</w:t>
            </w:r>
          </w:p>
        </w:tc>
        <w:tc>
          <w:tcPr>
            <w:tcW w:w="7700" w:type="dxa"/>
            <w:vAlign w:val="bottom"/>
          </w:tcPr>
          <w:p>
            <w:pPr>
              <w:ind w:left="560"/>
              <w:spacing w:after="0"/>
              <w:rPr>
                <w:sz w:val="20"/>
                <w:szCs w:val="20"/>
                <w:color w:val="auto"/>
              </w:rPr>
            </w:pPr>
            <w:r>
              <w:rPr>
                <w:rFonts w:ascii="Arial" w:cs="Arial" w:eastAsia="Arial" w:hAnsi="Arial"/>
                <w:sz w:val="18"/>
                <w:szCs w:val="18"/>
                <w:color w:val="auto"/>
              </w:rPr>
              <w:t>Direct Claims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11.08</w:t>
            </w:r>
          </w:p>
        </w:tc>
        <w:tc>
          <w:tcPr>
            <w:tcW w:w="7700" w:type="dxa"/>
            <w:vAlign w:val="bottom"/>
          </w:tcPr>
          <w:p>
            <w:pPr>
              <w:ind w:left="560"/>
              <w:spacing w:after="0"/>
              <w:rPr>
                <w:sz w:val="20"/>
                <w:szCs w:val="20"/>
                <w:color w:val="auto"/>
              </w:rPr>
            </w:pPr>
            <w:r>
              <w:rPr>
                <w:rFonts w:ascii="Arial" w:cs="Arial" w:eastAsia="Arial" w:hAnsi="Arial"/>
                <w:sz w:val="18"/>
                <w:szCs w:val="18"/>
                <w:color w:val="auto"/>
              </w:rPr>
              <w:t>Exclusive Remedy</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11.09</w:t>
            </w:r>
          </w:p>
        </w:tc>
        <w:tc>
          <w:tcPr>
            <w:tcW w:w="7700" w:type="dxa"/>
            <w:vAlign w:val="bottom"/>
          </w:tcPr>
          <w:p>
            <w:pPr>
              <w:ind w:left="560"/>
              <w:spacing w:after="0"/>
              <w:rPr>
                <w:sz w:val="20"/>
                <w:szCs w:val="20"/>
                <w:color w:val="auto"/>
              </w:rPr>
            </w:pPr>
            <w:r>
              <w:rPr>
                <w:rFonts w:ascii="Arial" w:cs="Arial" w:eastAsia="Arial" w:hAnsi="Arial"/>
                <w:sz w:val="18"/>
                <w:szCs w:val="18"/>
                <w:color w:val="auto"/>
              </w:rPr>
              <w:t>Indemnity Treatment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11.10</w:t>
            </w:r>
          </w:p>
        </w:tc>
        <w:tc>
          <w:tcPr>
            <w:tcW w:w="7700" w:type="dxa"/>
            <w:vAlign w:val="bottom"/>
          </w:tcPr>
          <w:p>
            <w:pPr>
              <w:ind w:left="560"/>
              <w:spacing w:after="0"/>
              <w:rPr>
                <w:sz w:val="20"/>
                <w:szCs w:val="20"/>
                <w:color w:val="auto"/>
              </w:rPr>
            </w:pPr>
            <w:r>
              <w:rPr>
                <w:rFonts w:ascii="Arial" w:cs="Arial" w:eastAsia="Arial" w:hAnsi="Arial"/>
                <w:sz w:val="18"/>
                <w:szCs w:val="18"/>
                <w:color w:val="auto"/>
              </w:rPr>
              <w:t>Mitigation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11.11</w:t>
            </w:r>
          </w:p>
        </w:tc>
        <w:tc>
          <w:tcPr>
            <w:tcW w:w="7700" w:type="dxa"/>
            <w:vAlign w:val="bottom"/>
          </w:tcPr>
          <w:p>
            <w:pPr>
              <w:ind w:left="560"/>
              <w:spacing w:after="0"/>
              <w:rPr>
                <w:sz w:val="20"/>
                <w:szCs w:val="20"/>
                <w:color w:val="auto"/>
              </w:rPr>
            </w:pPr>
            <w:r>
              <w:rPr>
                <w:rFonts w:ascii="Arial" w:cs="Arial" w:eastAsia="Arial" w:hAnsi="Arial"/>
                <w:sz w:val="18"/>
                <w:szCs w:val="18"/>
                <w:color w:val="auto"/>
              </w:rPr>
              <w:t>No Solicitation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12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12.01</w:t>
            </w:r>
          </w:p>
        </w:tc>
        <w:tc>
          <w:tcPr>
            <w:tcW w:w="7700" w:type="dxa"/>
            <w:vAlign w:val="bottom"/>
          </w:tcPr>
          <w:p>
            <w:pPr>
              <w:ind w:left="560"/>
              <w:spacing w:after="0"/>
              <w:rPr>
                <w:sz w:val="20"/>
                <w:szCs w:val="20"/>
                <w:color w:val="auto"/>
              </w:rPr>
            </w:pPr>
            <w:r>
              <w:rPr>
                <w:rFonts w:ascii="Arial" w:cs="Arial" w:eastAsia="Arial" w:hAnsi="Arial"/>
                <w:sz w:val="18"/>
                <w:szCs w:val="18"/>
                <w:color w:val="auto"/>
              </w:rPr>
              <w:t>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12.02</w:t>
            </w:r>
          </w:p>
        </w:tc>
        <w:tc>
          <w:tcPr>
            <w:tcW w:w="7700" w:type="dxa"/>
            <w:vAlign w:val="bottom"/>
          </w:tcPr>
          <w:p>
            <w:pPr>
              <w:ind w:left="560"/>
              <w:spacing w:after="0"/>
              <w:rPr>
                <w:sz w:val="20"/>
                <w:szCs w:val="20"/>
                <w:color w:val="auto"/>
              </w:rPr>
            </w:pPr>
            <w:r>
              <w:rPr>
                <w:rFonts w:ascii="Arial" w:cs="Arial" w:eastAsia="Arial" w:hAnsi="Arial"/>
                <w:sz w:val="18"/>
                <w:szCs w:val="18"/>
                <w:color w:val="auto"/>
              </w:rPr>
              <w:t>Effect of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color w:val="auto"/>
              </w:rPr>
              <w:t>ARTICLE 13 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13.01</w:t>
            </w:r>
          </w:p>
        </w:tc>
        <w:tc>
          <w:tcPr>
            <w:tcW w:w="7700" w:type="dxa"/>
            <w:vAlign w:val="bottom"/>
          </w:tcPr>
          <w:p>
            <w:pPr>
              <w:ind w:left="56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13.02</w:t>
            </w:r>
          </w:p>
        </w:tc>
        <w:tc>
          <w:tcPr>
            <w:tcW w:w="7700" w:type="dxa"/>
            <w:vAlign w:val="bottom"/>
          </w:tcPr>
          <w:p>
            <w:pPr>
              <w:ind w:left="560"/>
              <w:spacing w:after="0"/>
              <w:rPr>
                <w:sz w:val="20"/>
                <w:szCs w:val="20"/>
                <w:color w:val="auto"/>
              </w:rPr>
            </w:pPr>
            <w:r>
              <w:rPr>
                <w:rFonts w:ascii="Arial" w:cs="Arial" w:eastAsia="Arial" w:hAnsi="Arial"/>
                <w:sz w:val="18"/>
                <w:szCs w:val="18"/>
                <w:color w:val="auto"/>
              </w:rPr>
              <w:t>Entire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13.03</w:t>
            </w:r>
          </w:p>
        </w:tc>
        <w:tc>
          <w:tcPr>
            <w:tcW w:w="7700" w:type="dxa"/>
            <w:vAlign w:val="bottom"/>
          </w:tcPr>
          <w:p>
            <w:pPr>
              <w:ind w:left="560"/>
              <w:spacing w:after="0"/>
              <w:rPr>
                <w:sz w:val="20"/>
                <w:szCs w:val="20"/>
                <w:color w:val="auto"/>
              </w:rPr>
            </w:pPr>
            <w:r>
              <w:rPr>
                <w:rFonts w:ascii="Arial" w:cs="Arial" w:eastAsia="Arial" w:hAnsi="Arial"/>
                <w:sz w:val="18"/>
                <w:szCs w:val="18"/>
                <w:color w:val="auto"/>
              </w:rPr>
              <w:t>Specific Performance</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13.04</w:t>
            </w:r>
          </w:p>
        </w:tc>
        <w:tc>
          <w:tcPr>
            <w:tcW w:w="7700" w:type="dxa"/>
            <w:vAlign w:val="bottom"/>
          </w:tcPr>
          <w:p>
            <w:pPr>
              <w:ind w:left="560"/>
              <w:spacing w:after="0"/>
              <w:rPr>
                <w:sz w:val="20"/>
                <w:szCs w:val="20"/>
                <w:color w:val="auto"/>
              </w:rPr>
            </w:pPr>
            <w:r>
              <w:rPr>
                <w:rFonts w:ascii="Arial" w:cs="Arial" w:eastAsia="Arial" w:hAnsi="Arial"/>
                <w:sz w:val="18"/>
                <w:szCs w:val="18"/>
                <w:color w:val="auto"/>
              </w:rPr>
              <w:t>Time of the Essence</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13.05</w:t>
            </w:r>
          </w:p>
        </w:tc>
        <w:tc>
          <w:tcPr>
            <w:tcW w:w="7700" w:type="dxa"/>
            <w:vAlign w:val="bottom"/>
          </w:tcPr>
          <w:p>
            <w:pPr>
              <w:ind w:left="560"/>
              <w:spacing w:after="0"/>
              <w:rPr>
                <w:sz w:val="20"/>
                <w:szCs w:val="20"/>
                <w:color w:val="auto"/>
              </w:rPr>
            </w:pPr>
            <w:r>
              <w:rPr>
                <w:rFonts w:ascii="Arial" w:cs="Arial" w:eastAsia="Arial" w:hAnsi="Arial"/>
                <w:sz w:val="18"/>
                <w:szCs w:val="18"/>
                <w:color w:val="auto"/>
              </w:rPr>
              <w:t>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13.06</w:t>
            </w:r>
          </w:p>
        </w:tc>
        <w:tc>
          <w:tcPr>
            <w:tcW w:w="7700" w:type="dxa"/>
            <w:vAlign w:val="bottom"/>
          </w:tcPr>
          <w:p>
            <w:pPr>
              <w:ind w:left="560"/>
              <w:spacing w:after="0"/>
              <w:rPr>
                <w:sz w:val="20"/>
                <w:szCs w:val="20"/>
                <w:color w:val="auto"/>
              </w:rPr>
            </w:pPr>
            <w:r>
              <w:rPr>
                <w:rFonts w:ascii="Arial" w:cs="Arial" w:eastAsia="Arial" w:hAnsi="Arial"/>
                <w:sz w:val="18"/>
                <w:szCs w:val="18"/>
                <w:color w:val="auto"/>
              </w:rPr>
              <w:t>Confidentiality; Disclosures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13.07</w:t>
            </w:r>
          </w:p>
        </w:tc>
        <w:tc>
          <w:tcPr>
            <w:tcW w:w="7700" w:type="dxa"/>
            <w:vAlign w:val="bottom"/>
          </w:tcPr>
          <w:p>
            <w:pPr>
              <w:ind w:left="560"/>
              <w:spacing w:after="0"/>
              <w:rPr>
                <w:sz w:val="20"/>
                <w:szCs w:val="20"/>
                <w:color w:val="auto"/>
              </w:rPr>
            </w:pPr>
            <w:r>
              <w:rPr>
                <w:rFonts w:ascii="Arial" w:cs="Arial" w:eastAsia="Arial" w:hAnsi="Arial"/>
                <w:sz w:val="18"/>
                <w:szCs w:val="18"/>
                <w:color w:val="auto"/>
              </w:rPr>
              <w:t>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13.08</w:t>
            </w:r>
          </w:p>
        </w:tc>
        <w:tc>
          <w:tcPr>
            <w:tcW w:w="7700" w:type="dxa"/>
            <w:vAlign w:val="bottom"/>
          </w:tcPr>
          <w:p>
            <w:pPr>
              <w:ind w:left="560"/>
              <w:spacing w:after="0"/>
              <w:rPr>
                <w:sz w:val="20"/>
                <w:szCs w:val="20"/>
                <w:color w:val="auto"/>
              </w:rPr>
            </w:pPr>
            <w:r>
              <w:rPr>
                <w:rFonts w:ascii="Arial" w:cs="Arial" w:eastAsia="Arial" w:hAnsi="Arial"/>
                <w:sz w:val="18"/>
                <w:szCs w:val="18"/>
                <w:color w:val="auto"/>
              </w:rPr>
              <w:t>Amendment</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40" w:type="dxa"/>
            <w:vAlign w:val="bottom"/>
          </w:tcPr>
          <w:p>
            <w:pPr>
              <w:ind w:left="180"/>
              <w:spacing w:after="0"/>
              <w:rPr>
                <w:sz w:val="20"/>
                <w:szCs w:val="20"/>
                <w:color w:val="auto"/>
              </w:rPr>
            </w:pPr>
            <w:r>
              <w:rPr>
                <w:rFonts w:ascii="Arial" w:cs="Arial" w:eastAsia="Arial" w:hAnsi="Arial"/>
                <w:sz w:val="18"/>
                <w:szCs w:val="18"/>
                <w:color w:val="auto"/>
              </w:rPr>
              <w:t>13.09</w:t>
            </w:r>
          </w:p>
        </w:tc>
        <w:tc>
          <w:tcPr>
            <w:tcW w:w="7700" w:type="dxa"/>
            <w:vAlign w:val="bottom"/>
          </w:tcPr>
          <w:p>
            <w:pPr>
              <w:ind w:left="560"/>
              <w:spacing w:after="0"/>
              <w:rPr>
                <w:sz w:val="20"/>
                <w:szCs w:val="20"/>
                <w:color w:val="auto"/>
              </w:rPr>
            </w:pPr>
            <w:r>
              <w:rPr>
                <w:rFonts w:ascii="Arial" w:cs="Arial" w:eastAsia="Arial" w:hAnsi="Arial"/>
                <w:sz w:val="18"/>
                <w:szCs w:val="18"/>
                <w:color w:val="auto"/>
              </w:rPr>
              <w:t>No Third Party Beneficiary</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6940" w:type="dxa"/>
            <w:vAlign w:val="bottom"/>
          </w:tcPr>
          <w:p>
            <w:pPr>
              <w:jc w:val="right"/>
              <w:ind w:right="4386"/>
              <w:spacing w:after="0"/>
              <w:rPr>
                <w:sz w:val="20"/>
                <w:szCs w:val="20"/>
                <w:color w:val="auto"/>
              </w:rPr>
            </w:pPr>
            <w:r>
              <w:rPr>
                <w:rFonts w:ascii="Arial" w:cs="Arial" w:eastAsia="Arial" w:hAnsi="Arial"/>
                <w:sz w:val="22"/>
                <w:szCs w:val="22"/>
                <w:b w:val="1"/>
                <w:bCs w:val="1"/>
                <w:color w:val="auto"/>
              </w:rPr>
              <w:t>TABLE OF CONTENTS</w:t>
            </w:r>
          </w:p>
        </w:tc>
      </w:tr>
      <w:tr>
        <w:trPr>
          <w:trHeight w:val="274"/>
        </w:trPr>
        <w:tc>
          <w:tcPr>
            <w:tcW w:w="9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6940" w:type="dxa"/>
            <w:vAlign w:val="bottom"/>
          </w:tcPr>
          <w:p>
            <w:pPr>
              <w:jc w:val="right"/>
              <w:ind w:right="5026"/>
              <w:spacing w:after="0"/>
              <w:rPr>
                <w:sz w:val="20"/>
                <w:szCs w:val="20"/>
                <w:color w:val="auto"/>
              </w:rPr>
            </w:pPr>
            <w:r>
              <w:rPr>
                <w:rFonts w:ascii="Arial" w:cs="Arial" w:eastAsia="Arial" w:hAnsi="Arial"/>
                <w:sz w:val="22"/>
                <w:szCs w:val="22"/>
                <w:color w:val="auto"/>
              </w:rPr>
              <w:t>(continued)</w:t>
            </w:r>
          </w:p>
        </w:tc>
      </w:tr>
      <w:tr>
        <w:trPr>
          <w:trHeight w:val="449"/>
        </w:trPr>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13.10</w:t>
            </w:r>
          </w:p>
        </w:tc>
        <w:tc>
          <w:tcPr>
            <w:tcW w:w="3160" w:type="dxa"/>
            <w:vAlign w:val="bottom"/>
          </w:tcPr>
          <w:p>
            <w:pPr>
              <w:ind w:left="560"/>
              <w:spacing w:after="0"/>
              <w:rPr>
                <w:sz w:val="20"/>
                <w:szCs w:val="20"/>
                <w:color w:val="auto"/>
              </w:rPr>
            </w:pPr>
            <w:r>
              <w:rPr>
                <w:rFonts w:ascii="Arial" w:cs="Arial" w:eastAsia="Arial" w:hAnsi="Arial"/>
                <w:sz w:val="18"/>
                <w:szCs w:val="18"/>
                <w:color w:val="auto"/>
              </w:rPr>
              <w:t>Assignment</w:t>
            </w:r>
          </w:p>
        </w:tc>
        <w:tc>
          <w:tcPr>
            <w:tcW w:w="6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0" w:type="dxa"/>
            <w:vAlign w:val="bottom"/>
          </w:tcPr>
          <w:p>
            <w:pPr>
              <w:jc w:val="right"/>
              <w:ind w:right="490"/>
              <w:spacing w:after="0"/>
              <w:rPr>
                <w:sz w:val="20"/>
                <w:szCs w:val="20"/>
                <w:color w:val="auto"/>
              </w:rPr>
            </w:pPr>
            <w:r>
              <w:rPr>
                <w:rFonts w:ascii="Arial" w:cs="Arial" w:eastAsia="Arial" w:hAnsi="Arial"/>
                <w:sz w:val="18"/>
                <w:szCs w:val="18"/>
                <w:color w:val="auto"/>
                <w:w w:val="79"/>
              </w:rPr>
              <w:t>13.11</w:t>
            </w:r>
          </w:p>
        </w:tc>
        <w:tc>
          <w:tcPr>
            <w:tcW w:w="3160" w:type="dxa"/>
            <w:vAlign w:val="bottom"/>
          </w:tcPr>
          <w:p>
            <w:pPr>
              <w:ind w:left="560"/>
              <w:spacing w:after="0"/>
              <w:rPr>
                <w:sz w:val="20"/>
                <w:szCs w:val="20"/>
                <w:color w:val="auto"/>
              </w:rPr>
            </w:pPr>
            <w:r>
              <w:rPr>
                <w:rFonts w:ascii="Arial" w:cs="Arial" w:eastAsia="Arial" w:hAnsi="Arial"/>
                <w:sz w:val="18"/>
                <w:szCs w:val="18"/>
                <w:color w:val="auto"/>
              </w:rPr>
              <w:t>Severability</w:t>
            </w:r>
          </w:p>
        </w:tc>
        <w:tc>
          <w:tcPr>
            <w:tcW w:w="6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13.12</w:t>
            </w:r>
          </w:p>
        </w:tc>
        <w:tc>
          <w:tcPr>
            <w:tcW w:w="3160" w:type="dxa"/>
            <w:vAlign w:val="bottom"/>
          </w:tcPr>
          <w:p>
            <w:pPr>
              <w:ind w:left="560"/>
              <w:spacing w:after="0"/>
              <w:rPr>
                <w:sz w:val="20"/>
                <w:szCs w:val="20"/>
                <w:color w:val="auto"/>
              </w:rPr>
            </w:pPr>
            <w:r>
              <w:rPr>
                <w:rFonts w:ascii="Arial" w:cs="Arial" w:eastAsia="Arial" w:hAnsi="Arial"/>
                <w:sz w:val="18"/>
                <w:szCs w:val="18"/>
                <w:color w:val="auto"/>
              </w:rPr>
              <w:t>Governing Law</w:t>
            </w:r>
          </w:p>
        </w:tc>
        <w:tc>
          <w:tcPr>
            <w:tcW w:w="6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13.13</w:t>
            </w:r>
          </w:p>
        </w:tc>
        <w:tc>
          <w:tcPr>
            <w:tcW w:w="3160" w:type="dxa"/>
            <w:vAlign w:val="bottom"/>
          </w:tcPr>
          <w:p>
            <w:pPr>
              <w:ind w:left="560"/>
              <w:spacing w:after="0"/>
              <w:rPr>
                <w:sz w:val="20"/>
                <w:szCs w:val="20"/>
                <w:color w:val="auto"/>
              </w:rPr>
            </w:pPr>
            <w:r>
              <w:rPr>
                <w:rFonts w:ascii="Arial" w:cs="Arial" w:eastAsia="Arial" w:hAnsi="Arial"/>
                <w:sz w:val="18"/>
                <w:szCs w:val="18"/>
                <w:color w:val="auto"/>
              </w:rPr>
              <w:t>Consent to Jurisdiction</w:t>
            </w:r>
          </w:p>
        </w:tc>
        <w:tc>
          <w:tcPr>
            <w:tcW w:w="6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13.14</w:t>
            </w:r>
          </w:p>
        </w:tc>
        <w:tc>
          <w:tcPr>
            <w:tcW w:w="3160" w:type="dxa"/>
            <w:vAlign w:val="bottom"/>
          </w:tcPr>
          <w:p>
            <w:pPr>
              <w:ind w:left="560"/>
              <w:spacing w:after="0"/>
              <w:rPr>
                <w:sz w:val="20"/>
                <w:szCs w:val="20"/>
                <w:color w:val="auto"/>
              </w:rPr>
            </w:pPr>
            <w:r>
              <w:rPr>
                <w:rFonts w:ascii="Arial" w:cs="Arial" w:eastAsia="Arial" w:hAnsi="Arial"/>
                <w:sz w:val="18"/>
                <w:szCs w:val="18"/>
                <w:color w:val="auto"/>
              </w:rPr>
              <w:t>Waiver of Jury Trial</w:t>
            </w:r>
          </w:p>
        </w:tc>
        <w:tc>
          <w:tcPr>
            <w:tcW w:w="6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13.15</w:t>
            </w:r>
          </w:p>
        </w:tc>
        <w:tc>
          <w:tcPr>
            <w:tcW w:w="3160" w:type="dxa"/>
            <w:vAlign w:val="bottom"/>
          </w:tcPr>
          <w:p>
            <w:pPr>
              <w:ind w:left="560"/>
              <w:spacing w:after="0"/>
              <w:rPr>
                <w:sz w:val="20"/>
                <w:szCs w:val="20"/>
                <w:color w:val="auto"/>
              </w:rPr>
            </w:pPr>
            <w:r>
              <w:rPr>
                <w:rFonts w:ascii="Arial" w:cs="Arial" w:eastAsia="Arial" w:hAnsi="Arial"/>
                <w:sz w:val="18"/>
                <w:szCs w:val="18"/>
                <w:color w:val="auto"/>
              </w:rPr>
              <w:t>Limitation on Certain Damages</w:t>
            </w:r>
          </w:p>
        </w:tc>
        <w:tc>
          <w:tcPr>
            <w:tcW w:w="6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13.16</w:t>
            </w:r>
          </w:p>
        </w:tc>
        <w:tc>
          <w:tcPr>
            <w:tcW w:w="3160" w:type="dxa"/>
            <w:vAlign w:val="bottom"/>
          </w:tcPr>
          <w:p>
            <w:pPr>
              <w:ind w:left="560"/>
              <w:spacing w:after="0"/>
              <w:rPr>
                <w:sz w:val="20"/>
                <w:szCs w:val="20"/>
                <w:color w:val="auto"/>
              </w:rPr>
            </w:pPr>
            <w:r>
              <w:rPr>
                <w:rFonts w:ascii="Arial" w:cs="Arial" w:eastAsia="Arial" w:hAnsi="Arial"/>
                <w:sz w:val="18"/>
                <w:szCs w:val="18"/>
                <w:color w:val="auto"/>
              </w:rPr>
              <w:t>Disclosures</w:t>
            </w:r>
          </w:p>
        </w:tc>
        <w:tc>
          <w:tcPr>
            <w:tcW w:w="6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60" w:type="dxa"/>
            <w:vAlign w:val="bottom"/>
          </w:tcPr>
          <w:p>
            <w:pPr>
              <w:jc w:val="right"/>
              <w:ind w:right="470"/>
              <w:spacing w:after="0"/>
              <w:rPr>
                <w:sz w:val="20"/>
                <w:szCs w:val="20"/>
                <w:color w:val="auto"/>
              </w:rPr>
            </w:pPr>
            <w:r>
              <w:rPr>
                <w:rFonts w:ascii="Arial" w:cs="Arial" w:eastAsia="Arial" w:hAnsi="Arial"/>
                <w:sz w:val="18"/>
                <w:szCs w:val="18"/>
                <w:color w:val="auto"/>
                <w:w w:val="84"/>
              </w:rPr>
              <w:t>13.17</w:t>
            </w:r>
          </w:p>
        </w:tc>
        <w:tc>
          <w:tcPr>
            <w:tcW w:w="3160" w:type="dxa"/>
            <w:vAlign w:val="bottom"/>
          </w:tcPr>
          <w:p>
            <w:pPr>
              <w:ind w:left="560"/>
              <w:spacing w:after="0"/>
              <w:rPr>
                <w:sz w:val="20"/>
                <w:szCs w:val="20"/>
                <w:color w:val="auto"/>
              </w:rPr>
            </w:pPr>
            <w:r>
              <w:rPr>
                <w:rFonts w:ascii="Arial" w:cs="Arial" w:eastAsia="Arial" w:hAnsi="Arial"/>
                <w:sz w:val="18"/>
                <w:szCs w:val="18"/>
                <w:color w:val="auto"/>
                <w:w w:val="94"/>
              </w:rPr>
              <w:t>Facsimile Signature; Counterparts</w:t>
            </w:r>
          </w:p>
        </w:tc>
        <w:tc>
          <w:tcPr>
            <w:tcW w:w="69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32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500" w:top="918"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EXHIBITS</w:t>
      </w:r>
    </w:p>
    <w:p>
      <w:pPr>
        <w:sectPr>
          <w:pgSz w:w="11900" w:h="16838" w:orient="portrait"/>
          <w:cols w:equalWidth="0" w:num="1">
            <w:col w:w="10139"/>
          </w:cols>
          <w:pgMar w:left="320" w:top="908" w:right="1440" w:bottom="1440" w:gutter="0" w:footer="0" w:header="0"/>
        </w:sectPr>
      </w:pPr>
    </w:p>
    <w:p>
      <w:pPr>
        <w:spacing w:after="0" w:line="2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Exhibit A</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Exhibit B</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Exhibit C</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Exhibit D</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Exhibit E</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Exhibit F</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Exhibit G</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Exhibit H</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Exhibit I</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Assignment and Assumption of Membership Interests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Wire Transfer Instructions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Officer’s Certificate of Seller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Secretary’s Certificate of Seller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Affidavit of Non-Foreign Status of Seller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Officer’s Certificate of Purchaser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Secretary’s Certificate of Purchaser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Seller Parent Guaranty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Purchaser Parent Guaranty</w:t>
      </w:r>
    </w:p>
    <w:p>
      <w:pPr>
        <w:spacing w:after="0" w:line="200" w:lineRule="exact"/>
        <w:rPr>
          <w:sz w:val="20"/>
          <w:szCs w:val="20"/>
          <w:color w:val="auto"/>
        </w:rPr>
      </w:pPr>
    </w:p>
    <w:p>
      <w:pPr>
        <w:sectPr>
          <w:pgSz w:w="11900" w:h="16838" w:orient="portrait"/>
          <w:cols w:equalWidth="0" w:num="2">
            <w:col w:w="1560" w:space="720"/>
            <w:col w:w="7859"/>
          </w:cols>
          <w:pgMar w:left="320" w:top="908"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Seller Disclosure Schedules</w:t>
      </w:r>
    </w:p>
    <w:p>
      <w:pPr>
        <w:sectPr>
          <w:pgSz w:w="11900" w:h="16838" w:orient="portrait"/>
          <w:cols w:equalWidth="0" w:num="1">
            <w:col w:w="10139"/>
          </w:cols>
          <w:pgMar w:left="320" w:top="908" w:right="1440" w:bottom="1440" w:gutter="0" w:footer="0" w:header="0"/>
          <w:type w:val="continuous"/>
        </w:sectPr>
      </w:pPr>
    </w:p>
    <w:p>
      <w:pPr>
        <w:spacing w:after="0" w:line="24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Schedule 3.03 Schedule 3.05 Schedule 3.06 Schedule 3.07 Schedule 3.09 Schedule 3.10 Schedule 3.11 Schedule 3.13 Schedule 3.15 Schedule 3.16</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Seller Consents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Seller Approvals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Brokers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Ownership; Directors and Officers; Liens on Acquired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Undisclosed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Exceptions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 Claims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Accounts</w:t>
      </w:r>
    </w:p>
    <w:p>
      <w:pPr>
        <w:spacing w:after="0" w:line="210" w:lineRule="exact"/>
        <w:rPr>
          <w:sz w:val="20"/>
          <w:szCs w:val="20"/>
          <w:color w:val="auto"/>
        </w:rPr>
      </w:pPr>
    </w:p>
    <w:p>
      <w:pPr>
        <w:sectPr>
          <w:pgSz w:w="11900" w:h="16838" w:orient="portrait"/>
          <w:cols w:equalWidth="0" w:num="2">
            <w:col w:w="1020" w:space="600"/>
            <w:col w:w="8519"/>
          </w:cols>
          <w:pgMar w:left="320" w:top="908" w:right="1440"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Purchaser Disclosure Schedules</w:t>
      </w:r>
    </w:p>
    <w:p>
      <w:pPr>
        <w:sectPr>
          <w:pgSz w:w="11900" w:h="16838" w:orient="portrait"/>
          <w:cols w:equalWidth="0" w:num="1">
            <w:col w:w="10139"/>
          </w:cols>
          <w:pgMar w:left="320" w:top="908" w:right="1440" w:bottom="1440" w:gutter="0" w:footer="0" w:header="0"/>
          <w:type w:val="continuous"/>
        </w:sectPr>
      </w:pPr>
    </w:p>
    <w:p>
      <w:pPr>
        <w:spacing w:after="0" w:line="24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color w:val="auto"/>
        </w:rPr>
        <w:t>Schedule 4.03 Schedule 4.07 Schedule 4.08</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Purchaser Consents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Brokers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Governmental Approvals</w:t>
      </w:r>
    </w:p>
    <w:p>
      <w:pPr>
        <w:spacing w:after="0" w:line="302" w:lineRule="exact"/>
        <w:rPr>
          <w:sz w:val="20"/>
          <w:szCs w:val="20"/>
          <w:color w:val="auto"/>
        </w:rPr>
      </w:pPr>
    </w:p>
    <w:p>
      <w:pPr>
        <w:sectPr>
          <w:pgSz w:w="11900" w:h="16838" w:orient="portrait"/>
          <w:cols w:equalWidth="0" w:num="2">
            <w:col w:w="1020" w:space="600"/>
            <w:col w:w="8519"/>
          </w:cols>
          <w:pgMar w:left="320" w:top="908" w:right="1440" w:bottom="1440" w:gutter="0" w:footer="0" w:header="0"/>
          <w:type w:val="continuous"/>
        </w:sectPr>
      </w:pPr>
    </w:p>
    <w:p>
      <w:pPr>
        <w:spacing w:after="0" w:line="14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PURCHASE AND SALE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PURCHASE AND SALE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19,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and entered into by and between NRG Solar Sunrise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and Clearway AC Solar Holdings LLC, a Delaware limited liability company (“</w:t>
      </w:r>
      <w:r>
        <w:rPr>
          <w:rFonts w:ascii="Arial" w:cs="Arial" w:eastAsia="Arial" w:hAnsi="Arial"/>
          <w:sz w:val="18"/>
          <w:szCs w:val="18"/>
          <w:u w:val="single" w:color="auto"/>
          <w:color w:val="auto"/>
        </w:rPr>
        <w:t>Purchaser</w:t>
      </w:r>
      <w:r>
        <w:rPr>
          <w:rFonts w:ascii="Arial" w:cs="Arial" w:eastAsia="Arial" w:hAnsi="Arial"/>
          <w:sz w:val="18"/>
          <w:szCs w:val="18"/>
          <w:color w:val="auto"/>
        </w:rPr>
        <w:t>”). Seller and Purchaser are referred to,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xml:space="preserve">.” Capitalized terms used herein shall have the meanings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owns one hundred percent (100%) of the outstanding membership interests of Agua Caliente Borrower 1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owns thirty five percent (35%) of the membership interests of AC Solar Holdings LLC (“</w:t>
      </w:r>
      <w:r>
        <w:rPr>
          <w:rFonts w:ascii="Arial" w:cs="Arial" w:eastAsia="Arial" w:hAnsi="Arial"/>
          <w:sz w:val="18"/>
          <w:szCs w:val="18"/>
          <w:u w:val="single" w:color="auto"/>
          <w:color w:val="auto"/>
        </w:rPr>
        <w:t>AC Holdings</w:t>
      </w:r>
      <w:r>
        <w:rPr>
          <w:rFonts w:ascii="Arial" w:cs="Arial" w:eastAsia="Arial" w:hAnsi="Arial"/>
          <w:sz w:val="18"/>
          <w:szCs w:val="18"/>
          <w:color w:val="auto"/>
        </w:rPr>
        <w:t>”), which in turn owns all of the membership interests of Agua Caliente Solar Holdings LLC (“</w:t>
      </w:r>
      <w:r>
        <w:rPr>
          <w:rFonts w:ascii="Arial" w:cs="Arial" w:eastAsia="Arial" w:hAnsi="Arial"/>
          <w:sz w:val="18"/>
          <w:szCs w:val="18"/>
          <w:u w:val="single" w:color="auto"/>
          <w:color w:val="auto"/>
        </w:rPr>
        <w:t>Agua Holdings</w:t>
      </w:r>
      <w:r>
        <w:rPr>
          <w:rFonts w:ascii="Arial" w:cs="Arial" w:eastAsia="Arial" w:hAnsi="Arial"/>
          <w:sz w:val="18"/>
          <w:szCs w:val="18"/>
          <w:color w:val="auto"/>
        </w:rPr>
        <w:t>”), which in turn owns all of the membership interests of Agua Caliente Solar LLC (“</w:t>
      </w:r>
      <w:r>
        <w:rPr>
          <w:rFonts w:ascii="Arial" w:cs="Arial" w:eastAsia="Arial" w:hAnsi="Arial"/>
          <w:sz w:val="18"/>
          <w:szCs w:val="18"/>
          <w:u w:val="single" w:color="auto"/>
          <w:color w:val="auto"/>
        </w:rPr>
        <w:t>AC Solar</w:t>
      </w:r>
      <w:r>
        <w:rPr>
          <w:rFonts w:ascii="Arial" w:cs="Arial" w:eastAsia="Arial" w:hAnsi="Arial"/>
          <w:sz w:val="18"/>
          <w:szCs w:val="18"/>
          <w:color w:val="auto"/>
        </w:rPr>
        <w:t>”, and together with AC Holdings and Agua Holdings, the “</w:t>
      </w:r>
      <w:r>
        <w:rPr>
          <w:rFonts w:ascii="Arial" w:cs="Arial" w:eastAsia="Arial" w:hAnsi="Arial"/>
          <w:sz w:val="18"/>
          <w:szCs w:val="18"/>
          <w:u w:val="single" w:color="auto"/>
          <w:color w:val="auto"/>
        </w:rPr>
        <w:t>Subsidiaries</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Seller desires to sell, and Purchaser desires to purchase, one hundred percent (100%) of the outstanding membership interests of the Company (the “</w:t>
      </w:r>
      <w:r>
        <w:rPr>
          <w:rFonts w:ascii="Arial" w:cs="Arial" w:eastAsia="Arial" w:hAnsi="Arial"/>
          <w:sz w:val="18"/>
          <w:szCs w:val="18"/>
          <w:u w:val="single" w:color="auto"/>
          <w:color w:val="auto"/>
        </w:rPr>
        <w:t>Acquired Interests</w:t>
      </w:r>
      <w:r>
        <w:rPr>
          <w:rFonts w:ascii="Arial" w:cs="Arial" w:eastAsia="Arial" w:hAnsi="Arial"/>
          <w:sz w:val="18"/>
          <w:szCs w:val="18"/>
          <w:color w:val="auto"/>
        </w:rPr>
        <w:t>”) but not including the Excluded Assets (as defined herein), on the terms and subject to the conditions set forth in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in this Agreement, and for other good and valuable consideration, the receipt and sufficiency of which are hereby acknowledged, the Parties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INTERPRETATION</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defined terms have the meanings indicated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 Holdings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 Solar”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Interests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Closing Date</w:t>
      </w:r>
      <w:r>
        <w:rPr>
          <w:rFonts w:ascii="Arial" w:cs="Arial" w:eastAsia="Arial" w:hAnsi="Arial"/>
          <w:sz w:val="18"/>
          <w:szCs w:val="18"/>
          <w:color w:val="auto"/>
        </w:rPr>
        <w:t>” means March 27,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 or Proceeding</w:t>
      </w:r>
      <w:r>
        <w:rPr>
          <w:rFonts w:ascii="Arial" w:cs="Arial" w:eastAsia="Arial" w:hAnsi="Arial"/>
          <w:sz w:val="18"/>
          <w:szCs w:val="18"/>
          <w:color w:val="auto"/>
        </w:rPr>
        <w:t>” means any action, suit, proceeding, arbitration or investigation by or before any Governmental Authority.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any other Person that directly or indirectly through one or more intermediaries Controls, is Controlled by or is under common Control with the Person specified.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Purchase and Sale Agreement and the Exhibits, the Appendices and the Disclosure Schedules, as any of the same shall be amended or supplemented from time to time.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Agua Holdings</w:t>
      </w:r>
      <w:r>
        <w:rPr>
          <w:rFonts w:ascii="Arial" w:cs="Arial" w:eastAsia="Arial" w:hAnsi="Arial"/>
          <w:sz w:val="18"/>
          <w:szCs w:val="18"/>
          <w:color w:val="auto"/>
        </w:rPr>
        <w:t>” has the meaning set forth in the Recitals.“</w:t>
      </w:r>
      <w:r>
        <w:rPr>
          <w:rFonts w:ascii="Arial" w:cs="Arial" w:eastAsia="Arial" w:hAnsi="Arial"/>
          <w:sz w:val="18"/>
          <w:szCs w:val="18"/>
          <w:u w:val="single" w:color="auto"/>
          <w:color w:val="auto"/>
        </w:rPr>
        <w:t>Assignment and Assumption of Membership Interests</w:t>
      </w:r>
      <w:r>
        <w:rPr>
          <w:rFonts w:ascii="Arial" w:cs="Arial" w:eastAsia="Arial" w:hAnsi="Arial"/>
          <w:sz w:val="18"/>
          <w:szCs w:val="18"/>
          <w:color w:val="auto"/>
        </w:rPr>
        <w:t xml:space="preserve">” means the Assignment and Assumption of Membership Interests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Saturday, Sunday or any day on which banks located in the State of New York are authorized or obligated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close.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Loss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is the date on which the transactions contemplated hereunder are consummated.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Constitutive Documents</w:t>
      </w:r>
      <w:r>
        <w:rPr>
          <w:rFonts w:ascii="Arial" w:cs="Arial" w:eastAsia="Arial" w:hAnsi="Arial"/>
          <w:sz w:val="18"/>
          <w:szCs w:val="18"/>
          <w:color w:val="auto"/>
        </w:rPr>
        <w:t>” means the certificates of formation and the limited liability company agreements, as amended (if applicable)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the coronavirus pandemic commonly referred to as “COVID-19”.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quarantine, “shelter in place”, “stay at home”, workforce reduction, social distancing, shut down, closure, sequester or any other Law, Order, directive, guidelines or recommendations by any Governmental Authority in connection with or in response to COVID-19 or any other pandemic or epidemic.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schedules attached to this Agreement, and dated as of the date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the Company, or any ERISA Affiliate.</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Law relating to the environment, or to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but not limited to, the Clean Air Act, the Federal Water Pollution Control Act (including, but not limited to the Clean Water Act and the Oil Pollution Act), the Safe Drinking Water Act, the Federal Solid Waste Disposal Act (including, but not limited to, the Resource Conservation and Recovery Act of 1976), the Comprehensive Environmental Response, Compensation, and Liability Act, the Toxic Substances Control Act, the Federal Insecticide, Fungicide and Rodenticide Act, the Emergency Planning and Community Right-to-Know Act, and the Occupational Safety and Health Act (to the extent relating to human exposure to Hazardous Materials) and any other federal, state or local laws, ordinances, rules or regulations now or hereafter existing relating to any of the foregoing.</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with respect to an entity, capital stock, partnership or membership interests or units (whether general or limited), and any other similar interest or participation that confers on a Person the right to receive a share of the profits and losses of, or distribution of assets of, such entity.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xml:space="preserve">” means any entity, trade or business that is a member of a group described in Section 414(b), (c), (m) or (o) of the Code or Section 4001(b)(1) of ERISA that includes Seller, the Company, or that is a member of the same “controlled group” as Seller pursuant to Section 4001(a) (14) of ERISA;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considered to be ERISA Affiliates from and after the Closing Date.</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Assets</w:t>
      </w:r>
      <w:r>
        <w:rPr>
          <w:rFonts w:ascii="Arial" w:cs="Arial" w:eastAsia="Arial" w:hAnsi="Arial"/>
          <w:sz w:val="17"/>
          <w:szCs w:val="17"/>
          <w:color w:val="auto"/>
        </w:rPr>
        <w:t>” means thirty five percent (35%) of the proceeds of the Tax Litigation received by AC Holdings less the Company’s pro rata share of the reasonable and documented legal fees and costs incurred by Purchaser or an Affiliate of Purchaser associated with the Tax Litigation.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290 MW Agua Caliente photovoltaic solar power facility located in Dateland, Arizona.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means the Federal Power Act, and the FERC’s implementing regulations thereunder,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means any consent or approval required by any Governmental Authority.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and each Regional Entity; or any court or governmental tribunal.</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substance, element, compound or mixture, whether solid, liquid or gaseous: (a) which is defined as “hazardous waste” or “hazardous substance” or “pollutant” or “contaminant” under any Environmental Law; (b) which is otherwise hazardous and is subject to regulation by any Governmental Authority; (c) petroleum hydrocarbons (other than naturally occurring petroleum hydrocarbons); (d) polychlorinated biphenyls (PCBs); (e) asbestos-containing materials (other than naturally occurring asbestos); or (f) radioactive materials (other than naturally occurring radioactive materials).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all obligations of a Person (a) for borrowed money, (b) evidenced by notes, bonds, debentures or similar instruments, (c) for the deferred purchase price of goods or services (other than trade payables or accruals incurred in the ordinary course of business and not past due), (d) under capital leases, (e) secured by a Lien on the assets of such Person, whether or not such obligation has been assumed by such Person, (f) with respect to reimbursement obligations for letters of credit and other similar instruments (whether or not drawn), (g) in the nature of guaranties of the obligations described in clauses (a) through (f) above of any other Person or as to which such Person has an obligation substantially the economic equivalent of a guaranty, or (h) in respect of any other amount properly characterized as indebtedness in accordance with GAAP.</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means any Person against whom a claim for indemnification is being asserted under any provision of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means the period between the Effective Date and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Purchaser</w:t>
      </w:r>
      <w:r>
        <w:rPr>
          <w:rFonts w:ascii="Arial" w:cs="Arial" w:eastAsia="Arial" w:hAnsi="Arial"/>
          <w:sz w:val="18"/>
          <w:szCs w:val="18"/>
          <w:color w:val="auto"/>
        </w:rPr>
        <w:t>” means the actual knowledge of Christopher Sotos, Chad Plotkin and Evan Speece after reasonable inquiry of their direct reports.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Seller</w:t>
      </w:r>
      <w:r>
        <w:rPr>
          <w:rFonts w:ascii="Arial" w:cs="Arial" w:eastAsia="Arial" w:hAnsi="Arial"/>
          <w:sz w:val="18"/>
          <w:szCs w:val="18"/>
          <w:color w:val="auto"/>
        </w:rPr>
        <w:t>” means the actual knowledge of Bruce Chung and Gaetan Frotte after reasonable inquiry of their direct reports.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all laws, statutes, treaties, rules, orders, codes, ordinances, standards, regulations, restrictions, official guidelines, policies, directives, interpretations, permits or other pronouncements having the effect of law of any Governmental Authority.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liability, Indebtedness, obligation, commitment, or expense, in each case, requiring either (i) the payment of a monetary amount, or (ii) any type or fulfillment of an obligation, and in each case whether accrued, absolute, contingent, asserted, matured, unmatured, secured or unsecured.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Company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following shall be or will be at the Closing deemed to constitute and shall not be taken into account in determining the occurrence of a Material Adverse Effect: any fact, event, circumstance, condition, change or effect resulting from (a) any economic change generally affecting the international, national or regional (i) electric generating industry or (ii) wholesale markets for electric power; (b) any economic change in markets for commodities or supplies, including electric power, as applicable, used in connection with the Company or any Subsidiary;</w:t>
      </w:r>
    </w:p>
    <w:p>
      <w:pPr>
        <w:spacing w:after="0" w:line="4" w:lineRule="exact"/>
        <w:rPr>
          <w:sz w:val="20"/>
          <w:szCs w:val="20"/>
          <w:color w:val="auto"/>
        </w:rPr>
      </w:pPr>
    </w:p>
    <w:p>
      <w:pPr>
        <w:jc w:val="both"/>
        <w:ind w:firstLine="8"/>
        <w:spacing w:after="0" w:line="267" w:lineRule="auto"/>
        <w:tabs>
          <w:tab w:leader="none" w:pos="252"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any change in general regulatory or political conditions, including any engagements of hostilities, acts of war or terrorist activities, natural disasters or weather-related events or changes imposed by a Governmental Authority associated with additional security; (d) any change in any Laws (including Environmental Laws), industry standards generally affecting the industry or markets in which the Company or any Subsidiary operate or GAAP; (e) any change in the financial condition of the Company or any Subsidiary caused by the pending sale of the Acquired Interests to Purchaser, including changes due to the credit rating of Purchaser; (f) any change in the financial, banking, or securities markets (including any suspension of trading in, or limitation on prices for, securities on the New York Stock Exchange or Nasdaq Stock Market) or any change in the general national or regional economic or financial conditions; (g) any actions to be taken pursuant to or in accordance with this Agreement; or (h) the announcement or pendency of the transactions contemplated hereby, including any labor union activities or disputes;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Company or the Subsidiaries, taken as whole, as compared to similarly situated businesses in the same industry and in the same geographical area.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NERC</w:t>
      </w:r>
      <w:r>
        <w:rPr>
          <w:rFonts w:ascii="Arial" w:cs="Arial" w:eastAsia="Arial" w:hAnsi="Arial"/>
          <w:sz w:val="18"/>
          <w:szCs w:val="18"/>
          <w:color w:val="auto"/>
        </w:rPr>
        <w:t>” means the North American Electric Reliability Corporation.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(ii)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writ, judgment, injunction, ruling, decision, order or similar direction of any Governmental Authority, whether preliminary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all licenses, permits, consents, authorizations, approvals, ratifications, certifications, registrations, exemptions, variances, exceptions and similar consents granted or issued by any Governmental Authority.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 AC PSA</w:t>
      </w:r>
      <w:r>
        <w:rPr>
          <w:rFonts w:ascii="Arial" w:cs="Arial" w:eastAsia="Arial" w:hAnsi="Arial"/>
          <w:sz w:val="17"/>
          <w:szCs w:val="17"/>
          <w:color w:val="auto"/>
        </w:rPr>
        <w:t>” means that certain Purchase and Sale Agreement, dated as of February 24, 2017, by and between Seller and Purchaser.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Aggregate Net Working Capital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Indemnified Parties</w:t>
      </w:r>
      <w:r>
        <w:rPr>
          <w:rFonts w:ascii="Arial" w:cs="Arial" w:eastAsia="Arial" w:hAnsi="Arial"/>
          <w:sz w:val="18"/>
          <w:szCs w:val="18"/>
          <w:color w:val="auto"/>
        </w:rPr>
        <w:t>” means Purchaser, its successors and assigns, and each of their Representatives.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Parent</w:t>
      </w:r>
      <w:r>
        <w:rPr>
          <w:rFonts w:ascii="Arial" w:cs="Arial" w:eastAsia="Arial" w:hAnsi="Arial"/>
          <w:sz w:val="18"/>
          <w:szCs w:val="18"/>
          <w:color w:val="auto"/>
        </w:rPr>
        <w:t>” means Clearway Energy Operating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Parent Guaranty</w:t>
      </w:r>
      <w:r>
        <w:rPr>
          <w:rFonts w:ascii="Arial" w:cs="Arial" w:eastAsia="Arial" w:hAnsi="Arial"/>
          <w:sz w:val="17"/>
          <w:szCs w:val="17"/>
          <w:color w:val="auto"/>
        </w:rPr>
        <w:t xml:space="preserve">” means that guaranty of Purchaser Parent dated as of the Effective Date and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Regional Entity</w:t>
      </w:r>
      <w:r>
        <w:rPr>
          <w:rFonts w:ascii="Arial" w:cs="Arial" w:eastAsia="Arial" w:hAnsi="Arial"/>
          <w:sz w:val="18"/>
          <w:szCs w:val="18"/>
          <w:color w:val="auto"/>
        </w:rPr>
        <w:t>” means the Western Electricity Coordinating Council or its successor.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as to any Person, its officers, directors, employees, partners, members, stockholders, counsel, agents, accountants, advisers, engineers, and consultants.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Restoration Cost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Satisfaction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5.01 Side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 of this Agreement, and includes its respective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means Seller, its successors and assigns, and its Representatives.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Parent</w:t>
      </w:r>
      <w:r>
        <w:rPr>
          <w:rFonts w:ascii="Arial" w:cs="Arial" w:eastAsia="Arial" w:hAnsi="Arial"/>
          <w:sz w:val="18"/>
          <w:szCs w:val="18"/>
          <w:color w:val="auto"/>
        </w:rPr>
        <w:t>” means NRG Energy,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Parent Guaranty</w:t>
      </w:r>
      <w:r>
        <w:rPr>
          <w:rFonts w:ascii="Arial" w:cs="Arial" w:eastAsia="Arial" w:hAnsi="Arial"/>
          <w:sz w:val="18"/>
          <w:szCs w:val="18"/>
          <w:color w:val="auto"/>
        </w:rPr>
        <w:t xml:space="preserve">” means that guaranty of Seller Parent dated as of the Effective Date and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required to be collected, or of any other nation or any jurisdiction therein, together with any obligations for the Taxes of any other person whether as successor, a member of a group, indemnitor, or otherwise.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Litigation</w:t>
      </w:r>
      <w:r>
        <w:rPr>
          <w:rFonts w:ascii="Arial" w:cs="Arial" w:eastAsia="Arial" w:hAnsi="Arial"/>
          <w:sz w:val="18"/>
          <w:szCs w:val="18"/>
          <w:color w:val="auto"/>
        </w:rPr>
        <w:t>” means Agua Caliente Solar, LLC v. Arizona Department of Revenue, AZ Sup. Ct. No. TX2020-000987.</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report, form, return, statement or other information (including any amendments) required to be supplied to or filed with a Governmental Authority by a Person with respect to Taxes, including, but not limited to, information returns, any amendments thereof or schedule or attachment thereto and any documents with respect to or accompanying requests for the extension of time in which to file any such report, form, return, statement or other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2211" w:val="left"/>
        </w:tabs>
        <w:numPr>
          <w:ilvl w:val="0"/>
          <w:numId w:val="3"/>
        </w:numPr>
        <w:rPr>
          <w:rFonts w:ascii="Arial" w:cs="Arial" w:eastAsia="Arial" w:hAnsi="Arial"/>
          <w:sz w:val="17"/>
          <w:szCs w:val="17"/>
          <w:color w:val="auto"/>
        </w:rPr>
      </w:pPr>
      <w:r>
        <w:rPr>
          <w:rFonts w:ascii="Arial" w:cs="Arial" w:eastAsia="Arial" w:hAnsi="Arial"/>
          <w:sz w:val="17"/>
          <w:szCs w:val="17"/>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words “include” and “including” are not words of limitation and shall be deemed to be followed by the words “without limitation,” (vi) the use of the word “or” to connect two or more phrases shall be construed as inclusive of all such phrases (e.g., “A or B” means “A or B, or both”), (vii) the use of the conjunction “and/or” shall be construed as “any or all of” and (viii) references to Persons include their respective successors and permitted assigns and, in the case of Governmental Authorities, Persons succeeding to their respective functions and capacities.</w:t>
      </w:r>
    </w:p>
    <w:p>
      <w:pPr>
        <w:spacing w:after="0" w:line="177" w:lineRule="exact"/>
        <w:rPr>
          <w:rFonts w:ascii="Arial" w:cs="Arial" w:eastAsia="Arial" w:hAnsi="Arial"/>
          <w:sz w:val="17"/>
          <w:szCs w:val="17"/>
          <w:color w:val="auto"/>
        </w:rPr>
      </w:pPr>
    </w:p>
    <w:p>
      <w:pPr>
        <w:ind w:left="2360" w:hanging="1056"/>
        <w:spacing w:after="0"/>
        <w:tabs>
          <w:tab w:leader="none" w:pos="2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Whenever this Agreement refers to a number of days, such number shall refer to calendar days unless Business Days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w:t>
      </w:r>
    </w:p>
    <w:p>
      <w:pPr>
        <w:spacing w:after="0" w:line="210" w:lineRule="exact"/>
        <w:rPr>
          <w:rFonts w:ascii="Arial" w:cs="Arial" w:eastAsia="Arial" w:hAnsi="Arial"/>
          <w:sz w:val="16"/>
          <w:szCs w:val="16"/>
          <w:color w:val="auto"/>
        </w:rPr>
      </w:pPr>
    </w:p>
    <w:p>
      <w:pPr>
        <w:ind w:firstLine="1304"/>
        <w:spacing w:after="0" w:line="277" w:lineRule="auto"/>
        <w:tabs>
          <w:tab w:leader="none" w:pos="2184"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accounting terms used herein and not expressly defined herein shall have the meanings given to them under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Unless the context otherwise requires, a reference to any Law includes any amendment, modification or successor thereto.</w:t>
      </w:r>
    </w:p>
    <w:p>
      <w:pPr>
        <w:spacing w:after="0" w:line="248" w:lineRule="exact"/>
        <w:rPr>
          <w:rFonts w:ascii="Arial" w:cs="Arial" w:eastAsia="Arial" w:hAnsi="Arial"/>
          <w:sz w:val="16"/>
          <w:szCs w:val="16"/>
          <w:color w:val="auto"/>
        </w:rPr>
      </w:pPr>
    </w:p>
    <w:p>
      <w:pPr>
        <w:jc w:val="both"/>
        <w:ind w:firstLine="1304"/>
        <w:spacing w:after="0" w:line="263" w:lineRule="auto"/>
        <w:tabs>
          <w:tab w:leader="none" w:pos="2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representation or warranty contained herein as to the enforceability of a Contract shall be subject to the effect of any bankruptcy, insolvency, reorganization, moratorium or other similar Law affecting the enforcement of creditors’ rights generally and to general equitable principles (regardless of whether such enforceability is considered in a proceeding in equity or at law).</w:t>
      </w:r>
    </w:p>
    <w:p>
      <w:pPr>
        <w:spacing w:after="0" w:line="183" w:lineRule="exact"/>
        <w:rPr>
          <w:rFonts w:ascii="Arial" w:cs="Arial" w:eastAsia="Arial" w:hAnsi="Arial"/>
          <w:sz w:val="18"/>
          <w:szCs w:val="18"/>
          <w:color w:val="auto"/>
        </w:rPr>
      </w:pPr>
    </w:p>
    <w:p>
      <w:pPr>
        <w:ind w:left="2200" w:hanging="896"/>
        <w:spacing w:after="0"/>
        <w:tabs>
          <w:tab w:leader="none" w:pos="2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of a conflict between this Agreement and any exhibit, schedule or appendix hereto, this Agreement shall control.</w:t>
      </w:r>
    </w:p>
    <w:p>
      <w:pPr>
        <w:spacing w:after="0" w:line="248" w:lineRule="exact"/>
        <w:rPr>
          <w:rFonts w:ascii="Arial" w:cs="Arial" w:eastAsia="Arial" w:hAnsi="Arial"/>
          <w:sz w:val="16"/>
          <w:szCs w:val="16"/>
          <w:color w:val="auto"/>
        </w:rPr>
      </w:pPr>
    </w:p>
    <w:p>
      <w:pPr>
        <w:ind w:firstLine="1304"/>
        <w:spacing w:after="0" w:line="277" w:lineRule="auto"/>
        <w:tabs>
          <w:tab w:leader="none" w:pos="2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Article and Section headings have been used solely for convenience, and are not intended to describe, interpret, define or limit the scope of this Agreement.</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2207"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Conflicts or discrepancies, errors, or omissions in this Agreement or the various documents delivered in connection with this Agreement will not be strictly construed against the drafter of the contract language, rather, they shall be resolved by applying the most reasonable interpretation under the circumstances, giving full consideration to the intentions of the Parties at the time of contracting.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2260" w:hanging="956"/>
        <w:spacing w:after="0"/>
        <w:tabs>
          <w:tab w:leader="none" w:pos="2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reference to any agreement or document is to that agreement or document as amended, novated, supplemented or replaced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 OF MEMBERSHIP INTERESTS AND CLOSING</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Purchase and Sale</w:t>
      </w:r>
      <w:r>
        <w:rPr>
          <w:rFonts w:ascii="Arial" w:cs="Arial" w:eastAsia="Arial" w:hAnsi="Arial"/>
          <w:sz w:val="18"/>
          <w:szCs w:val="18"/>
          <w:color w:val="auto"/>
        </w:rPr>
        <w:t>. Seller agrees to sell to Purchaser, and Purchaser agrees to purchase from Seller, all of the right, title and interest of Seller in and to the Acquired Interests but not including the Excluded Assets, at the Closing on the terms and subject to the conditions set forth in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 Upon the terms and subject to the conditions hereinafter set forth, in consideration of the delivery by Seller of the Acquired Interests, Purchaser shall by wire transfer of immediately available United States funds, pay to Seller at the Closing an amount equal to Two Hundred Two Millions Dollars ($202,000,000)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346"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closing of the transactions described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will take place at the offices of Bracewell LLP, counsel to Seller, at 2001 M Street, NW, Washington, DC, 20036, or at such other place as the Parties mutually agree, at 10 A.M. local time, upon the fulfillment or waiver of the conditions set forth in </w:t>
      </w:r>
      <w:r>
        <w:rPr>
          <w:rFonts w:ascii="Arial" w:cs="Arial" w:eastAsia="Arial" w:hAnsi="Arial"/>
          <w:sz w:val="18"/>
          <w:szCs w:val="18"/>
          <w:u w:val="single" w:color="auto"/>
          <w:color w:val="auto"/>
        </w:rPr>
        <w:t>Articles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Closing, the following shall occur:</w:t>
      </w:r>
    </w:p>
    <w:p>
      <w:pPr>
        <w:spacing w:after="0" w:line="225" w:lineRule="exact"/>
        <w:rPr>
          <w:rFonts w:ascii="Arial" w:cs="Arial" w:eastAsia="Arial" w:hAnsi="Arial"/>
          <w:sz w:val="18"/>
          <w:szCs w:val="18"/>
          <w:color w:val="auto"/>
        </w:rPr>
      </w:pPr>
    </w:p>
    <w:p>
      <w:pPr>
        <w:ind w:left="3120" w:hanging="1168"/>
        <w:spacing w:after="0"/>
        <w:tabs>
          <w:tab w:leader="none" w:pos="3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Purchaser shall pay the Purchase Price, by wire transfer of immediately available funds to Seller’s account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provided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820" w:hanging="868"/>
        <w:spacing w:after="0"/>
        <w:tabs>
          <w:tab w:leader="none" w:pos="28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Parties shall deliver, or cause to be delivered, to the other Parties the certificates and other deliverables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Articles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and</w:t>
      </w:r>
    </w:p>
    <w:p>
      <w:pPr>
        <w:spacing w:after="0" w:line="210" w:lineRule="exact"/>
        <w:rPr>
          <w:rFonts w:ascii="Arial" w:cs="Arial" w:eastAsia="Arial" w:hAnsi="Arial"/>
          <w:sz w:val="16"/>
          <w:szCs w:val="16"/>
          <w:color w:val="auto"/>
        </w:rPr>
      </w:pPr>
    </w:p>
    <w:p>
      <w:pPr>
        <w:ind w:left="2760" w:hanging="808"/>
        <w:spacing w:after="0"/>
        <w:tabs>
          <w:tab w:leader="none" w:pos="2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execution by both Parties of the Assignment and Assumption of Membership Interests.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SELLER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Seller hereby represents and warrants to Purchaser as of the date hereof (unless specifically stated otherwise) as follows: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Existence</w:t>
      </w:r>
      <w:r>
        <w:rPr>
          <w:rFonts w:ascii="Arial" w:cs="Arial" w:eastAsia="Arial" w:hAnsi="Arial"/>
          <w:sz w:val="18"/>
          <w:szCs w:val="18"/>
          <w:color w:val="auto"/>
        </w:rPr>
        <w:t>. Seller is a limited liability company duly organized, validly existing and in good standing under the Laws of the State 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 including to own, hold, sell and transfer the Acquired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57"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Authority</w:t>
      </w:r>
      <w:r>
        <w:rPr>
          <w:rFonts w:ascii="Arial" w:cs="Arial" w:eastAsia="Arial" w:hAnsi="Arial"/>
          <w:sz w:val="18"/>
          <w:szCs w:val="18"/>
          <w:color w:val="auto"/>
        </w:rPr>
        <w:t>. All actions or proceedings necessary to authorize the execution and delivery by Seller of this Agreement and the performance by Seller of its obligations hereunder, have been duly and validly taken. This Agreement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No Consent</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3.03</w:t>
      </w:r>
      <w:r>
        <w:rPr>
          <w:rFonts w:ascii="Arial" w:cs="Arial" w:eastAsia="Arial" w:hAnsi="Arial"/>
          <w:sz w:val="18"/>
          <w:szCs w:val="18"/>
          <w:color w:val="auto"/>
        </w:rPr>
        <w:t xml:space="preserve"> of the Disclosure Schedules (the “</w:t>
      </w:r>
      <w:r>
        <w:rPr>
          <w:rFonts w:ascii="Arial" w:cs="Arial" w:eastAsia="Arial" w:hAnsi="Arial"/>
          <w:sz w:val="18"/>
          <w:szCs w:val="18"/>
          <w:u w:val="single" w:color="auto"/>
          <w:color w:val="auto"/>
        </w:rPr>
        <w:t>Seller Consents</w:t>
      </w:r>
      <w:r>
        <w:rPr>
          <w:rFonts w:ascii="Arial" w:cs="Arial" w:eastAsia="Arial" w:hAnsi="Arial"/>
          <w:sz w:val="18"/>
          <w:szCs w:val="18"/>
          <w:color w:val="auto"/>
        </w:rPr>
        <w:t>”), and except as would 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3.04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by Seller does not and will not (a) conflict with, result in a breach of, or constitute a default under, Seller’s certificate of formation or operating agreement or any material Contract to which Seller, or Company Contract to which the Company, is a party; (b) result in the creation of any Lien upon any of the Acquired Interests or assets or properties of the Company;</w:t>
      </w:r>
    </w:p>
    <w:p>
      <w:pPr>
        <w:spacing w:after="0" w:line="2" w:lineRule="exact"/>
        <w:rPr>
          <w:sz w:val="20"/>
          <w:szCs w:val="20"/>
          <w:color w:val="auto"/>
        </w:rPr>
      </w:pPr>
    </w:p>
    <w:p>
      <w:pPr>
        <w:jc w:val="both"/>
        <w:ind w:firstLine="8"/>
        <w:spacing w:after="0" w:line="255" w:lineRule="auto"/>
        <w:tabs>
          <w:tab w:leader="none" w:pos="251"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or modify, or give any party the right to accelerate or modify, the time within which, or the terms under which, any duties or obligations are to be performed by Seller or the Company or any rights or benefits are to be received by any Person, under any Contract to which Seller or the Company is a party; or (d) violate in any material respect any applicable Law.</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Regulatory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3.05</w:t>
      </w:r>
      <w:r>
        <w:rPr>
          <w:rFonts w:ascii="Arial" w:cs="Arial" w:eastAsia="Arial" w:hAnsi="Arial"/>
          <w:sz w:val="18"/>
          <w:szCs w:val="18"/>
          <w:color w:val="auto"/>
        </w:rPr>
        <w:t xml:space="preserve"> of the Disclosure Schedules (“</w:t>
      </w:r>
      <w:r>
        <w:rPr>
          <w:rFonts w:ascii="Arial" w:cs="Arial" w:eastAsia="Arial" w:hAnsi="Arial"/>
          <w:sz w:val="18"/>
          <w:szCs w:val="18"/>
          <w:u w:val="single" w:color="auto"/>
          <w:color w:val="auto"/>
        </w:rPr>
        <w:t>Seller Approvals</w:t>
      </w:r>
      <w:r>
        <w:rPr>
          <w:rFonts w:ascii="Arial" w:cs="Arial" w:eastAsia="Arial" w:hAnsi="Arial"/>
          <w:sz w:val="18"/>
          <w:szCs w:val="18"/>
          <w:color w:val="auto"/>
        </w:rPr>
        <w:t>”), no Governmental Approval on the part of Seller or the Company is required in connection with the execution, delivery and performance of this Agreement or the consummation of the transactions contemplated hereby.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Legal Proceedings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3.06</w:t>
      </w:r>
      <w:r>
        <w:rPr>
          <w:rFonts w:ascii="Arial" w:cs="Arial" w:eastAsia="Arial" w:hAnsi="Arial"/>
          <w:sz w:val="18"/>
          <w:szCs w:val="18"/>
          <w:color w:val="auto"/>
        </w:rPr>
        <w:t xml:space="preserve"> there are no Actions or Proceedings pending or, to the Knowledge of Seller, threatened, as of the date of this Agreement against Seller or the Company that (a) affect Seller or the Company or (b) would reasonably be expected to result in the issuance of an Order restraining, enjoining or otherwise prohibiting or making illegal the consummation of any of the transactions contemplated by this Agreement. Neither Seller nor the Company is subject to any Order which materially restricts the operation of its business or which would reasonably be expected to have a Material Adverse Effect.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3.07 </w:t>
      </w:r>
      <w:r>
        <w:rPr>
          <w:rFonts w:ascii="Arial" w:cs="Arial" w:eastAsia="Arial" w:hAnsi="Arial"/>
          <w:sz w:val="17"/>
          <w:szCs w:val="17"/>
          <w:u w:val="single" w:color="auto"/>
          <w:color w:val="auto"/>
        </w:rPr>
        <w:t>Brokers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3.07</w:t>
      </w:r>
      <w:r>
        <w:rPr>
          <w:rFonts w:ascii="Arial" w:cs="Arial" w:eastAsia="Arial" w:hAnsi="Arial"/>
          <w:sz w:val="17"/>
          <w:szCs w:val="17"/>
          <w:color w:val="auto"/>
        </w:rPr>
        <w:t xml:space="preserve"> of the Disclosure Schedules, no Person has any claim against Seller for a finder’s fee, brokerage commission or similar payment directly or indirectly in connection with the transactions contemplated by this Agreement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Neither Seller nor the Company is or, to the Knowledge of Seller, has been in the past three (3) years, in material violation of any Law or Order (including Environmental Laws) applicable to the Company or by which any of the Acquired Interests are bound or subject.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spacing w:after="0"/>
        <w:tabs>
          <w:tab w:leader="none" w:pos="140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6"/>
          <w:szCs w:val="16"/>
          <w:u w:val="single" w:color="auto"/>
          <w:color w:val="auto"/>
        </w:rPr>
        <w:t>The Company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6" w:lineRule="auto"/>
        <w:tabs>
          <w:tab w:leader="none" w:pos="2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is a limited liability company validly existing and in good standing under the Laws of the State of Delaware and has full power and authority to conduct its business as and to the extent now conducted and to own, use and lease its assets. The Company is duly qualified, licensed or admitted to do business and are in good standing in the State of Delaware which is the only jurisdiction in which the ownership, use or leasing of its assets, or the conduct or nature of its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61" w:lineRule="exact"/>
        <w:rPr>
          <w:rFonts w:ascii="Arial" w:cs="Arial" w:eastAsia="Arial" w:hAnsi="Arial"/>
          <w:sz w:val="16"/>
          <w:szCs w:val="16"/>
          <w:color w:val="auto"/>
        </w:rPr>
      </w:pPr>
    </w:p>
    <w:p>
      <w:pPr>
        <w:jc w:val="both"/>
        <w:ind w:firstLine="1304"/>
        <w:spacing w:after="0" w:line="263" w:lineRule="auto"/>
        <w:tabs>
          <w:tab w:leader="none" w:pos="222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of the issued and outstanding Acquired Interests of the Company are owned directly, beneficially and of record by Seller free and clear of all Liens, except as set forth on </w:t>
      </w:r>
      <w:r>
        <w:rPr>
          <w:rFonts w:ascii="Arial" w:cs="Arial" w:eastAsia="Arial" w:hAnsi="Arial"/>
          <w:sz w:val="18"/>
          <w:szCs w:val="18"/>
          <w:u w:val="single" w:color="auto"/>
          <w:color w:val="auto"/>
        </w:rPr>
        <w:t>Schedule 3.09(b)</w:t>
      </w:r>
      <w:r>
        <w:rPr>
          <w:rFonts w:ascii="Arial" w:cs="Arial" w:eastAsia="Arial" w:hAnsi="Arial"/>
          <w:sz w:val="18"/>
          <w:szCs w:val="18"/>
          <w:color w:val="auto"/>
        </w:rPr>
        <w:t>. Thirty five percent (35%) of the issued and outstanding Equity Interests of AC Holdings are owned directly, beneficially and of record by the Company.</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2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no and have not been any material violations or breaches by Seller or the Company, to the Knowledge of Seller, any other party, to the Constitutive Documents. Neither Seller nor the Company or, to the Knowledge of Seller, any other party, has given or received notice or other communication regarding any actual, alleged, possible or potential material violation or material breach of any Constitutive Document since the date of formation with respect to the Company.</w:t>
      </w:r>
    </w:p>
    <w:p>
      <w:pPr>
        <w:spacing w:after="0" w:line="186" w:lineRule="exact"/>
        <w:rPr>
          <w:rFonts w:ascii="Arial" w:cs="Arial" w:eastAsia="Arial" w:hAnsi="Arial"/>
          <w:sz w:val="18"/>
          <w:szCs w:val="18"/>
          <w:color w:val="auto"/>
        </w:rPr>
      </w:pPr>
    </w:p>
    <w:p>
      <w:pPr>
        <w:ind w:right="20" w:firstLine="1304"/>
        <w:spacing w:after="0" w:line="277" w:lineRule="auto"/>
        <w:tabs>
          <w:tab w:leader="none" w:pos="2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name of each director and officer (or similar positions) of Company, and the position with Company held by each, are listed in </w:t>
      </w:r>
      <w:r>
        <w:rPr>
          <w:rFonts w:ascii="Arial" w:cs="Arial" w:eastAsia="Arial" w:hAnsi="Arial"/>
          <w:sz w:val="18"/>
          <w:szCs w:val="18"/>
          <w:u w:val="single" w:color="auto"/>
          <w:color w:val="auto"/>
        </w:rPr>
        <w:t>Schedule 3.09(d)</w:t>
      </w:r>
      <w:r>
        <w:rPr>
          <w:rFonts w:ascii="Arial" w:cs="Arial" w:eastAsia="Arial" w:hAnsi="Arial"/>
          <w:sz w:val="18"/>
          <w:szCs w:val="18"/>
          <w:color w:val="auto"/>
        </w:rPr>
        <w:t xml:space="preserve"> of the Disclosure Schedules.</w:t>
      </w:r>
    </w:p>
    <w:p>
      <w:pPr>
        <w:spacing w:after="0" w:line="170" w:lineRule="exact"/>
        <w:rPr>
          <w:rFonts w:ascii="Arial" w:cs="Arial" w:eastAsia="Arial" w:hAnsi="Arial"/>
          <w:sz w:val="18"/>
          <w:szCs w:val="18"/>
          <w:color w:val="auto"/>
        </w:rPr>
      </w:pPr>
    </w:p>
    <w:p>
      <w:pPr>
        <w:ind w:right="20" w:firstLine="1304"/>
        <w:spacing w:after="0" w:line="277" w:lineRule="auto"/>
        <w:tabs>
          <w:tab w:leader="none" w:pos="2373"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Seller has, prior to the execution of this Agreement, delivered to Purchaser true and complete copies of the Constitutive Documents of the Company as in effect on the date hereof.</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506"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3.09(f)</w:t>
      </w:r>
      <w:r>
        <w:rPr>
          <w:rFonts w:ascii="Arial" w:cs="Arial" w:eastAsia="Arial" w:hAnsi="Arial"/>
          <w:sz w:val="18"/>
          <w:szCs w:val="18"/>
          <w:color w:val="auto"/>
        </w:rPr>
        <w:t>, none of the Acquired Interests are subject to any voting trust or voting trust agreement, voting agreement, pledge agreement, buy-sell agreement, right of first refusal, preemptive right, proxy or any other such agreement, to which the Company is a party.</w:t>
      </w:r>
    </w:p>
    <w:p>
      <w:pPr>
        <w:spacing w:after="0" w:line="183" w:lineRule="exact"/>
        <w:rPr>
          <w:rFonts w:ascii="Arial" w:cs="Arial" w:eastAsia="Arial" w:hAnsi="Arial"/>
          <w:sz w:val="18"/>
          <w:szCs w:val="18"/>
          <w:color w:val="auto"/>
        </w:rPr>
      </w:pPr>
    </w:p>
    <w:p>
      <w:pPr>
        <w:ind w:firstLine="1304"/>
        <w:spacing w:after="0" w:line="277" w:lineRule="auto"/>
        <w:tabs>
          <w:tab w:leader="none" w:pos="222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3.09(g)</w:t>
      </w:r>
      <w:r>
        <w:rPr>
          <w:rFonts w:ascii="Arial" w:cs="Arial" w:eastAsia="Arial" w:hAnsi="Arial"/>
          <w:sz w:val="18"/>
          <w:szCs w:val="18"/>
          <w:color w:val="auto"/>
        </w:rPr>
        <w:t>, the Company does not have any other subsidiaries, equity interests, interests in joint ventures or general or limited partnerships or other investment or portfolio assets of a similar nature.</w:t>
      </w:r>
    </w:p>
    <w:p>
      <w:pPr>
        <w:spacing w:after="0" w:line="170" w:lineRule="exact"/>
        <w:rPr>
          <w:rFonts w:ascii="Arial" w:cs="Arial" w:eastAsia="Arial" w:hAnsi="Arial"/>
          <w:sz w:val="18"/>
          <w:szCs w:val="18"/>
          <w:color w:val="auto"/>
        </w:rPr>
      </w:pPr>
    </w:p>
    <w:p>
      <w:pPr>
        <w:ind w:firstLine="1304"/>
        <w:spacing w:after="0" w:line="277" w:lineRule="auto"/>
        <w:tabs>
          <w:tab w:leader="none" w:pos="2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does not conduct (i) any business other than the ownership of AC Holdings or (ii) any operations other than those incidental to such ownership of AC Holdings.</w:t>
      </w:r>
    </w:p>
    <w:p>
      <w:pPr>
        <w:spacing w:after="0" w:line="170" w:lineRule="exact"/>
        <w:rPr>
          <w:rFonts w:ascii="Arial" w:cs="Arial" w:eastAsia="Arial" w:hAnsi="Arial"/>
          <w:sz w:val="18"/>
          <w:szCs w:val="18"/>
          <w:color w:val="auto"/>
        </w:rPr>
      </w:pPr>
    </w:p>
    <w:p>
      <w:pPr>
        <w:ind w:right="20" w:firstLine="1304"/>
        <w:spacing w:after="0" w:line="342" w:lineRule="auto"/>
        <w:tabs>
          <w:tab w:leader="none" w:pos="232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books and records of the Company are (i) in all material respects, accurate and complete and have been maintained in accordance with good business practices and (ii) state in reasonable detail and accurately and fairly reflect the activities and transactions of the Company.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1304"/>
        <w:spacing w:after="0" w:line="263" w:lineRule="auto"/>
        <w:tabs>
          <w:tab w:leader="none" w:pos="232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Arial" w:cs="Arial" w:eastAsia="Arial" w:hAnsi="Arial"/>
          <w:sz w:val="18"/>
          <w:szCs w:val="18"/>
          <w:u w:val="single" w:color="auto"/>
          <w:color w:val="auto"/>
        </w:rPr>
        <w:t>Schedule 3.09(b)</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xml:space="preserve">. The Company does not have any liability or obligation that would be required to be disclosed on a balance sheet prepared in accordance with GAAP, except for the liabilities and obligations of the Company (i) incurred in the ordinary course of business consistent with past practice, (ii) that do not and are not individually or in the aggregate reasonably expected to have a Material Adverse Effect, (iii) that constitute amounts payable under the Company Contracts or (iv) as set forth in </w:t>
      </w:r>
      <w:r>
        <w:rPr>
          <w:rFonts w:ascii="Arial" w:cs="Arial" w:eastAsia="Arial" w:hAnsi="Arial"/>
          <w:sz w:val="18"/>
          <w:szCs w:val="18"/>
          <w:u w:val="single" w:color="auto"/>
          <w:color w:val="auto"/>
        </w:rPr>
        <w:t>Schedule 3.10</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Except as disclosed on</w:t>
      </w:r>
      <w:r>
        <w:rPr>
          <w:rFonts w:ascii="Arial" w:cs="Arial" w:eastAsia="Arial" w:hAnsi="Arial"/>
          <w:sz w:val="16"/>
          <w:szCs w:val="16"/>
          <w:u w:val="single" w:color="auto"/>
          <w:color w:val="auto"/>
        </w:rPr>
        <w:t xml:space="preserve"> Schedule 3.11 </w:t>
      </w:r>
      <w:r>
        <w:rPr>
          <w:rFonts w:ascii="Arial" w:cs="Arial" w:eastAsia="Arial" w:hAnsi="Arial"/>
          <w:sz w:val="16"/>
          <w:szCs w:val="16"/>
          <w:color w:val="auto"/>
        </w:rPr>
        <w:t>of the Disclosure Schedules, since the date of formation with respect to the Company:</w:t>
      </w:r>
    </w:p>
    <w:p>
      <w:pPr>
        <w:spacing w:after="0" w:line="225" w:lineRule="exact"/>
        <w:rPr>
          <w:sz w:val="20"/>
          <w:szCs w:val="20"/>
          <w:color w:val="auto"/>
        </w:rPr>
      </w:pPr>
    </w:p>
    <w:p>
      <w:pPr>
        <w:jc w:val="both"/>
        <w:ind w:firstLine="1304"/>
        <w:spacing w:after="0" w:line="296" w:lineRule="auto"/>
        <w:tabs>
          <w:tab w:leader="none" w:pos="2224"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federal and all other material Tax Returns required to be filed by or with respect to the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the Company (or income attributable thereto), and Seller, Affiliates of Seller, or the Company have paid, or made adequate provisions for the payment of, all Taxes, assessments and other charges due or claimed to be due (regardless of whether shown on any Tax Return) from the Company or for which the Company or the Purchaser could be held liable.</w:t>
      </w:r>
    </w:p>
    <w:p>
      <w:pPr>
        <w:spacing w:after="0" w:line="161" w:lineRule="exact"/>
        <w:rPr>
          <w:rFonts w:ascii="Arial" w:cs="Arial" w:eastAsia="Arial" w:hAnsi="Arial"/>
          <w:sz w:val="16"/>
          <w:szCs w:val="16"/>
          <w:color w:val="auto"/>
        </w:rPr>
      </w:pPr>
    </w:p>
    <w:p>
      <w:pPr>
        <w:jc w:val="both"/>
        <w:ind w:firstLine="1304"/>
        <w:spacing w:after="0" w:line="288" w:lineRule="auto"/>
        <w:tabs>
          <w:tab w:leader="none" w:pos="2383"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There are no (i) Actions or Proceedings currently pending or threatened in writing against the Company or related to its business operations, by any Governmental Authority for the assessment or collection of Taxes, (ii) audits or other examinations of any Tax Return of the Company (or income attributable thereto) in progress nor has Seller, any Affiliate of Seller or the Company been notified in writing of any request for examination, (iii) claims for assessment or collection of Taxes that have been asserted in writing against Seller or any Affiliate of Seller, or the Company (or the income attributable thereto) in respect of the Company, or (iv) matters under discussion with any Governmental Authority regarding claims for assessment or collection of Taxes against the Company (or income attributable thereto). There are no outstanding agreements, waivers or consents extending the statutory period of limitations applicable to any Tax of the Company, and, except as set forth on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of the Disclosure Schedules, the Company has not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68" w:lineRule="exact"/>
        <w:rPr>
          <w:rFonts w:ascii="Arial" w:cs="Arial" w:eastAsia="Arial" w:hAnsi="Arial"/>
          <w:sz w:val="16"/>
          <w:szCs w:val="16"/>
          <w:color w:val="auto"/>
        </w:rPr>
      </w:pPr>
    </w:p>
    <w:p>
      <w:pPr>
        <w:ind w:left="2180" w:hanging="876"/>
        <w:spacing w:after="0"/>
        <w:tabs>
          <w:tab w:leader="none" w:pos="2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Seller Parent is not a “foreign person” within the meaning of Section 1445(b)(2) of the Code.</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45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Since the date of formation, the Company has been properly classified for federal and state income Tax purposes as a disregarded entity under Treasury Regulations Section 301.7701-2 and -3, and neither Seller nor any Affiliate of Seller has made or caused to be made any election for any Tax purposes to classify the Company as anything other than a disregarded entity or a partnership, as applicable for federal income tax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1304"/>
        <w:spacing w:after="0" w:line="263" w:lineRule="auto"/>
        <w:tabs>
          <w:tab w:leader="none" w:pos="24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not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83" w:lineRule="exact"/>
        <w:rPr>
          <w:rFonts w:ascii="Arial" w:cs="Arial" w:eastAsia="Arial" w:hAnsi="Arial"/>
          <w:sz w:val="18"/>
          <w:szCs w:val="18"/>
          <w:color w:val="auto"/>
        </w:rPr>
      </w:pPr>
    </w:p>
    <w:p>
      <w:pPr>
        <w:ind w:firstLine="1304"/>
        <w:spacing w:after="0" w:line="308" w:lineRule="auto"/>
        <w:tabs>
          <w:tab w:leader="none" w:pos="2263"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Neither the Company, nor Seller or any Affiliate of Seller with respect to the assets or operations of the Company, is or has ever entered into or been a party to any “listed transaction,” as defined in Section 1.6011-4(b)(2) of the Treasury Regulations.</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Employees</w:t>
      </w:r>
      <w:r>
        <w:rPr>
          <w:rFonts w:ascii="Arial" w:cs="Arial" w:eastAsia="Arial" w:hAnsi="Arial"/>
          <w:sz w:val="18"/>
          <w:szCs w:val="18"/>
          <w:color w:val="auto"/>
        </w:rPr>
        <w:t>. The Company does not have, nor has ever had, any employees or any liability, actual or contingent, with respect to any Employee Plan.</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Company Contracts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37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of the Disclosure Schedules contains a true, correct and complete list any material Contracts, to which Company is a party or by which the Company is bound, and all amendments, modifications and supplements to any of the foregoing (collectively, the “</w:t>
      </w:r>
      <w:r>
        <w:rPr>
          <w:rFonts w:ascii="Arial" w:cs="Arial" w:eastAsia="Arial" w:hAnsi="Arial"/>
          <w:sz w:val="18"/>
          <w:szCs w:val="18"/>
          <w:u w:val="single" w:color="auto"/>
          <w:color w:val="auto"/>
        </w:rPr>
        <w:t>Company Contracts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22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Company Contract constitutes the legal, valid, binding and enforceable obligation of the Company party thereto and to the Knowledge of Seller, the other parties thereto, except as may be limited by (i) bankruptcy, insolvency, reorganization, moratorium and other similar laws of general application affecting the rights and remedies of creditors, and (ii) general principles of equity (regardless of whether such enforcement is considered in a proceeding in equity or at law). Each Company Contract is in full force and effect, except to the extent such non-compliance would not reasonably be expected to have a Material Adverse Effect.</w:t>
      </w:r>
    </w:p>
    <w:p>
      <w:pPr>
        <w:spacing w:after="0" w:line="187" w:lineRule="exact"/>
        <w:rPr>
          <w:rFonts w:ascii="Arial" w:cs="Arial" w:eastAsia="Arial" w:hAnsi="Arial"/>
          <w:sz w:val="18"/>
          <w:szCs w:val="18"/>
          <w:color w:val="auto"/>
        </w:rPr>
      </w:pPr>
    </w:p>
    <w:p>
      <w:pPr>
        <w:ind w:firstLine="1304"/>
        <w:spacing w:after="0" w:line="277" w:lineRule="auto"/>
        <w:tabs>
          <w:tab w:leader="none" w:pos="2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3.13(c)</w:t>
      </w:r>
      <w:r>
        <w:rPr>
          <w:rFonts w:ascii="Arial" w:cs="Arial" w:eastAsia="Arial" w:hAnsi="Arial"/>
          <w:sz w:val="18"/>
          <w:szCs w:val="18"/>
          <w:color w:val="auto"/>
        </w:rPr>
        <w:t xml:space="preserve"> of the Disclosure Schedules, the Company or, to the Knowledge of Seller, the other parties thereto, is not in material violation or breach of or default under any Company Contract.</w:t>
      </w:r>
    </w:p>
    <w:p>
      <w:pPr>
        <w:spacing w:after="0" w:line="170" w:lineRule="exact"/>
        <w:rPr>
          <w:rFonts w:ascii="Arial" w:cs="Arial" w:eastAsia="Arial" w:hAnsi="Arial"/>
          <w:sz w:val="18"/>
          <w:szCs w:val="18"/>
          <w:color w:val="auto"/>
        </w:rPr>
      </w:pPr>
    </w:p>
    <w:p>
      <w:pPr>
        <w:jc w:val="both"/>
        <w:ind w:firstLine="1304"/>
        <w:spacing w:after="0" w:line="287" w:lineRule="auto"/>
        <w:tabs>
          <w:tab w:leader="none" w:pos="24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Neither of Seller nor the Company has given or received notice or other communication regarding any actual, alleged, possible or potential material violation or material breach with respect to any material provision of, or any material default under, or intent to cancel or terminate, any Company Contract or, since the Acquisition Closing Date, any contract set forth on Schedule 3.13(a) of the disclosure schedules to the Prior</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 PSA.</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Notices; Permits; Intellectual Property</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77" w:lineRule="auto"/>
        <w:tabs>
          <w:tab w:leader="none" w:pos="2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Since the Acquisition Closing Date, the Company has not received any written notice of condemnation, eminent domain or similar governmental proceeding materially affecting, individually or in the aggregate, the Facility.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2240" w:hanging="936"/>
        <w:spacing w:after="0"/>
        <w:tabs>
          <w:tab w:leader="none" w:pos="2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is not required pursuant to any Law to acquire or hold any material Permits in connection with the ownership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AC Holdings.</w:t>
      </w:r>
    </w:p>
    <w:p>
      <w:pPr>
        <w:spacing w:after="0" w:line="211" w:lineRule="exact"/>
        <w:rPr>
          <w:sz w:val="20"/>
          <w:szCs w:val="20"/>
          <w:color w:val="auto"/>
        </w:rPr>
      </w:pPr>
    </w:p>
    <w:p>
      <w:pPr>
        <w:ind w:left="2180" w:hanging="876"/>
        <w:spacing w:after="0"/>
        <w:tabs>
          <w:tab w:leader="none" w:pos="2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does not own or license any intellectual property in connection with the ownership of AC Holdings.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Insurance</w:t>
      </w:r>
      <w:r>
        <w:rPr>
          <w:rFonts w:ascii="Arial" w:cs="Arial" w:eastAsia="Arial" w:hAnsi="Arial"/>
          <w:sz w:val="18"/>
          <w:szCs w:val="18"/>
          <w:color w:val="auto"/>
        </w:rPr>
        <w:t>. Since the Acquisition Closing Date, none of Seller or the Company has received any notice with respect to the assets and properties and business of the Company from any insurer under any insurance policy maintained by Seller or its Affiliates, excluding the Subsidiaries, applicable to the assets and properties and business of the Company disclaiming coverage, reserving rights with respect to a particular claim or such policy in general or canceling or materially amending any such policy (the “</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of the Disclosure Schedules, there are no pending insurance claims under the Insurance Policies.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Bank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3.16</w:t>
      </w:r>
      <w:r>
        <w:rPr>
          <w:rFonts w:ascii="Arial" w:cs="Arial" w:eastAsia="Arial" w:hAnsi="Arial"/>
          <w:sz w:val="16"/>
          <w:szCs w:val="16"/>
          <w:color w:val="auto"/>
        </w:rPr>
        <w:t xml:space="preserve"> of the Disclosure Schedules sets forth the names and locations of banks, trust companies and other financial institutions at which the Company maintains bank accounts or safe deposit boxes, in each case listing the type of account, the account number, and the names of all Persons authorized to draw thereupon or who have access thereto and lists the locations of all safe deposit boxes used by the Company.</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Disclosures</w:t>
      </w:r>
      <w:r>
        <w:rPr>
          <w:rFonts w:ascii="Arial" w:cs="Arial" w:eastAsia="Arial" w:hAnsi="Arial"/>
          <w:sz w:val="18"/>
          <w:szCs w:val="18"/>
          <w:color w:val="auto"/>
        </w:rPr>
        <w:t>. To the Knowledge of Seller, no representation or warranty by Seller contained in this Agreement, and no statement contained in the Disclosure Schedules or any other document, certificate or other instrument delivered to or to be delivered by or on behalf of Seller or the Company contains, or will contain any untrue statement of a material fact or omits or will omit to state any material fact necessary, in light of the circumstances under which it was or will be made, in order to make the statements herein or therein not misleading.</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No Other Warranties</w:t>
      </w:r>
      <w:r>
        <w:rPr>
          <w:rFonts w:ascii="Arial" w:cs="Arial" w:eastAsia="Arial" w:hAnsi="Arial"/>
          <w:sz w:val="17"/>
          <w:szCs w:val="17"/>
          <w:color w:val="auto"/>
        </w:rPr>
        <w:t xml:space="preserve">. 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COMPANY, OR THE ASSETS OF THE COMPANY, INCLUDING WITHOUT LIMITATION, IMPLIED WARRANTIES OF MERCHANTABILITY AND FITNESS FOR A PARTICULAR PURPOSE AND NON-INFRINGEMENT, AND WARRANTIES ARISING FROM COURSE OF DEALING OR USAGE OF TRADE, ALL OF WHICH ARE EXPRESSLY DISCLAIMED. EXCEPT AS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SELLER MAKES NO REPRESENTATION OR WARRANTY TO PURCHASER WITH RESPECT TO ANY FINANCIAL PROJECTIONS, FORECASTS OR FORWARD LOOKING STATEMENTS OF ANY KIND OR NATURE WHATSOEVER RELATING TO THE COMPANY, OR THE ASSETS OF THE COMPANY, OR THE ACQUIRED INTERESTS.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PURCHASER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Purchaser hereby represents and warrants to Seller as of the date hereof (unless specifically stated otherwise) as follows: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Existence</w:t>
      </w:r>
      <w:r>
        <w:rPr>
          <w:rFonts w:ascii="Arial" w:cs="Arial" w:eastAsia="Arial" w:hAnsi="Arial"/>
          <w:sz w:val="18"/>
          <w:szCs w:val="18"/>
          <w:color w:val="auto"/>
        </w:rPr>
        <w:t>. Purchaser is a limited liability company duly formed, validly existing and in good standing under the Laws of the State of Delaware. Purchaser has the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Authority</w:t>
      </w:r>
      <w:r>
        <w:rPr>
          <w:rFonts w:ascii="Arial" w:cs="Arial" w:eastAsia="Arial" w:hAnsi="Arial"/>
          <w:sz w:val="18"/>
          <w:szCs w:val="18"/>
          <w:color w:val="auto"/>
        </w:rPr>
        <w:t>. 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4.03 </w:t>
      </w:r>
      <w:r>
        <w:rPr>
          <w:rFonts w:ascii="Arial" w:cs="Arial" w:eastAsia="Arial" w:hAnsi="Arial"/>
          <w:sz w:val="17"/>
          <w:szCs w:val="17"/>
          <w:u w:val="single" w:color="auto"/>
          <w:color w:val="auto"/>
        </w:rPr>
        <w:t>No Consent</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4.03</w:t>
      </w:r>
      <w:r>
        <w:rPr>
          <w:rFonts w:ascii="Arial" w:cs="Arial" w:eastAsia="Arial" w:hAnsi="Arial"/>
          <w:sz w:val="17"/>
          <w:szCs w:val="17"/>
          <w:color w:val="auto"/>
        </w:rPr>
        <w:t xml:space="preserve"> of the Disclosure Schedules (the “</w:t>
      </w:r>
      <w:r>
        <w:rPr>
          <w:rFonts w:ascii="Arial" w:cs="Arial" w:eastAsia="Arial" w:hAnsi="Arial"/>
          <w:sz w:val="17"/>
          <w:szCs w:val="17"/>
          <w:u w:val="single" w:color="auto"/>
          <w:color w:val="auto"/>
        </w:rPr>
        <w:t>Purchaser Consents</w:t>
      </w:r>
      <w:r>
        <w:rPr>
          <w:rFonts w:ascii="Arial" w:cs="Arial" w:eastAsia="Arial" w:hAnsi="Arial"/>
          <w:sz w:val="17"/>
          <w:szCs w:val="17"/>
          <w:color w:val="auto"/>
        </w:rPr>
        <w:t>”), and except as would not, individually or in the aggregate, reasonably be expected to cause a Material Adverse Effect, or would not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4.04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by Purchaser does not and will not (a) conflict with, result in a breach of, or constitute a default under, Purchaser’s certificate of incorporation or operating agreement, or any material Contract to which Purchaser is a party; (b) result in the creation of any Lien upon any of the assets or properties of Purchaser or (c)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4.05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Actions or Proceedings pending or, to the Knowledge of Purchaser, threatened as of the date of 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91" w:lineRule="auto"/>
        <w:rPr>
          <w:sz w:val="20"/>
          <w:szCs w:val="20"/>
          <w:color w:val="auto"/>
        </w:rPr>
      </w:pPr>
      <w:r>
        <w:rPr>
          <w:rFonts w:ascii="Arial" w:cs="Arial" w:eastAsia="Arial" w:hAnsi="Arial"/>
          <w:sz w:val="16"/>
          <w:szCs w:val="16"/>
          <w:color w:val="auto"/>
        </w:rPr>
        <w:t xml:space="preserve">4.06 </w:t>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 Purchaser (a) is acquiring the Acquired Interests for its own account and not with a view to distribution, (b) is an “accredited investor” as such term is defined in Rule 501(a) under the Securities Act of 1933, (c) has sufficient knowledge and experience in financial and business matters so as to be able to evaluate the merits and risk of an investment in the Acquired Interests and is able financially to bear the risks thereof, and (d)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the registration requirements of such securities laws.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4.07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4.07</w:t>
      </w:r>
      <w:r>
        <w:rPr>
          <w:rFonts w:ascii="Arial" w:cs="Arial" w:eastAsia="Arial" w:hAnsi="Arial"/>
          <w:sz w:val="18"/>
          <w:szCs w:val="18"/>
          <w:color w:val="auto"/>
        </w:rPr>
        <w:t>, no Person has any claim against Purchaser for a finder’s fee, brokerage commission or similar payment directly or indirectly in connection with the transactions contemplated by this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4.08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4.08</w:t>
      </w:r>
      <w:r>
        <w:rPr>
          <w:rFonts w:ascii="Arial" w:cs="Arial" w:eastAsia="Arial" w:hAnsi="Arial"/>
          <w:sz w:val="18"/>
          <w:szCs w:val="18"/>
          <w:color w:val="auto"/>
        </w:rPr>
        <w:t xml:space="preserve"> of the Disclosure Schedules (“</w:t>
      </w:r>
      <w:r>
        <w:rPr>
          <w:rFonts w:ascii="Arial" w:cs="Arial" w:eastAsia="Arial" w:hAnsi="Arial"/>
          <w:sz w:val="18"/>
          <w:szCs w:val="18"/>
          <w:u w:val="single" w:color="auto"/>
          <w:color w:val="auto"/>
        </w:rPr>
        <w:t>Purchaser Approvals</w:t>
      </w:r>
      <w:r>
        <w:rPr>
          <w:rFonts w:ascii="Arial" w:cs="Arial" w:eastAsia="Arial" w:hAnsi="Arial"/>
          <w:sz w:val="18"/>
          <w:szCs w:val="18"/>
          <w:color w:val="auto"/>
        </w:rPr>
        <w:t>”) or which have already been obtained, no Governmental Approval on the part of Purchaser is required in connection with the execution, delivery and performance of this Agreement or the consummation of the transactions contemplated hereby.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4.09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Purchaser is not in material violation of any Law except where any such material violation would not in the aggregate reasonably be expected to have a Material Adverse Effect.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Due Diligence</w:t>
      </w:r>
      <w:r>
        <w:rPr>
          <w:rFonts w:ascii="Arial" w:cs="Arial" w:eastAsia="Arial" w:hAnsi="Arial"/>
          <w:sz w:val="17"/>
          <w:szCs w:val="17"/>
          <w:color w:val="auto"/>
        </w:rPr>
        <w:t xml:space="preserve">. Purchaser acknowledges that Purchaser and its Representatives have had the opportunity to conduct all such due diligence investigations of the Acquired Interests, and the Company as they deemed necessary or advisable in connection with entering into this Agreement and the related documents and the transactions contemplated hereby and thereby. In no event shall Seller have any liability to Purchaser with respect to a breach of any representation, warranty or covenant under this Agreement to the extent of the Knowledge of Purchaser of such breach as of the Closing Date. PURCHASER HAS RELIED SOLELY ON ITS INDEPENDENT INVESTIGATION AND THE REPRESENTATIONS AND WARRANTIES MADE BY SELLER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MAKING ITS DECISION TO ACQUIRE THE ACQUIRED INTERESTS AND HAS NOT RELIED ON ANY OTHER STATEMENTS OR ADVICE FROM SELLER OR ITS REPRESENTATIVES.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COVENANTS OF SELLER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Seller covenants and agrees with Purchaser that Seller will comply with all covenants and provisions of this </w:t>
      </w:r>
      <w:r>
        <w:rPr>
          <w:rFonts w:ascii="Arial" w:cs="Arial" w:eastAsia="Arial" w:hAnsi="Arial"/>
          <w:sz w:val="18"/>
          <w:szCs w:val="18"/>
          <w:u w:val="single" w:color="auto"/>
          <w:color w:val="auto"/>
        </w:rPr>
        <w:t>Article 5</w:t>
      </w:r>
      <w:r>
        <w:rPr>
          <w:rFonts w:ascii="Arial" w:cs="Arial" w:eastAsia="Arial" w:hAnsi="Arial"/>
          <w:sz w:val="18"/>
          <w:szCs w:val="18"/>
          <w:color w:val="auto"/>
        </w:rPr>
        <w:t>, except to the extent Purchaser may otherwise consent in writing.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660"/>
        <w:spacing w:after="0"/>
        <w:tabs>
          <w:tab w:leader="none" w:pos="136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0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Seller shall promptly notify Purchaser in writing of any changes or additions to any of the Schedules of which it has knowledge that may be necessary to correct any matter that would otherwise constitute a breach of any representation or warranty of Seller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such that the closing condition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cannot be satisfied.</w:t>
      </w:r>
    </w:p>
    <w:p>
      <w:pPr>
        <w:spacing w:after="0" w:line="183" w:lineRule="exact"/>
        <w:rPr>
          <w:rFonts w:ascii="Arial" w:cs="Arial" w:eastAsia="Arial" w:hAnsi="Arial"/>
          <w:sz w:val="18"/>
          <w:szCs w:val="18"/>
          <w:color w:val="auto"/>
        </w:rPr>
      </w:pPr>
    </w:p>
    <w:p>
      <w:pPr>
        <w:ind w:left="2080" w:hanging="776"/>
        <w:spacing w:after="0"/>
        <w:tabs>
          <w:tab w:leader="none" w:pos="2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Parties shall, prior to Closing, execute a side letter addressing each inaccuracy or breach identified pursuant to paragraph</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above and the Parties agreed action in response to each respective breach (the “</w:t>
      </w:r>
      <w:r>
        <w:rPr>
          <w:rFonts w:ascii="Arial" w:cs="Arial" w:eastAsia="Arial" w:hAnsi="Arial"/>
          <w:sz w:val="18"/>
          <w:szCs w:val="18"/>
          <w:u w:val="single" w:color="auto"/>
          <w:color w:val="auto"/>
        </w:rPr>
        <w:t>Section 5.01 Side Letter</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firstLine="1304"/>
        <w:spacing w:after="0" w:line="263" w:lineRule="auto"/>
        <w:tabs>
          <w:tab w:leader="none" w:pos="2211"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No updates made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be deemed to cure any inaccuracy or breach of any representation or warranty made in this Agreement as of the Effective Date or for purposes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unless Purchaser (in its sole discretion) specifically agrees to this in writing in the Section 5.01 Side Letter, subject to the terms and conditions agreed therein.</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During the Interim Period, Seller shall cause the Company to operate and carry on its business in the ordinary course and substantially as operated prior to the date of this Agreement, provided, however, that Seller may, if and as necessary, implement any necessary COVID-19 Measures. Without limiting the foregoing, Seller shall cause the Company to perform in all material respects the Contracts to which the Company is a party and use commercially reasonable efforts consistent with good business practice to preserve the goodwill of the suppliers, contractors, lenders, Governmental Authorities, licensors, customers, distributors and others having business relations with the Company.</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u w:val="single" w:color="auto"/>
          <w:color w:val="auto"/>
        </w:rPr>
        <w:t>Casualty Loss</w:t>
      </w:r>
      <w:r>
        <w:rPr>
          <w:rFonts w:ascii="Arial" w:cs="Arial" w:eastAsia="Arial" w:hAnsi="Arial"/>
          <w:sz w:val="16"/>
          <w:szCs w:val="16"/>
          <w:color w:val="auto"/>
        </w:rPr>
        <w:t>. If the Facility, or any portion thereof, is damaged or destroyed by casualty loss or as a result of any fact, event or circumstance which would reasonably be expected to have, individually or in the aggregate, a Material Adverse Effect (a “</w:t>
      </w:r>
      <w:r>
        <w:rPr>
          <w:rFonts w:ascii="Arial" w:cs="Arial" w:eastAsia="Arial" w:hAnsi="Arial"/>
          <w:sz w:val="16"/>
          <w:szCs w:val="16"/>
          <w:u w:val="single" w:color="auto"/>
          <w:color w:val="auto"/>
        </w:rPr>
        <w:t>Casualty Loss</w:t>
      </w:r>
      <w:r>
        <w:rPr>
          <w:rFonts w:ascii="Arial" w:cs="Arial" w:eastAsia="Arial" w:hAnsi="Arial"/>
          <w:sz w:val="16"/>
          <w:szCs w:val="16"/>
          <w:color w:val="auto"/>
        </w:rPr>
        <w:t>”) after the date hereof and prior to the satisfaction of all the closing conditions (the “</w:t>
      </w:r>
      <w:r>
        <w:rPr>
          <w:rFonts w:ascii="Arial" w:cs="Arial" w:eastAsia="Arial" w:hAnsi="Arial"/>
          <w:sz w:val="16"/>
          <w:szCs w:val="16"/>
          <w:u w:val="single" w:color="auto"/>
          <w:color w:val="auto"/>
        </w:rPr>
        <w:t>Satisfaction Date</w:t>
      </w:r>
      <w:r>
        <w:rPr>
          <w:rFonts w:ascii="Arial" w:cs="Arial" w:eastAsia="Arial" w:hAnsi="Arial"/>
          <w:sz w:val="16"/>
          <w:szCs w:val="16"/>
          <w:color w:val="auto"/>
        </w:rPr>
        <w:t>”) of the Parties, and thirty five percent (35%) of the cost of restoring such damaged or destroyed Facility to a condition reasonably comparable to its prior condition (net of and after giving effect to any insurance proceeds received by the Company or any Subsidiary for such restoration) (such thirty five percent (35%) of the cost as estimated by a qualified firm reasonably acceptable to Purchaser and Seller and selected by Purchaser and Seller in good faith and promptly after the date of the event giving rise to the Casualty Loss, the “</w:t>
      </w:r>
      <w:r>
        <w:rPr>
          <w:rFonts w:ascii="Arial" w:cs="Arial" w:eastAsia="Arial" w:hAnsi="Arial"/>
          <w:sz w:val="16"/>
          <w:szCs w:val="16"/>
          <w:u w:val="single" w:color="auto"/>
          <w:color w:val="auto"/>
        </w:rPr>
        <w:t>Restoration Cost</w:t>
      </w:r>
      <w:r>
        <w:rPr>
          <w:rFonts w:ascii="Arial" w:cs="Arial" w:eastAsia="Arial" w:hAnsi="Arial"/>
          <w:sz w:val="16"/>
          <w:szCs w:val="16"/>
          <w:color w:val="auto"/>
        </w:rPr>
        <w:t xml:space="preserve">”) does not exceed twenty percent (20%) of the Purchase Price, Purchaser shall reduce the amount of the Purchase Price by the amount of the Restoration Cost and, subject to the prior written consent of the Seller, such Casualty Loss shall not affect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Seller does not provide such written consent within thirty (30) days after the date the Restoration Cost is provided to the Parties, then Purchaser may, in its sole discretion, terminate this Agreement by providing written notice thereof to the Seller. If the Restoration Cost is in excess of twenty percent (20%) of the Purchase Price, Purchaser may, by notice to Seller at any time prior to or within thirty (30) days after the date such Restoration Cost is provided to Purchaser elect to either: (i) subject to Seller’s prior written consent, reduce the Purchase Price by the Restoration Cost; or (ii) in its sole discretion, terminate this Agreement, in the latter case by providing written notice to Seller. To the extent Purchaser elects and Seller consents to reduce the amount of the Purchase Price pursuant to this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Purchaser will, at Seller’s election: (a) assign to Seller any rights to any contribution available under any rights to insurance claims or recoveries available under insurance policies covering such Facility; or (b) at Seller’s sole cost and expense, use commercially reasonable efforts to pursue such available contribution, claims or recoveries on Seller’s behalf for the benefit of Seller, in either case only up to the amount of such reduction in the Purchase Price. During the period between the Satisfaction Date and the Closing, Seller shall consult with Purchaser in respect of remediating the Casualty Loss, including promptly commencing the restoration work with respect to such Casualty Loss and promptly filing claims with insurance companies under applicable insurance policies in respect of such Casualty Loss. To the extent Seller, the Company or any Subsidiary has made any actual capital expenditures in respect of the Restoration Cost, the amounts of such actual capital expenditures, up to the amount equal to the Restoration Cost by which the Purchase Price was reduced in accordance with this </w:t>
      </w:r>
      <w:r>
        <w:rPr>
          <w:rFonts w:ascii="Arial" w:cs="Arial" w:eastAsia="Arial" w:hAnsi="Arial"/>
          <w:sz w:val="16"/>
          <w:szCs w:val="16"/>
          <w:u w:val="single" w:color="auto"/>
          <w:color w:val="auto"/>
        </w:rPr>
        <w:t>Section 5.03</w:t>
      </w:r>
      <w:r>
        <w:rPr>
          <w:rFonts w:ascii="Arial" w:cs="Arial" w:eastAsia="Arial" w:hAnsi="Arial"/>
          <w:sz w:val="16"/>
          <w:szCs w:val="16"/>
          <w:color w:val="auto"/>
        </w:rPr>
        <w:t>, shall be added to the Purchase Price.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firstLine="648"/>
        <w:spacing w:after="0" w:line="277" w:lineRule="auto"/>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Seller Parent Guaranty</w:t>
      </w:r>
      <w:r>
        <w:rPr>
          <w:rFonts w:ascii="Arial" w:cs="Arial" w:eastAsia="Arial" w:hAnsi="Arial"/>
          <w:sz w:val="18"/>
          <w:szCs w:val="18"/>
          <w:color w:val="auto"/>
        </w:rPr>
        <w:t>. Seller shall concurrently with the execution and delivery of this Agreement, cause to be executed and delivered to Purchaser the Seller Parent Guaranty.</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5.05</w:t>
      </w:r>
      <w:r>
        <w:rPr>
          <w:sz w:val="20"/>
          <w:szCs w:val="20"/>
          <w:color w:val="auto"/>
        </w:rPr>
        <w:tab/>
      </w:r>
      <w:r>
        <w:rPr>
          <w:rFonts w:ascii="Arial" w:cs="Arial" w:eastAsia="Arial" w:hAnsi="Arial"/>
          <w:sz w:val="16"/>
          <w:szCs w:val="16"/>
          <w:u w:val="single" w:color="auto"/>
          <w:color w:val="auto"/>
        </w:rPr>
        <w:t>Regulatory Filings and Approvals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3" w:lineRule="auto"/>
        <w:tabs>
          <w:tab w:leader="none" w:pos="19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Seller shall, and shall cause its respective Affiliates, to cooperate with Purchaser to prepare, as soon as is practical following the Effective Date, all necessary filings in connection with the transactions contemplated by this Agreement that may be required under the Hart-Scott-Rodino Act (the “</w:t>
      </w:r>
      <w:r>
        <w:rPr>
          <w:rFonts w:ascii="Arial" w:cs="Arial" w:eastAsia="Arial" w:hAnsi="Arial"/>
          <w:sz w:val="18"/>
          <w:szCs w:val="18"/>
          <w:u w:val="single" w:color="auto"/>
          <w:color w:val="auto"/>
        </w:rPr>
        <w:t>HSR Act</w:t>
      </w:r>
      <w:r>
        <w:rPr>
          <w:rFonts w:ascii="Arial" w:cs="Arial" w:eastAsia="Arial" w:hAnsi="Arial"/>
          <w:sz w:val="18"/>
          <w:szCs w:val="18"/>
          <w:color w:val="auto"/>
        </w:rPr>
        <w:t xml:space="preserve">”) or any other federal, state or local laws prior to the Closing Date (except pursuant to Section 203 of the FPA, which is subject to </w:t>
      </w:r>
      <w:r>
        <w:rPr>
          <w:rFonts w:ascii="Arial" w:cs="Arial" w:eastAsia="Arial" w:hAnsi="Arial"/>
          <w:sz w:val="18"/>
          <w:szCs w:val="18"/>
          <w:u w:val="single" w:color="auto"/>
          <w:color w:val="auto"/>
        </w:rPr>
        <w:t>Section 5.05(b</w:t>
      </w:r>
      <w:r>
        <w:rPr>
          <w:rFonts w:ascii="Arial" w:cs="Arial" w:eastAsia="Arial" w:hAnsi="Arial"/>
          <w:sz w:val="18"/>
          <w:szCs w:val="18"/>
          <w:color w:val="auto"/>
        </w:rPr>
        <w:t>) below) and shall use commercially reasonable efforts to obtain as promptly as practicable all approvals from Governmental Authorities and other Persons necessary to consummate the transactions contemplated hereby, including the Seller Approvals and Seller Consents. Seller shall or shall cause its Affiliates, as applicable, to, submit the required filings as soon as practicable, but, with respect to filings under the HSR Act, in no event later than ten (10) Business Days after the Effective Date. Seller shall or shall cause its Affiliates, as applicable, to, request expedited treatment of any such filings, and cooperate with Purchaser in the preparation of such filings in such manner as is reasonably necessary and appropriate. Seller and Purchaser shall share equally any fees associated with the filings under the HSR Act. Seller shall consult with Purchaser and shall agree in good faith with Purchaser on the timings of such filings</w:t>
      </w:r>
    </w:p>
    <w:p>
      <w:pPr>
        <w:spacing w:after="0" w:line="194" w:lineRule="exact"/>
        <w:rPr>
          <w:rFonts w:ascii="Arial" w:cs="Arial" w:eastAsia="Arial" w:hAnsi="Arial"/>
          <w:sz w:val="18"/>
          <w:szCs w:val="18"/>
          <w:color w:val="auto"/>
        </w:rPr>
      </w:pPr>
    </w:p>
    <w:p>
      <w:pPr>
        <w:jc w:val="both"/>
        <w:ind w:firstLine="1304"/>
        <w:spacing w:after="0" w:line="286" w:lineRule="auto"/>
        <w:tabs>
          <w:tab w:leader="none" w:pos="21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Seller shall or shall cause its Affiliates, as applicable, to reasonably cooperate with Purchaser in Purchaser’s submition of a Notice of Consummation to FERC in accordance with Ordering Paragraph (8) of the May 18, 2018 FERC FPA Section 203 order issued in Docket No. EC18-61-000 to inform FERC of the consummation of the transactions contemplated hereby within ten days of the Closing.</w:t>
      </w:r>
    </w:p>
    <w:p>
      <w:pPr>
        <w:spacing w:after="0" w:line="165" w:lineRule="exact"/>
        <w:rPr>
          <w:rFonts w:ascii="Arial" w:cs="Arial" w:eastAsia="Arial" w:hAnsi="Arial"/>
          <w:sz w:val="17"/>
          <w:szCs w:val="17"/>
          <w:color w:val="auto"/>
        </w:rPr>
      </w:pPr>
    </w:p>
    <w:p>
      <w:pPr>
        <w:jc w:val="both"/>
        <w:ind w:firstLine="1304"/>
        <w:spacing w:after="0" w:line="273" w:lineRule="auto"/>
        <w:tabs>
          <w:tab w:leader="none" w:pos="22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Prior to the Closing, Seller shall promptly provide Purchaser with a copy of any material filing, order or other document proposed to be delivered to or received from any Governmental Authority or other Person relating to the obtaining of any such Permits, consents, approvals, or Actions of Governmental Authorities and other Persons with respect to Closing. Prior to the Closing, Seller shall in good faith use commercially reasonable efforts to cause its officers, directors, or other Affiliates not to take any action which could reasonably be expected to materially and adversely affect the likelihood of any approval or consent required to consummate the transactions contemplated hereby with respect to the Closing. Subject to </w:t>
      </w:r>
      <w:r>
        <w:rPr>
          <w:rFonts w:ascii="Arial" w:cs="Arial" w:eastAsia="Arial" w:hAnsi="Arial"/>
          <w:sz w:val="17"/>
          <w:szCs w:val="17"/>
          <w:u w:val="single" w:color="auto"/>
          <w:color w:val="auto"/>
        </w:rPr>
        <w:t>Section 5.05(a</w:t>
      </w:r>
      <w:r>
        <w:rPr>
          <w:rFonts w:ascii="Arial" w:cs="Arial" w:eastAsia="Arial" w:hAnsi="Arial"/>
          <w:sz w:val="17"/>
          <w:szCs w:val="17"/>
          <w:color w:val="auto"/>
        </w:rPr>
        <w:t xml:space="preserve">), Seller shall bear its own costs and legal fees contemplated by this </w:t>
      </w:r>
      <w:r>
        <w:rPr>
          <w:rFonts w:ascii="Arial" w:cs="Arial" w:eastAsia="Arial" w:hAnsi="Arial"/>
          <w:sz w:val="17"/>
          <w:szCs w:val="17"/>
          <w:u w:val="single" w:color="auto"/>
          <w:color w:val="auto"/>
        </w:rPr>
        <w:t>Section 5.05</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75" w:lineRule="auto"/>
        <w:rPr>
          <w:sz w:val="20"/>
          <w:szCs w:val="20"/>
          <w:color w:val="auto"/>
        </w:rPr>
      </w:pPr>
      <w:r>
        <w:rPr>
          <w:rFonts w:ascii="Arial" w:cs="Arial" w:eastAsia="Arial" w:hAnsi="Arial"/>
          <w:sz w:val="17"/>
          <w:szCs w:val="17"/>
          <w:color w:val="auto"/>
        </w:rPr>
        <w:t xml:space="preserve">5.06 </w:t>
      </w:r>
      <w:r>
        <w:rPr>
          <w:rFonts w:ascii="Arial" w:cs="Arial" w:eastAsia="Arial" w:hAnsi="Arial"/>
          <w:sz w:val="17"/>
          <w:szCs w:val="17"/>
          <w:u w:val="single" w:color="auto"/>
          <w:color w:val="auto"/>
        </w:rPr>
        <w:t>Fulfillment of Conditions</w:t>
      </w:r>
      <w:r>
        <w:rPr>
          <w:rFonts w:ascii="Arial" w:cs="Arial" w:eastAsia="Arial" w:hAnsi="Arial"/>
          <w:sz w:val="17"/>
          <w:szCs w:val="17"/>
          <w:color w:val="auto"/>
        </w:rPr>
        <w:t xml:space="preserve">. Seller (a) shall take all commercially reasonable steps necessary or desirable, and proceed diligently and in good faith to satisfy each other condition to the obligations of Purchaser contained in this Agreement and (b) shall not, and shall not permit the Company, or any of its other Affiliates to, take or fail to take any action that would reasonably be expected to result in the non-fulfillment of any such condition;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Seller shall not be required to (i) agree to any divesture that would require or compel Seller to dispose of all or any portion of its properties or assets or (ii) accept any operational restrictions or limitations on the business of Seller.</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During the Interim Period, Seller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any third-party consents and all Governmental Approvals required to be obtained by Seller. During the Interim Period, Seller shall cooperate with Purchaser and provide any information regarding Seller necessary to assist Purchaser in making any filings or applications required to be made with any Governmental Authority. Notwithstanding anything to the contrary contained in this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shall not apply.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PURCHASER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Purchaser covenants and agrees with Seller that Purchaser will comply with all covenants and provisions of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made by Purchaser, except to the extent Seller may otherwise consent in writing.</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Regulatory Filings and Approvals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0" w:lineRule="auto"/>
        <w:tabs>
          <w:tab w:leader="none" w:pos="2112"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Purchaser shall cooperate with Seller to prepare, as soon as is practical following the Effective Date, all necessary filings in connection with the transactions contemplated by this Agreement that may be required under the HSR Act or any other federal, state or local laws prior to the Closing Date (except pursuant to Section 203 of the FPA, which is subject to </w:t>
      </w:r>
      <w:r>
        <w:rPr>
          <w:rFonts w:ascii="Arial" w:cs="Arial" w:eastAsia="Arial" w:hAnsi="Arial"/>
          <w:sz w:val="17"/>
          <w:szCs w:val="17"/>
          <w:u w:val="single" w:color="auto"/>
          <w:color w:val="auto"/>
        </w:rPr>
        <w:t>Section 6.01(b</w:t>
      </w:r>
      <w:r>
        <w:rPr>
          <w:rFonts w:ascii="Arial" w:cs="Arial" w:eastAsia="Arial" w:hAnsi="Arial"/>
          <w:sz w:val="17"/>
          <w:szCs w:val="17"/>
          <w:color w:val="auto"/>
        </w:rPr>
        <w:t>) below) and shall use commercially reasonable efforts to obtain as promptly as practicable all approvals from Governmental Authorities and other Persons necessary to consummate the transactions contemplated hereby, including the Purchaser Approvals and Purchaser Consents. Purchaser shall or shall cause its Affiliates, as applicable, to, submit the required filings as soon as practicable, but, with respect to filings under the HSR Act, in no event later than ten (10) Business Days after the Effective Date. Purchaser request expedited treatment of any such filings, and cooperate with Seller in the preparation of such filings in such manner as is reasonably necessary and appropriate. Seller and Purchaser shall share equally any fees associated with the filings under the HSR Act. Purchaser shall consult with Seller and shall agree in good faith with Seller on the timings of such filings.</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20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Purchaser shall or shall cause its Affiliates to take commercially reasonable steps to submit a Notice of Consummation to FERC in accordance with Ordering Paragraph (8) of the May 18, 2018 FERC FPA Section 203 order issued in Docket No. EC18-61-000 to inform FERC of the consummation of the transactions contemplated hereby within ten days of the Closing.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1304"/>
        <w:spacing w:after="0" w:line="273" w:lineRule="auto"/>
        <w:tabs>
          <w:tab w:leader="none" w:pos="23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Prior to the Closing, Purchaser shall promptly provide Seller with a copy of any material filing, order or other document proposed to be delivered to or received from any Governmental Authority or other Person relating to the obtaining of any such Permits, consents, approvals, or Actions of Governmental Authorities and other Persons with respect to the Closing. Prior to the Closing, Purchaser shall in good faith use commercially reasonable efforts to cause its officers, directors, or other Affiliates not to take any action which could reasonably be expected to materially and adversely affect the likelihood of any approval or consent required to consummate the transactions contemplated hereby with respect to the Closing. Subject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Purchaser shall bear its own costs and legal fees contemplated by this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Fulfillment of Conditions</w:t>
      </w:r>
      <w:r>
        <w:rPr>
          <w:rFonts w:ascii="Arial" w:cs="Arial" w:eastAsia="Arial" w:hAnsi="Arial"/>
          <w:sz w:val="18"/>
          <w:szCs w:val="18"/>
          <w:color w:val="auto"/>
        </w:rPr>
        <w:t xml:space="preserve">. Purchaser (a) shall take all commercially reasonable steps necessary or desirable and proceed diligently and in good faith to satisfy each other condition to the obligations of Seller contained in this Agreement, and (b) shall not, and shall not permit any of its Affiliates to, take or fail to take any action that would reasonably be expected to result in the non-fulfillment of any such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Purchaser shall not be required to (i) agree to any divesture that would require or compel Purchaser to dispose of all or any portion of its properties or assets or (ii) accept any operational restrictions or limitations on the business of Purchaser.</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6.03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During the Interim Period, Purchaser shall use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any third-party consents and all Governmental Approvals required to be obtained by Purchaser. During the Interim Period, Purchaser shall cooperate with Seller and provide any information regarding Purchaser necessary to assist Seller in making any filings or applications required to be made with any Governmental Authority. Notwithstanding anything to the contrary contained in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not apply.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Purchaser Parent Guaranty</w:t>
      </w:r>
      <w:r>
        <w:rPr>
          <w:rFonts w:ascii="Arial" w:cs="Arial" w:eastAsia="Arial" w:hAnsi="Arial"/>
          <w:sz w:val="18"/>
          <w:szCs w:val="18"/>
          <w:color w:val="auto"/>
        </w:rPr>
        <w:t>. Purchaser shall concurrently with the execution and delivery of this Agreement, cause to be executed and delivered to Seller the Purchaser Parent Guaranty.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Excluded Assets</w:t>
      </w:r>
      <w:r>
        <w:rPr>
          <w:rFonts w:ascii="Arial" w:cs="Arial" w:eastAsia="Arial" w:hAnsi="Arial"/>
          <w:sz w:val="18"/>
          <w:szCs w:val="18"/>
          <w:color w:val="auto"/>
        </w:rPr>
        <w:t>. The Parties acknowledge that Seller retains right, title and interest in and to the Excluded Assets and the Excluded Assets shall not be transferred to Purchaser. Following the Closing, at such time that AC Holdings receives the Excluded Assets, Purchaser shall promptly, but in more than three (3) Business Days, pay and remit the Excluded Assets to Seller.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OBLIGATIONS OF PURCHASER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obligations of Purchaser hereunder to purchase the Acquired Interests are subject to the fulfillment, at or before the Closing, of each of the following conditions (all or any of which may be waived in whole or in part by Purchaser in its sole discretion):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Bring-Down of Seller’s Representations and Warranties</w:t>
      </w:r>
      <w:r>
        <w:rPr>
          <w:rFonts w:ascii="Arial" w:cs="Arial" w:eastAsia="Arial" w:hAnsi="Arial"/>
          <w:sz w:val="18"/>
          <w:szCs w:val="18"/>
          <w:color w:val="auto"/>
        </w:rPr>
        <w:t>. The representations and warranties made by Seller in this Agreement shall be true and correct in all material respects as of the Closing Date (except for any of such representations and warranties that are qualified by materiality, including by reference to Material Adverse Effect,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right="20" w:firstLine="648"/>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Performance at Closing</w:t>
      </w:r>
      <w:r>
        <w:rPr>
          <w:rFonts w:ascii="Arial" w:cs="Arial" w:eastAsia="Arial" w:hAnsi="Arial"/>
          <w:sz w:val="18"/>
          <w:szCs w:val="18"/>
          <w:color w:val="auto"/>
        </w:rPr>
        <w:t xml:space="preserve">. Seller shall have performed all agreements, covenants and obligations required by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Agreement to be so performed by Seller at the Closing.</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u w:val="single" w:color="auto"/>
          <w:color w:val="auto"/>
        </w:rPr>
        <w:t>Litigation</w:t>
      </w:r>
      <w:r>
        <w:rPr>
          <w:rFonts w:ascii="Arial" w:cs="Arial" w:eastAsia="Arial" w:hAnsi="Arial"/>
          <w:sz w:val="16"/>
          <w:szCs w:val="16"/>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Assignment of Membership Interests</w:t>
      </w:r>
      <w:r>
        <w:rPr>
          <w:rFonts w:ascii="Arial" w:cs="Arial" w:eastAsia="Arial" w:hAnsi="Arial"/>
          <w:sz w:val="18"/>
          <w:szCs w:val="18"/>
          <w:color w:val="auto"/>
        </w:rPr>
        <w:t>. Certificates representing the Acquired Interests, duly endorsed for transfer to Purchaser or accompanied by one or more membership interest powers duly endorsed for transfer to Purchaser shall have been delivered to Purchaser contemporaneously with Closing.</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u w:val="single" w:color="auto"/>
          <w:color w:val="auto"/>
        </w:rPr>
        <w:t>Approvals and Consents</w:t>
      </w:r>
      <w:r>
        <w:rPr>
          <w:rFonts w:ascii="Arial" w:cs="Arial" w:eastAsia="Arial" w:hAnsi="Arial"/>
          <w:sz w:val="16"/>
          <w:szCs w:val="16"/>
          <w:color w:val="auto"/>
        </w:rPr>
        <w:t>. All Seller Approvals and Seller Consents shall have been obtained and shall be in full force and effect.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Seller shall have delivered to Purchaser (a) a certificate, dated the Closing Date and executed by an authorized officer or board member of Seller substantially in the form and to the effect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(b) a certificate, dated the Closing Date and executed by the Secretary of Seller substantially in the form and to the effect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FIRPTA Certificate</w:t>
      </w:r>
      <w:r>
        <w:rPr>
          <w:rFonts w:ascii="Arial" w:cs="Arial" w:eastAsia="Arial" w:hAnsi="Arial"/>
          <w:sz w:val="18"/>
          <w:szCs w:val="18"/>
          <w:color w:val="auto"/>
        </w:rPr>
        <w:t xml:space="preserve">. Seller shall have caused to be delivered a certificate, dated as of the Closing Date and substantially in the form and to the effect of </w:t>
      </w:r>
      <w:r>
        <w:rPr>
          <w:rFonts w:ascii="Arial" w:cs="Arial" w:eastAsia="Arial" w:hAnsi="Arial"/>
          <w:sz w:val="18"/>
          <w:szCs w:val="18"/>
          <w:u w:val="single" w:color="auto"/>
          <w:color w:val="auto"/>
        </w:rPr>
        <w:t>Exhibit E</w:t>
      </w:r>
      <w:r>
        <w:rPr>
          <w:rFonts w:ascii="Arial" w:cs="Arial" w:eastAsia="Arial" w:hAnsi="Arial"/>
          <w:sz w:val="18"/>
          <w:szCs w:val="18"/>
          <w:color w:val="auto"/>
        </w:rPr>
        <w:t>, which satisfies the requirements set forth in Treasury Regulation Section 1.1445-2, attesting that Seller is not a “foreign person” for U.S. federal income tax purposes.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OBLIGATIONS OF SELLER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Seller hereunder to sell the Acquired Interests are subject to the fulfillment, at or before the Closing, of each of the following conditions (all or any of which may be waived in whole or in part by Seller, in its sole discretion).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8.01 </w:t>
      </w:r>
      <w:r>
        <w:rPr>
          <w:rFonts w:ascii="Arial" w:cs="Arial" w:eastAsia="Arial" w:hAnsi="Arial"/>
          <w:sz w:val="17"/>
          <w:szCs w:val="17"/>
          <w:u w:val="single" w:color="auto"/>
          <w:color w:val="auto"/>
        </w:rPr>
        <w:t>Bring-Down of Purchaser’s Representations and Warranties</w:t>
      </w:r>
      <w:r>
        <w:rPr>
          <w:rFonts w:ascii="Arial" w:cs="Arial" w:eastAsia="Arial" w:hAnsi="Arial"/>
          <w:sz w:val="17"/>
          <w:szCs w:val="17"/>
          <w:color w:val="auto"/>
        </w:rPr>
        <w:t xml:space="preserve">. The representations and warranties made by Purchaser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of this Agreement shall be true and correct in all material respects as of the Closing Date (except for any of such representations and warranties that are qualified by materiality which shall be true and correct in all respects) as though such representations and warranties were made on and as of the Closing Date, except to the extent such representations and warranties expressly relate to an earlier date, in which case as of such earlier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Performance at Closing</w:t>
      </w:r>
      <w:r>
        <w:rPr>
          <w:rFonts w:ascii="Arial" w:cs="Arial" w:eastAsia="Arial" w:hAnsi="Arial"/>
          <w:sz w:val="18"/>
          <w:szCs w:val="18"/>
          <w:color w:val="auto"/>
        </w:rPr>
        <w:t xml:space="preserve">. Purchaser shall have performed all agreements, covenants and obligations required by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Agreement to be so performed by Purchaser at the Closing.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Approvals and Consents</w:t>
      </w:r>
      <w:r>
        <w:rPr>
          <w:rFonts w:ascii="Arial" w:cs="Arial" w:eastAsia="Arial" w:hAnsi="Arial"/>
          <w:sz w:val="18"/>
          <w:szCs w:val="18"/>
          <w:color w:val="auto"/>
        </w:rPr>
        <w:t>. All Purchaser Approvals and Purchaser Consents required for the consummation of the transactions contemplated hereby shall have been obtained and shall be in full force and effect.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8.04 </w:t>
      </w:r>
      <w:r>
        <w:rPr>
          <w:rFonts w:ascii="Arial" w:cs="Arial" w:eastAsia="Arial" w:hAnsi="Arial"/>
          <w:sz w:val="16"/>
          <w:szCs w:val="16"/>
          <w:u w:val="single" w:color="auto"/>
          <w:color w:val="auto"/>
        </w:rPr>
        <w:t>Litigation</w:t>
      </w:r>
      <w:r>
        <w:rPr>
          <w:rFonts w:ascii="Arial" w:cs="Arial" w:eastAsia="Arial" w:hAnsi="Arial"/>
          <w:sz w:val="16"/>
          <w:szCs w:val="16"/>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4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 Purchaser shall have delivered to Seller:</w:t>
      </w:r>
    </w:p>
    <w:p>
      <w:pPr>
        <w:spacing w:after="0" w:line="225" w:lineRule="exact"/>
        <w:rPr>
          <w:sz w:val="20"/>
          <w:szCs w:val="20"/>
          <w:color w:val="auto"/>
        </w:rPr>
      </w:pPr>
    </w:p>
    <w:p>
      <w:pPr>
        <w:ind w:firstLine="1304"/>
        <w:spacing w:after="0" w:line="277" w:lineRule="auto"/>
        <w:tabs>
          <w:tab w:leader="none" w:pos="21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 certificate, dated the Closing Date and executed by an authorized officer or board member of Purchaser, substantially in the form and to the effect of </w:t>
      </w:r>
      <w:r>
        <w:rPr>
          <w:rFonts w:ascii="Arial" w:cs="Arial" w:eastAsia="Arial" w:hAnsi="Arial"/>
          <w:sz w:val="18"/>
          <w:szCs w:val="18"/>
          <w:u w:val="single" w:color="auto"/>
          <w:color w:val="auto"/>
        </w:rPr>
        <w:t>Exhibit F</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2100" w:hanging="796"/>
        <w:spacing w:after="0"/>
        <w:tabs>
          <w:tab w:leader="none" w:pos="2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certificate, dated the Closing Date and executed by the Secretary of Purchaser substantially in the form and to the effect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MATTERS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5"/>
          <w:szCs w:val="15"/>
          <w:u w:val="single" w:color="auto"/>
          <w:color w:val="auto"/>
        </w:rPr>
        <w:t>Certain Taxes</w:t>
      </w:r>
      <w:r>
        <w:rPr>
          <w:rFonts w:ascii="Arial" w:cs="Arial" w:eastAsia="Arial" w:hAnsi="Arial"/>
          <w:sz w:val="15"/>
          <w:szCs w:val="15"/>
          <w:color w:val="auto"/>
        </w:rPr>
        <w:t>.</w:t>
      </w:r>
    </w:p>
    <w:p>
      <w:pPr>
        <w:spacing w:after="0" w:line="225" w:lineRule="exact"/>
        <w:rPr>
          <w:sz w:val="20"/>
          <w:szCs w:val="20"/>
          <w:color w:val="auto"/>
        </w:rPr>
      </w:pPr>
    </w:p>
    <w:p>
      <w:pPr>
        <w:ind w:firstLine="1304"/>
        <w:spacing w:after="0" w:line="308" w:lineRule="auto"/>
        <w:tabs>
          <w:tab w:leader="none" w:pos="210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parties agree that the Company will allocate items of income, deduction, gain, loss, and credit for the Company’s taxable year that includes the Closing Date, between Purchaser and Seller based on a closing of the books at the end of the day on the Closing Date.</w:t>
      </w:r>
    </w:p>
    <w:p>
      <w:pPr>
        <w:spacing w:after="0" w:line="146" w:lineRule="exact"/>
        <w:rPr>
          <w:rFonts w:ascii="Arial" w:cs="Arial" w:eastAsia="Arial" w:hAnsi="Arial"/>
          <w:sz w:val="17"/>
          <w:szCs w:val="17"/>
          <w:color w:val="auto"/>
        </w:rPr>
      </w:pPr>
    </w:p>
    <w:p>
      <w:pPr>
        <w:jc w:val="both"/>
        <w:ind w:firstLine="1304"/>
        <w:spacing w:after="0" w:line="275" w:lineRule="auto"/>
        <w:tabs>
          <w:tab w:leader="none" w:pos="20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Seller shall timely prepare and file with the appropriate authorities all Tax Returns required to be filed by the Company with respect to any Tax periods ending on or before the Closing. Such Tax Returns shall be prepared in a manner consistent with past practice to the extent consistent with applicable law. No later than thirty (30) days before the due date of such Tax Returns (or the date of filing, if earlier), Seller shall provide a copy of such Tax Returns to Purchaser for Purchaser’s review and comment. On and after the Closing Date, Purchaser shall timely prepare and file with the appropriate authorities all other Tax Returns required to be filed by the Company.</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20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Seller and Purchaser shall reasonably cooperate, and shall cause their respective Affiliates, employees and agents reasonably to cooperate, in preparing and filing all Tax Returns of the Company, including maintaining and making available to each other all records that are necessary for the preparation of any Tax Returns that the Party is required to file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and in resolving all disputes and audits with respect to such Returns.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304"/>
        <w:spacing w:after="0" w:line="296" w:lineRule="auto"/>
        <w:tabs>
          <w:tab w:leader="none" w:pos="22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sales, use transfer, controlling interest transfer, recording, stock transfer, real property transfer, value-added and other similar Taxes and fees (“</w:t>
      </w:r>
      <w:r>
        <w:rPr>
          <w:rFonts w:ascii="Arial" w:cs="Arial" w:eastAsia="Arial" w:hAnsi="Arial"/>
          <w:sz w:val="16"/>
          <w:szCs w:val="16"/>
          <w:u w:val="single" w:color="auto"/>
          <w:color w:val="auto"/>
        </w:rPr>
        <w:t>Transfer Taxes</w:t>
      </w:r>
      <w:r>
        <w:rPr>
          <w:rFonts w:ascii="Arial" w:cs="Arial" w:eastAsia="Arial" w:hAnsi="Arial"/>
          <w:sz w:val="16"/>
          <w:szCs w:val="16"/>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SURVIVAL</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Survival of Representations, Warranties, Covenants and Agreements</w:t>
      </w:r>
      <w:r>
        <w:rPr>
          <w:rFonts w:ascii="Arial" w:cs="Arial" w:eastAsia="Arial" w:hAnsi="Arial"/>
          <w:sz w:val="18"/>
          <w:szCs w:val="18"/>
          <w:color w:val="auto"/>
        </w:rPr>
        <w:t xml:space="preserve">. The representations, warranties, covenants, agreements and obligations of Seller and Purchaser contained in this Agreement are material, were relied on by such Parties, and will survive the Closing Date as provided in </w:t>
      </w:r>
      <w:r>
        <w:rPr>
          <w:rFonts w:ascii="Arial" w:cs="Arial" w:eastAsia="Arial" w:hAnsi="Arial"/>
          <w:sz w:val="18"/>
          <w:szCs w:val="18"/>
          <w:u w:val="single" w:color="auto"/>
          <w:color w:val="auto"/>
        </w:rPr>
        <w:t>Section 11.03</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Indemnification by Seller</w:t>
      </w:r>
      <w:r>
        <w:rPr>
          <w:rFonts w:ascii="Arial" w:cs="Arial" w:eastAsia="Arial" w:hAnsi="Arial"/>
          <w:sz w:val="17"/>
          <w:szCs w:val="17"/>
          <w:color w:val="auto"/>
        </w:rPr>
        <w:t xml:space="preserve">.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any breach of any representation, warranty, covenant, agreement or obligation made by Seller in this Agreement or any certificate delivered by Seller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indemnities shall not apply to Losses caused by the gross negligence or willful misconduct of Purchaser or its agents, officers, employees or contractors.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11.02 </w:t>
      </w:r>
      <w:r>
        <w:rPr>
          <w:rFonts w:ascii="Arial" w:cs="Arial" w:eastAsia="Arial" w:hAnsi="Arial"/>
          <w:sz w:val="17"/>
          <w:szCs w:val="17"/>
          <w:u w:val="single" w:color="auto"/>
          <w:color w:val="auto"/>
        </w:rPr>
        <w:t>Indemnification by Purchaser</w:t>
      </w:r>
      <w:r>
        <w:rPr>
          <w:rFonts w:ascii="Arial" w:cs="Arial" w:eastAsia="Arial" w:hAnsi="Arial"/>
          <w:sz w:val="17"/>
          <w:szCs w:val="17"/>
          <w:color w:val="auto"/>
        </w:rPr>
        <w:t xml:space="preserve">.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indemnity shall not apply to Losses to the extent caused by the gross negligence or willful misconduct of Seller or its agents, officers, employees or contractors.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Period for Making Claims</w:t>
      </w:r>
      <w:r>
        <w:rPr>
          <w:rFonts w:ascii="Arial" w:cs="Arial" w:eastAsia="Arial" w:hAnsi="Arial"/>
          <w:sz w:val="18"/>
          <w:szCs w:val="18"/>
          <w:color w:val="auto"/>
        </w:rPr>
        <w:t xml:space="preserve">. No claim under this Agreement (except as provided below) may be made unless such Party shall have delivered, with respect to any claim for breach of any representation, warranty, covenant, agreement or obligation made in this Agreement, a written notice of claim prior to the date falling twelve (12) months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representations and warranties contained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(Existence),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Section 3.09(a)-(b)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(Existence),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(Authority) and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(Brokers) shall survive the Closing for five (5) years following the Closing Date, (ii) the representations and warranties contained in </w:t>
      </w:r>
      <w:r>
        <w:rPr>
          <w:rFonts w:ascii="Arial" w:cs="Arial" w:eastAsia="Arial" w:hAnsi="Arial"/>
          <w:sz w:val="18"/>
          <w:szCs w:val="18"/>
          <w:u w:val="single" w:color="auto"/>
          <w:color w:val="auto"/>
        </w:rPr>
        <w:t>Section 3.11(a)-(g)</w:t>
      </w:r>
      <w:r>
        <w:rPr>
          <w:rFonts w:ascii="Arial" w:cs="Arial" w:eastAsia="Arial" w:hAnsi="Arial"/>
          <w:sz w:val="18"/>
          <w:szCs w:val="18"/>
          <w:color w:val="auto"/>
        </w:rPr>
        <w:t xml:space="preserve"> shall survive until thirty (30) days after the expiration of the applicable Tax statute of limitations, and (iii) the covenants, agreements and obligations in this Agreement to be performed shall survive until the date on which they have been fully performed;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written notice for a claim of indemnification has been provided by the Indemnified Party pursuant to </w:t>
      </w:r>
      <w:r>
        <w:rPr>
          <w:rFonts w:ascii="Arial" w:cs="Arial" w:eastAsia="Arial" w:hAnsi="Arial"/>
          <w:sz w:val="18"/>
          <w:szCs w:val="18"/>
          <w:u w:val="single" w:color="auto"/>
          <w:color w:val="auto"/>
        </w:rPr>
        <w:t>Section 11.05(a)</w:t>
      </w:r>
      <w:r>
        <w:rPr>
          <w:rFonts w:ascii="Arial" w:cs="Arial" w:eastAsia="Arial" w:hAnsi="Arial"/>
          <w:sz w:val="18"/>
          <w:szCs w:val="18"/>
          <w:color w:val="auto"/>
        </w:rPr>
        <w:t xml:space="preserve"> on or prior to the applicable survival expiration date, then the obligation of the Indemnifying Party to indemnify the Indemnified Party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survive with respect to such claim until such claim is finally resolved.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660"/>
        <w:spacing w:after="0"/>
        <w:tabs>
          <w:tab w:leader="none" w:pos="134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Limitations on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22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Neither Party shall have any obligation to indemnify the other Indemnified Party until the aggregate amount of all Losses incurred by such Party that are subject to indemnification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equals or exceeds two percent (2%) of the Purchase Price (the “</w:t>
      </w:r>
      <w:r>
        <w:rPr>
          <w:rFonts w:ascii="Arial" w:cs="Arial" w:eastAsia="Arial" w:hAnsi="Arial"/>
          <w:sz w:val="17"/>
          <w:szCs w:val="17"/>
          <w:u w:val="single" w:color="auto"/>
          <w:color w:val="auto"/>
        </w:rPr>
        <w:t>Deductible</w:t>
      </w:r>
      <w:r>
        <w:rPr>
          <w:rFonts w:ascii="Arial" w:cs="Arial" w:eastAsia="Arial" w:hAnsi="Arial"/>
          <w:sz w:val="17"/>
          <w:szCs w:val="17"/>
          <w:color w:val="auto"/>
        </w:rPr>
        <w:t xml:space="preserve">”) in which event the Indemnifying Party shall be liable for Losses only to the extent they are in excess of the Deductible;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Deductible shall not apply to Losses resulting from, arising out of or relating to (i) any willful breach of any representation or warranty, or (ii) fraud.</w:t>
      </w:r>
    </w:p>
    <w:p>
      <w:pPr>
        <w:spacing w:after="0" w:line="171" w:lineRule="exact"/>
        <w:rPr>
          <w:rFonts w:ascii="Arial" w:cs="Arial" w:eastAsia="Arial" w:hAnsi="Arial"/>
          <w:sz w:val="17"/>
          <w:szCs w:val="17"/>
          <w:color w:val="auto"/>
        </w:rPr>
      </w:pPr>
    </w:p>
    <w:p>
      <w:pPr>
        <w:ind w:right="20" w:firstLine="1304"/>
        <w:spacing w:after="0" w:line="308" w:lineRule="auto"/>
        <w:tabs>
          <w:tab w:leader="none" w:pos="20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Neither Party shall have any obligation to indemnify the other Indemnified Party in connection with any single item or group of related items that result in Losses that are subject to indemnification in the aggregate of less than One Hundred Thousand Dollars ($100,000).</w:t>
      </w:r>
    </w:p>
    <w:p>
      <w:pPr>
        <w:spacing w:after="0" w:line="146" w:lineRule="exact"/>
        <w:rPr>
          <w:rFonts w:ascii="Arial" w:cs="Arial" w:eastAsia="Arial" w:hAnsi="Arial"/>
          <w:sz w:val="17"/>
          <w:szCs w:val="17"/>
          <w:color w:val="auto"/>
        </w:rPr>
      </w:pPr>
    </w:p>
    <w:p>
      <w:pPr>
        <w:jc w:val="both"/>
        <w:ind w:firstLine="1304"/>
        <w:spacing w:after="0" w:line="257" w:lineRule="auto"/>
        <w:tabs>
          <w:tab w:leader="none" w:pos="22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11.04(d)</w:t>
      </w:r>
      <w:r>
        <w:rPr>
          <w:rFonts w:ascii="Arial" w:cs="Arial" w:eastAsia="Arial" w:hAnsi="Arial"/>
          <w:sz w:val="18"/>
          <w:szCs w:val="18"/>
          <w:color w:val="auto"/>
        </w:rPr>
        <w:t xml:space="preserve">, the aggregate liability of the Indemnifying Parties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resulting from breaches of representations or warranties herein and in any certificates delivered pursuant hereto shall be limited to an amount equal to twelve and one half percent (12.5%) of the Purchase Price (the “</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Cap shall not apply to Losses resulting from, arising out of or relating to (i) any willful breach of any representation or warranty or (ii) fraud;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Cap shall not apply to Purchaser’s payment obligation under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91" w:lineRule="auto"/>
        <w:tabs>
          <w:tab w:leader="none" w:pos="2257"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amount of any claim pursuant to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payment shall not exceed the amount of the indemnity payment.</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11.05</w:t>
      </w:r>
      <w:r>
        <w:rPr>
          <w:sz w:val="20"/>
          <w:szCs w:val="20"/>
          <w:color w:val="auto"/>
        </w:rPr>
        <w:tab/>
      </w:r>
      <w:r>
        <w:rPr>
          <w:rFonts w:ascii="Arial" w:cs="Arial" w:eastAsia="Arial" w:hAnsi="Arial"/>
          <w:sz w:val="16"/>
          <w:szCs w:val="16"/>
          <w:u w:val="single" w:color="auto"/>
          <w:color w:val="auto"/>
        </w:rPr>
        <w:t>Procedure for Indemnification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2116"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Whenever any claim by a third party shall arise for indemnification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right="20" w:firstLine="1304"/>
        <w:spacing w:after="0" w:line="286" w:lineRule="auto"/>
        <w:tabs>
          <w:tab w:leader="none" w:pos="2095"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Settlement of Losses</w:t>
      </w:r>
      <w:r>
        <w:rPr>
          <w:rFonts w:ascii="Arial" w:cs="Arial" w:eastAsia="Arial" w:hAnsi="Arial"/>
          <w:sz w:val="17"/>
          <w:szCs w:val="17"/>
          <w:color w:val="auto"/>
        </w:rPr>
        <w:t xml:space="preserve">. If the Indemnified Party has assumed the defense of any claim by a third party which may give rise to indemnity hereunder pursuant to </w:t>
      </w:r>
      <w:r>
        <w:rPr>
          <w:rFonts w:ascii="Arial" w:cs="Arial" w:eastAsia="Arial" w:hAnsi="Arial"/>
          <w:sz w:val="17"/>
          <w:szCs w:val="17"/>
          <w:u w:val="single" w:color="auto"/>
          <w:color w:val="auto"/>
        </w:rPr>
        <w:t>Section 11.06(d)</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6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6"/>
          <w:szCs w:val="16"/>
          <w:u w:val="single" w:color="auto"/>
          <w:color w:val="auto"/>
        </w:rPr>
        <w:t>Rights of Indemnifying Party in the Defense of 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11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Right to Assume the Defense</w:t>
      </w:r>
      <w:r>
        <w:rPr>
          <w:rFonts w:ascii="Arial" w:cs="Arial" w:eastAsia="Arial" w:hAnsi="Arial"/>
          <w:sz w:val="18"/>
          <w:szCs w:val="18"/>
          <w:color w:val="auto"/>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86" w:lineRule="exact"/>
        <w:rPr>
          <w:rFonts w:ascii="Arial" w:cs="Arial" w:eastAsia="Arial" w:hAnsi="Arial"/>
          <w:sz w:val="18"/>
          <w:szCs w:val="18"/>
          <w:color w:val="auto"/>
        </w:rPr>
      </w:pPr>
    </w:p>
    <w:p>
      <w:pPr>
        <w:jc w:val="both"/>
        <w:ind w:firstLine="1304"/>
        <w:spacing w:after="0" w:line="291" w:lineRule="auto"/>
        <w:tabs>
          <w:tab w:leader="none" w:pos="212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If the Indemnifying Party assumes the defense of any such claim, the Indemnifying Party shall (i) select counsel reasonably acceptable to the Indemnified Party to conduct the defense of such claim and (ii) take all steps necessary in the defense or settlement thereof, at its sole cost and expense. The Indemnified Party shall be entitled to participate in (but not control) the defense of any such claim, with its own counsel and at its sole cost and expense;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213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Settlement of Losses</w:t>
      </w:r>
      <w:r>
        <w:rPr>
          <w:rFonts w:ascii="Arial" w:cs="Arial" w:eastAsia="Arial" w:hAnsi="Arial"/>
          <w:sz w:val="18"/>
          <w:szCs w:val="18"/>
          <w:color w:val="auto"/>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204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Decline to Assume the Defense</w:t>
      </w:r>
      <w:r>
        <w:rPr>
          <w:rFonts w:ascii="Arial" w:cs="Arial" w:eastAsia="Arial" w:hAnsi="Arial"/>
          <w:sz w:val="18"/>
          <w:szCs w:val="18"/>
          <w:color w:val="auto"/>
        </w:rPr>
        <w:t>. The Indemnified Party may defend against any such claim, at the sole cost and expense of the Indemnifying Party, in such manner as it may deem reasonably appropriate, including settling such claim in accordance with the terms hereof if (i) the Indemnifying Party does not assume the defense of any such claim resulting therefrom within thirty (30) days after the date the Indemnifying Party is notified of such claim by the Indemnified Party or (ii) the Indemnified Party reasonably concludes that the Indemnifying Party is (a) not diligently defending the Indemnified Person, (b) not contesting such claim in good faith through appropriate proceedings or (c) has not taken such action (including the posting of a bond, deposit or other security) as may be necessary to prevent any action to foreclose a Lien against or attachment of any asset or property of the Indemnified Party for payment of such claim.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648"/>
        <w:spacing w:after="0" w:line="270" w:lineRule="auto"/>
        <w:rPr>
          <w:sz w:val="20"/>
          <w:szCs w:val="20"/>
          <w:color w:val="auto"/>
        </w:rPr>
      </w:pPr>
      <w:r>
        <w:rPr>
          <w:rFonts w:ascii="Arial" w:cs="Arial" w:eastAsia="Arial" w:hAnsi="Arial"/>
          <w:sz w:val="17"/>
          <w:szCs w:val="17"/>
          <w:color w:val="auto"/>
        </w:rPr>
        <w:t xml:space="preserve">11.07 </w:t>
      </w:r>
      <w:r>
        <w:rPr>
          <w:rFonts w:ascii="Arial" w:cs="Arial" w:eastAsia="Arial" w:hAnsi="Arial"/>
          <w:sz w:val="17"/>
          <w:szCs w:val="17"/>
          <w:u w:val="single" w:color="auto"/>
          <w:color w:val="auto"/>
        </w:rPr>
        <w:t>Direct Claims</w:t>
      </w:r>
      <w:r>
        <w:rPr>
          <w:rFonts w:ascii="Arial" w:cs="Arial" w:eastAsia="Arial" w:hAnsi="Arial"/>
          <w:sz w:val="17"/>
          <w:szCs w:val="17"/>
          <w:color w:val="auto"/>
        </w:rPr>
        <w:t xml:space="preserve">.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however if the Indemnifying Party does notify the Indemnified Party that it disputes such claim within the require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against the Indemnifying Party.</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11.08 </w:t>
      </w:r>
      <w:r>
        <w:rPr>
          <w:rFonts w:ascii="Arial" w:cs="Arial" w:eastAsia="Arial" w:hAnsi="Arial"/>
          <w:sz w:val="16"/>
          <w:szCs w:val="16"/>
          <w:u w:val="single" w:color="auto"/>
          <w:color w:val="auto"/>
        </w:rPr>
        <w:t>Exclusive Remedy</w:t>
      </w:r>
      <w:r>
        <w:rPr>
          <w:rFonts w:ascii="Arial" w:cs="Arial" w:eastAsia="Arial" w:hAnsi="Arial"/>
          <w:sz w:val="16"/>
          <w:szCs w:val="16"/>
          <w:color w:val="auto"/>
        </w:rPr>
        <w:t xml:space="preserve">. Absent fraud or willful breach, the indemnities set forth in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shall be the exclusive remedies of Purchaser 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Indemnity Treatment</w:t>
      </w:r>
      <w:r>
        <w:rPr>
          <w:rFonts w:ascii="Arial" w:cs="Arial" w:eastAsia="Arial" w:hAnsi="Arial"/>
          <w:sz w:val="18"/>
          <w:szCs w:val="18"/>
          <w:color w:val="auto"/>
        </w:rPr>
        <w:t xml:space="preserve">. Any amount of indemnification payable pursuant to the provisions of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to the extent possible, be treated as an adjustment to the Purchase Price.</w:t>
      </w:r>
    </w:p>
    <w:p>
      <w:pPr>
        <w:spacing w:after="0" w:line="17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7"/>
          <w:szCs w:val="17"/>
          <w:u w:val="single" w:color="auto"/>
          <w:color w:val="auto"/>
        </w:rPr>
        <w:t>Mitigation</w:t>
      </w:r>
      <w:r>
        <w:rPr>
          <w:rFonts w:ascii="Arial" w:cs="Arial" w:eastAsia="Arial" w:hAnsi="Arial"/>
          <w:sz w:val="17"/>
          <w:szCs w:val="17"/>
          <w:color w:val="auto"/>
        </w:rPr>
        <w:t>.</w:t>
      </w:r>
    </w:p>
    <w:p>
      <w:pPr>
        <w:spacing w:after="0" w:line="225" w:lineRule="exact"/>
        <w:rPr>
          <w:sz w:val="20"/>
          <w:szCs w:val="20"/>
          <w:color w:val="auto"/>
        </w:rPr>
      </w:pPr>
    </w:p>
    <w:p>
      <w:pPr>
        <w:ind w:firstLine="1304"/>
        <w:spacing w:after="0" w:line="308" w:lineRule="auto"/>
        <w:tabs>
          <w:tab w:leader="none" w:pos="23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46" w:lineRule="exact"/>
        <w:rPr>
          <w:rFonts w:ascii="Arial" w:cs="Arial" w:eastAsia="Arial" w:hAnsi="Arial"/>
          <w:sz w:val="17"/>
          <w:szCs w:val="17"/>
          <w:color w:val="auto"/>
        </w:rPr>
      </w:pPr>
    </w:p>
    <w:p>
      <w:pPr>
        <w:jc w:val="both"/>
        <w:ind w:firstLine="1304"/>
        <w:spacing w:after="0" w:line="311" w:lineRule="auto"/>
        <w:tabs>
          <w:tab w:leader="none" w:pos="2014"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Upon making any payment to the Indemnified Party for any indemnification claim pursuant to this </w:t>
      </w:r>
      <w:r>
        <w:rPr>
          <w:rFonts w:ascii="Arial" w:cs="Arial" w:eastAsia="Arial" w:hAnsi="Arial"/>
          <w:sz w:val="16"/>
          <w:szCs w:val="16"/>
          <w:u w:val="single" w:color="auto"/>
          <w:color w:val="auto"/>
        </w:rPr>
        <w:t>Article 11</w:t>
      </w:r>
      <w:r>
        <w:rPr>
          <w:rFonts w:ascii="Arial" w:cs="Arial" w:eastAsia="Arial" w:hAnsi="Arial"/>
          <w:sz w:val="16"/>
          <w:szCs w:val="16"/>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No Solicitation</w:t>
      </w:r>
      <w:r>
        <w:rPr>
          <w:rFonts w:ascii="Arial" w:cs="Arial" w:eastAsia="Arial" w:hAnsi="Arial"/>
          <w:sz w:val="17"/>
          <w:szCs w:val="17"/>
          <w:color w:val="auto"/>
        </w:rPr>
        <w:t>. Seller shall not, and shall not authorize or permit the Company, any of its Affiliates or any of its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Seller shall immediately cease and cause to be terminated, and shall cause the Company, any of its Affiliates and all of its Representatives to immediately cease and cause to be terminated, all existing discussions or negotiations with any Persons conducted heretofore with respect to, or that could lead to, an Acquisition Proposal. For purposes hereof, “</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shall mean any inquiry, proposal or offer from any Person concerning (a) a merger, consolidation, liquidation, recapitalization, share exchange or other business combination transaction involving the Company; (b) the issuance or acquisition of equity securities of the Company; or (c) the sale, lease, exchange or other disposition of any significant portion of the Company’s properties or assets.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12.01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at any time prior to Closing as follows:</w:t>
      </w:r>
    </w:p>
    <w:p>
      <w:pPr>
        <w:spacing w:after="0" w:line="225" w:lineRule="exact"/>
        <w:rPr>
          <w:sz w:val="20"/>
          <w:szCs w:val="20"/>
          <w:color w:val="auto"/>
        </w:rPr>
      </w:pPr>
    </w:p>
    <w:p>
      <w:pPr>
        <w:ind w:left="2040" w:hanging="736"/>
        <w:spacing w:after="0"/>
        <w:tabs>
          <w:tab w:leader="none" w:pos="2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mutual written consent of the Purchaser and the Seller;</w:t>
      </w:r>
    </w:p>
    <w:p>
      <w:pPr>
        <w:spacing w:after="0" w:line="225" w:lineRule="exact"/>
        <w:rPr>
          <w:rFonts w:ascii="Arial" w:cs="Arial" w:eastAsia="Arial" w:hAnsi="Arial"/>
          <w:sz w:val="18"/>
          <w:szCs w:val="18"/>
          <w:color w:val="auto"/>
        </w:rPr>
      </w:pPr>
    </w:p>
    <w:p>
      <w:pPr>
        <w:ind w:firstLine="1304"/>
        <w:spacing w:after="0" w:line="308" w:lineRule="auto"/>
        <w:tabs>
          <w:tab w:leader="none" w:pos="2082" w:val="left"/>
        </w:tabs>
        <w:numPr>
          <w:ilvl w:val="0"/>
          <w:numId w:val="28"/>
        </w:numPr>
        <w:rPr>
          <w:rFonts w:ascii="Arial" w:cs="Arial" w:eastAsia="Arial" w:hAnsi="Arial"/>
          <w:sz w:val="17"/>
          <w:szCs w:val="17"/>
          <w:color w:val="auto"/>
        </w:rPr>
      </w:pPr>
      <w:r>
        <w:rPr>
          <w:rFonts w:ascii="Arial" w:cs="Arial" w:eastAsia="Arial" w:hAnsi="Arial"/>
          <w:sz w:val="17"/>
          <w:szCs w:val="17"/>
          <w:color w:val="auto"/>
        </w:rPr>
        <w:t>by either Seller or Purchaser if the Closing has not occurred on or before one hundred eighty (180) days after the date of this Agreement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and the failure to consummate is not caused by a breach of this Agreement by the terminating party;</w:t>
      </w:r>
    </w:p>
    <w:p>
      <w:pPr>
        <w:spacing w:after="0" w:line="146" w:lineRule="exact"/>
        <w:rPr>
          <w:rFonts w:ascii="Arial" w:cs="Arial" w:eastAsia="Arial" w:hAnsi="Arial"/>
          <w:sz w:val="17"/>
          <w:szCs w:val="17"/>
          <w:color w:val="auto"/>
        </w:rPr>
      </w:pPr>
    </w:p>
    <w:p>
      <w:pPr>
        <w:jc w:val="both"/>
        <w:ind w:firstLine="1304"/>
        <w:spacing w:after="0" w:line="257" w:lineRule="auto"/>
        <w:tabs>
          <w:tab w:leader="none" w:pos="2197"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by Purchaser if there has been a breach by Seller of any representation, warranty, covenant or agreement contained in this Agreement which (i) would result in a failure of a condition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and (ii) either (x) is a breach of Seller’s obligations to transfer the Acquired Interests at Closing in accordance with this Agreement or (y) such breach has not been cured within 30 days following written notification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the end of such 30 day period, Seller is endeavoring in good faith, and proceeding diligently, to cure such breach, Seller shall have an additional 30 days in which to effect such cure; and</w:t>
      </w:r>
    </w:p>
    <w:p>
      <w:pPr>
        <w:spacing w:after="0" w:line="187" w:lineRule="exact"/>
        <w:rPr>
          <w:rFonts w:ascii="Arial" w:cs="Arial" w:eastAsia="Arial" w:hAnsi="Arial"/>
          <w:sz w:val="18"/>
          <w:szCs w:val="18"/>
          <w:color w:val="auto"/>
        </w:rPr>
      </w:pPr>
    </w:p>
    <w:p>
      <w:pPr>
        <w:jc w:val="both"/>
        <w:ind w:firstLine="1304"/>
        <w:spacing w:after="0" w:line="279" w:lineRule="auto"/>
        <w:tabs>
          <w:tab w:leader="none" w:pos="21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by Seller if there has been a breach by Purchaser of any representation, warranty, covenant or agreement contained in this Agreement which (i) would result in a failure of a condition set forth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8.02</w:t>
      </w:r>
      <w:r>
        <w:rPr>
          <w:rFonts w:ascii="Arial" w:cs="Arial" w:eastAsia="Arial" w:hAnsi="Arial"/>
          <w:sz w:val="17"/>
          <w:szCs w:val="17"/>
          <w:color w:val="auto"/>
        </w:rPr>
        <w:t xml:space="preserve">, and (ii) such breach has not been cured within 30 days following written notification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end of such 30 day period, Purchaser is endeavoring in good faith, and proceeding diligently, to cure such breach, Purchaser shall have an additional 30 days in which to effect such cure.</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12.02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5" w:lineRule="auto"/>
        <w:tabs>
          <w:tab w:leader="none" w:pos="212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If this Agreement is validly terminated pursuant to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this Agreement will forthwith become null and void, and there will be no liability or obligation on the part of either Seller or Purchaser (or any of their respective Representatives or Affiliates) in respect of this Agreement, except that the applicable portions of </w:t>
      </w:r>
      <w:r>
        <w:rPr>
          <w:rFonts w:ascii="Arial" w:cs="Arial" w:eastAsia="Arial" w:hAnsi="Arial"/>
          <w:sz w:val="17"/>
          <w:szCs w:val="17"/>
          <w:u w:val="single" w:color="auto"/>
          <w:color w:val="auto"/>
        </w:rPr>
        <w:t>Article 1</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and the entirety of </w:t>
      </w:r>
      <w:r>
        <w:rPr>
          <w:rFonts w:ascii="Arial" w:cs="Arial" w:eastAsia="Arial" w:hAnsi="Arial"/>
          <w:sz w:val="17"/>
          <w:szCs w:val="17"/>
          <w:u w:val="single" w:color="auto"/>
          <w:color w:val="auto"/>
        </w:rPr>
        <w:t>Articles 11</w:t>
      </w:r>
      <w:r>
        <w:rPr>
          <w:rFonts w:ascii="Arial" w:cs="Arial" w:eastAsia="Arial" w:hAnsi="Arial"/>
          <w:sz w:val="17"/>
          <w:szCs w:val="17"/>
          <w:color w:val="auto"/>
        </w:rPr>
        <w:t xml:space="preserve"> (except for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will continue to apply following any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shall release any Party from liability for any breach of this Agreement by such Party prior to the termination of this Agreement (and any attempted termination by the breaching Party shall be void).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304"/>
        <w:spacing w:after="0" w:line="257" w:lineRule="auto"/>
        <w:tabs>
          <w:tab w:leader="none" w:pos="2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Upon termination of this Agreement by Purchaser or Seller for any reason, Purchaser shall return all documents and other materials of Seller relating to the Company, the assets or properties of the Company and the transactions contemplated hereby. Each Party shall also return to the other Party any information relating to the Parties to this Agreement furnished by one Party to the other, whether obtained before or after the execution of this Agreement. All information received by Purchaser with respect to the Company, the assets of the Company, or Seller shall remain subject to the provisions of </w:t>
      </w:r>
      <w:r>
        <w:rPr>
          <w:rFonts w:ascii="Arial" w:cs="Arial" w:eastAsia="Arial" w:hAnsi="Arial"/>
          <w:sz w:val="18"/>
          <w:szCs w:val="18"/>
          <w:u w:val="single" w:color="auto"/>
          <w:color w:val="auto"/>
        </w:rPr>
        <w:t>Section 13.06</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hereunder must be in writing and will be deemed to have been duly given only if delivered personally, by facsimile transmission, by reputable national overnight courier service or by registered or certified mail (postage prepaid) to the Parties at the following addresses or facsimile numbers, as applicable: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jc w:val="center"/>
              <w:ind w:left="1050"/>
              <w:spacing w:after="0"/>
              <w:rPr>
                <w:sz w:val="20"/>
                <w:szCs w:val="20"/>
                <w:color w:val="auto"/>
              </w:rPr>
            </w:pPr>
            <w:r>
              <w:rPr>
                <w:rFonts w:ascii="Arial" w:cs="Arial" w:eastAsia="Arial" w:hAnsi="Arial"/>
                <w:sz w:val="18"/>
                <w:szCs w:val="18"/>
                <w:color w:val="auto"/>
                <w:w w:val="89"/>
              </w:rPr>
              <w:t>If to Purchaser, to:</w:t>
            </w:r>
          </w:p>
        </w:tc>
        <w:tc>
          <w:tcPr>
            <w:tcW w:w="6740" w:type="dxa"/>
            <w:vAlign w:val="bottom"/>
          </w:tcPr>
          <w:p>
            <w:pPr>
              <w:ind w:left="1120"/>
              <w:spacing w:after="0"/>
              <w:rPr>
                <w:sz w:val="20"/>
                <w:szCs w:val="20"/>
                <w:color w:val="auto"/>
              </w:rPr>
            </w:pPr>
            <w:r>
              <w:rPr>
                <w:rFonts w:ascii="Arial" w:cs="Arial" w:eastAsia="Arial" w:hAnsi="Arial"/>
                <w:sz w:val="18"/>
                <w:szCs w:val="18"/>
                <w:color w:val="auto"/>
              </w:rPr>
              <w:t>Clearway AC Solar Holdings LLC</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c/o Clearway Energy, Inc.</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300 Carnegie Center Blvd, Suite 300</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Princeton, NJ 08540</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Attn: General Counsel</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Fax: (609) 524-4589</w:t>
            </w:r>
          </w:p>
        </w:tc>
      </w:tr>
      <w:tr>
        <w:trPr>
          <w:trHeight w:val="230"/>
        </w:trPr>
        <w:tc>
          <w:tcPr>
            <w:tcW w:w="4500" w:type="dxa"/>
            <w:vAlign w:val="bottom"/>
          </w:tcPr>
          <w:p>
            <w:pPr>
              <w:spacing w:after="0"/>
              <w:rPr>
                <w:sz w:val="20"/>
                <w:szCs w:val="20"/>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Email: ogc@clearwayenergy.com</w:t>
            </w:r>
          </w:p>
        </w:tc>
      </w:tr>
      <w:tr>
        <w:trPr>
          <w:trHeight w:val="418"/>
        </w:trPr>
        <w:tc>
          <w:tcPr>
            <w:tcW w:w="4500" w:type="dxa"/>
            <w:vAlign w:val="bottom"/>
          </w:tcPr>
          <w:p>
            <w:pPr>
              <w:jc w:val="center"/>
              <w:ind w:left="1050"/>
              <w:spacing w:after="0"/>
              <w:rPr>
                <w:sz w:val="20"/>
                <w:szCs w:val="20"/>
                <w:color w:val="auto"/>
              </w:rPr>
            </w:pPr>
            <w:r>
              <w:rPr>
                <w:rFonts w:ascii="Arial" w:cs="Arial" w:eastAsia="Arial" w:hAnsi="Arial"/>
                <w:sz w:val="18"/>
                <w:szCs w:val="18"/>
                <w:color w:val="auto"/>
                <w:w w:val="93"/>
              </w:rPr>
              <w:t>If to Seller, to:</w:t>
            </w:r>
          </w:p>
        </w:tc>
        <w:tc>
          <w:tcPr>
            <w:tcW w:w="6740" w:type="dxa"/>
            <w:vAlign w:val="bottom"/>
          </w:tcPr>
          <w:p>
            <w:pPr>
              <w:ind w:left="1120"/>
              <w:spacing w:after="0"/>
              <w:rPr>
                <w:sz w:val="20"/>
                <w:szCs w:val="20"/>
                <w:color w:val="auto"/>
              </w:rPr>
            </w:pPr>
            <w:r>
              <w:rPr>
                <w:rFonts w:ascii="Arial" w:cs="Arial" w:eastAsia="Arial" w:hAnsi="Arial"/>
                <w:sz w:val="18"/>
                <w:szCs w:val="18"/>
                <w:color w:val="auto"/>
              </w:rPr>
              <w:t>NRG Solar Sunrise LLC</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c/o NRG Energy, Inc.</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804 Carnegie Center Drive</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Princeton, NJ 08540</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Attn: General Counsel</w:t>
            </w:r>
          </w:p>
        </w:tc>
      </w:tr>
      <w:tr>
        <w:trPr>
          <w:trHeight w:val="230"/>
        </w:trPr>
        <w:tc>
          <w:tcPr>
            <w:tcW w:w="4500" w:type="dxa"/>
            <w:vAlign w:val="bottom"/>
          </w:tcPr>
          <w:p>
            <w:pPr>
              <w:spacing w:after="0"/>
              <w:rPr>
                <w:sz w:val="20"/>
                <w:szCs w:val="20"/>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Fax: (609) 524-4589</w:t>
            </w:r>
          </w:p>
        </w:tc>
      </w:tr>
      <w:tr>
        <w:trPr>
          <w:trHeight w:val="418"/>
        </w:trPr>
        <w:tc>
          <w:tcPr>
            <w:tcW w:w="4500" w:type="dxa"/>
            <w:vAlign w:val="bottom"/>
          </w:tcPr>
          <w:p>
            <w:pPr>
              <w:jc w:val="center"/>
              <w:ind w:left="1030"/>
              <w:spacing w:after="0"/>
              <w:rPr>
                <w:sz w:val="20"/>
                <w:szCs w:val="20"/>
                <w:color w:val="auto"/>
              </w:rPr>
            </w:pPr>
            <w:r>
              <w:rPr>
                <w:rFonts w:ascii="Arial" w:cs="Arial" w:eastAsia="Arial" w:hAnsi="Arial"/>
                <w:sz w:val="18"/>
                <w:szCs w:val="18"/>
                <w:color w:val="auto"/>
                <w:w w:val="92"/>
              </w:rPr>
              <w:t>With a copy to:</w:t>
            </w:r>
          </w:p>
        </w:tc>
        <w:tc>
          <w:tcPr>
            <w:tcW w:w="6740" w:type="dxa"/>
            <w:vAlign w:val="bottom"/>
          </w:tcPr>
          <w:p>
            <w:pPr>
              <w:ind w:left="1120"/>
              <w:spacing w:after="0"/>
              <w:rPr>
                <w:sz w:val="20"/>
                <w:szCs w:val="20"/>
                <w:color w:val="auto"/>
              </w:rPr>
            </w:pPr>
            <w:r>
              <w:rPr>
                <w:rFonts w:ascii="Arial" w:cs="Arial" w:eastAsia="Arial" w:hAnsi="Arial"/>
                <w:sz w:val="18"/>
                <w:szCs w:val="18"/>
                <w:color w:val="auto"/>
              </w:rPr>
              <w:t>Bracewell LLP</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2001 M Street, NW</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Washington, DC 20036</w:t>
            </w:r>
          </w:p>
        </w:tc>
      </w:t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Attn: Danielle M. Varnell</w:t>
            </w:r>
          </w:p>
        </w:tc>
      </w:tr>
      <w:tr>
        <w:trPr>
          <w:trHeight w:val="230"/>
        </w:trPr>
        <w:tc>
          <w:tcPr>
            <w:tcW w:w="4500" w:type="dxa"/>
            <w:vAlign w:val="bottom"/>
          </w:tcPr>
          <w:p>
            <w:pPr>
              <w:spacing w:after="0"/>
              <w:rPr>
                <w:sz w:val="20"/>
                <w:szCs w:val="20"/>
                <w:color w:val="auto"/>
              </w:rPr>
            </w:pPr>
          </w:p>
        </w:tc>
        <w:tc>
          <w:tcPr>
            <w:tcW w:w="6740" w:type="dxa"/>
            <w:vAlign w:val="bottom"/>
          </w:tcPr>
          <w:p>
            <w:pPr>
              <w:ind w:left="1120"/>
              <w:spacing w:after="0"/>
              <w:rPr>
                <w:sz w:val="20"/>
                <w:szCs w:val="20"/>
                <w:color w:val="auto"/>
              </w:rPr>
            </w:pPr>
            <w:r>
              <w:rPr>
                <w:rFonts w:ascii="Arial" w:cs="Arial" w:eastAsia="Arial" w:hAnsi="Arial"/>
                <w:sz w:val="18"/>
                <w:szCs w:val="18"/>
                <w:color w:val="auto"/>
              </w:rPr>
              <w:t>Email: danielle.varnell@bracewell.com</w:t>
            </w:r>
          </w:p>
        </w:tc>
      </w:tr>
      <w:tr>
        <w:trPr>
          <w:trHeight w:val="648"/>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240"/>
          </w:cols>
          <w:pgMar w:left="320" w:top="908" w:right="339" w:bottom="1440" w:gutter="0" w:footer="0" w:header="0"/>
        </w:sectPr>
      </w:pPr>
    </w:p>
    <w:bookmarkStart w:id="37" w:name="page38"/>
    <w:bookmarkEnd w:id="37"/>
    <w:p>
      <w:pPr>
        <w:ind w:firstLine="648"/>
        <w:spacing w:after="0" w:line="291" w:lineRule="auto"/>
        <w:rPr>
          <w:sz w:val="20"/>
          <w:szCs w:val="20"/>
          <w:color w:val="auto"/>
        </w:rPr>
      </w:pPr>
      <w:r>
        <w:rPr>
          <w:rFonts w:ascii="Arial" w:cs="Arial" w:eastAsia="Arial" w:hAnsi="Arial"/>
          <w:sz w:val="16"/>
          <w:szCs w:val="16"/>
          <w:color w:val="auto"/>
        </w:rPr>
        <w:t xml:space="preserve">Notices, requests and other communications will be deemed given upon the first to occur of such item having been (a) delivered personally to the address provided in this </w:t>
      </w:r>
      <w:r>
        <w:rPr>
          <w:rFonts w:ascii="Arial" w:cs="Arial" w:eastAsia="Arial" w:hAnsi="Arial"/>
          <w:sz w:val="16"/>
          <w:szCs w:val="16"/>
          <w:u w:val="single" w:color="auto"/>
          <w:color w:val="auto"/>
        </w:rPr>
        <w:t>Section 13.01</w:t>
      </w:r>
      <w:r>
        <w:rPr>
          <w:rFonts w:ascii="Arial" w:cs="Arial" w:eastAsia="Arial" w:hAnsi="Arial"/>
          <w:sz w:val="16"/>
          <w:szCs w:val="16"/>
          <w:color w:val="auto"/>
        </w:rPr>
        <w:t xml:space="preserve">, (b) delivered by confirmed facsimile transmission to the facsimile number provided in this </w:t>
      </w:r>
      <w:r>
        <w:rPr>
          <w:rFonts w:ascii="Arial" w:cs="Arial" w:eastAsia="Arial" w:hAnsi="Arial"/>
          <w:sz w:val="16"/>
          <w:szCs w:val="16"/>
          <w:u w:val="single" w:color="auto"/>
          <w:color w:val="auto"/>
        </w:rPr>
        <w:t>Section 13.01</w:t>
      </w:r>
      <w:r>
        <w:rPr>
          <w:rFonts w:ascii="Arial" w:cs="Arial" w:eastAsia="Arial" w:hAnsi="Arial"/>
          <w:sz w:val="16"/>
          <w:szCs w:val="16"/>
          <w:color w:val="auto"/>
        </w:rPr>
        <w:t>, or</w:t>
      </w:r>
    </w:p>
    <w:p>
      <w:pPr>
        <w:jc w:val="both"/>
        <w:ind w:firstLine="8"/>
        <w:spacing w:after="0" w:line="295" w:lineRule="auto"/>
        <w:tabs>
          <w:tab w:leader="none" w:pos="2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delivered by registered or certified mail (postage prepaid) or by reputable national overnight courier service in the manner described above to the address provided in this </w:t>
      </w:r>
      <w:r>
        <w:rPr>
          <w:rFonts w:ascii="Arial" w:cs="Arial" w:eastAsia="Arial" w:hAnsi="Arial"/>
          <w:sz w:val="16"/>
          <w:szCs w:val="16"/>
          <w:u w:val="single" w:color="auto"/>
          <w:color w:val="auto"/>
        </w:rPr>
        <w:t>Section 13.01</w:t>
      </w:r>
      <w:r>
        <w:rPr>
          <w:rFonts w:ascii="Arial" w:cs="Arial" w:eastAsia="Arial" w:hAnsi="Arial"/>
          <w:sz w:val="16"/>
          <w:szCs w:val="16"/>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6"/>
          <w:szCs w:val="16"/>
          <w:u w:val="single" w:color="auto"/>
          <w:color w:val="auto"/>
        </w:rPr>
        <w:t>Section 13.01</w:t>
      </w:r>
      <w:r>
        <w:rPr>
          <w:rFonts w:ascii="Arial" w:cs="Arial" w:eastAsia="Arial" w:hAnsi="Arial"/>
          <w:sz w:val="16"/>
          <w:szCs w:val="16"/>
          <w:color w:val="auto"/>
        </w:rPr>
        <w:t>). Any Party from time to time may change its address, facsimile number or other information for the purpose of notices to that Party by giving notice specifying such change to the other Party.</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13.02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referenced herein supersede all prior discussions and agreements, whether oral or written, between the Parties with respect to the subject matter hereof, and contains the entire agreement between the Parties with respect to the subject matter hereof.</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13.03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5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13.04</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with regard to all duties and time periods set forth in this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13.05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13.06 </w:t>
      </w:r>
      <w:r>
        <w:rPr>
          <w:rFonts w:ascii="Arial" w:cs="Arial" w:eastAsia="Arial" w:hAnsi="Arial"/>
          <w:sz w:val="18"/>
          <w:szCs w:val="18"/>
          <w:u w:val="single" w:color="auto"/>
          <w:color w:val="auto"/>
        </w:rPr>
        <w:t>Confidentiality; Disclosures</w:t>
      </w:r>
      <w:r>
        <w:rPr>
          <w:rFonts w:ascii="Arial" w:cs="Arial" w:eastAsia="Arial" w:hAnsi="Arial"/>
          <w:sz w:val="18"/>
          <w:szCs w:val="18"/>
          <w:color w:val="auto"/>
        </w:rPr>
        <w:t>. Neither Party nor any of their Affiliates shall make any written or other public disclosure, announcement or other similar statement regarding this Agreement or the transactions contemplated hereby without the prior written consent of the other Parties, except as required by law, any regulatory authority or under the applicable rules and regulations of a stock exchange or market on which the securities of the disclosing Party or any of its affiliates are listed.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13.07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Arial" w:cs="Arial" w:eastAsia="Arial" w:hAnsi="Arial"/>
          <w:sz w:val="18"/>
          <w:szCs w:val="18"/>
          <w:u w:val="single" w:color="auto"/>
          <w:color w:val="auto"/>
        </w:rPr>
        <w:t>Section 13.01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right="20" w:firstLine="648"/>
        <w:spacing w:after="0" w:line="277" w:lineRule="auto"/>
        <w:rPr>
          <w:sz w:val="20"/>
          <w:szCs w:val="20"/>
          <w:color w:val="auto"/>
        </w:rPr>
      </w:pPr>
      <w:r>
        <w:rPr>
          <w:rFonts w:ascii="Arial" w:cs="Arial" w:eastAsia="Arial" w:hAnsi="Arial"/>
          <w:sz w:val="18"/>
          <w:szCs w:val="18"/>
          <w:color w:val="auto"/>
        </w:rPr>
        <w:t xml:space="preserve">13.08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supplemented or modified only by a written instrument duly executed by or on behalf of each Party.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13.09 </w:t>
      </w:r>
      <w:r>
        <w:rPr>
          <w:rFonts w:ascii="Arial" w:cs="Arial" w:eastAsia="Arial" w:hAnsi="Arial"/>
          <w:sz w:val="18"/>
          <w:szCs w:val="18"/>
          <w:u w:val="single" w:color="auto"/>
          <w:color w:val="auto"/>
        </w:rPr>
        <w:t>No Third Party Beneficiary</w:t>
      </w:r>
      <w:r>
        <w:rPr>
          <w:rFonts w:ascii="Arial" w:cs="Arial" w:eastAsia="Arial" w:hAnsi="Arial"/>
          <w:sz w:val="18"/>
          <w:szCs w:val="18"/>
          <w:color w:val="auto"/>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The obligations of the Parties under this Agreement are not assignable without the prior written consent of the other Party, which such Party may withhold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Purchaser may assign this Agreement without the prior written consent of Seller to any financial institution providing purchase money or other financing to Purchaser from time to time as collateral security for such financing so long as Purchaser remains fully liable for its obligations under this Agreement.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illegal, invalid or unenforceable under any present or future Law, and if the rights or obligations of any Party under this Agreement shall not be materially and adversely affected thereby, (a) such provision shall be fully severable,</w:t>
      </w:r>
    </w:p>
    <w:p>
      <w:pPr>
        <w:jc w:val="both"/>
        <w:ind w:firstLine="8"/>
        <w:spacing w:after="0" w:line="255" w:lineRule="auto"/>
        <w:tabs>
          <w:tab w:leader="none" w:pos="2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Agreement shall be construed and enforced as if such illegal, invalid or unenforceable provision had never comprised a part hereof, and (c) the remaining provisions of this Agreement shall remain in full force and effect and shall not be affected by the illegal, invalid or unenforceable provision or by its severance herefrom.</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 ALL RESPECTS BY THE LAWS OF THE STATE OF NEW YORK WITHOUT GIVING EFFECT TO THE CONFLICTS OF LAWS PRINCIPLES THEREOF EXCEPT FOR SECTIONS 5-1401 AND 5-1402 OF THE NEW YORK GENERAL OBLIGATIONS LAW.</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2332"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2000" w:hanging="696"/>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it may legally and effectively do so:</w:t>
      </w:r>
    </w:p>
    <w:p>
      <w:pPr>
        <w:spacing w:after="0" w:line="225" w:lineRule="exact"/>
        <w:rPr>
          <w:rFonts w:ascii="Arial" w:cs="Arial" w:eastAsia="Arial" w:hAnsi="Arial"/>
          <w:sz w:val="18"/>
          <w:szCs w:val="18"/>
          <w:color w:val="auto"/>
        </w:rPr>
      </w:pPr>
    </w:p>
    <w:p>
      <w:pPr>
        <w:ind w:firstLine="1952"/>
        <w:spacing w:after="0" w:line="277" w:lineRule="auto"/>
        <w:tabs>
          <w:tab w:leader="none" w:pos="29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rFonts w:ascii="Arial" w:cs="Arial" w:eastAsia="Arial" w:hAnsi="Arial"/>
          <w:sz w:val="18"/>
          <w:szCs w:val="18"/>
          <w:color w:val="auto"/>
        </w:rPr>
      </w:pPr>
    </w:p>
    <w:p>
      <w:pPr>
        <w:ind w:left="2800" w:hanging="848"/>
        <w:spacing w:after="0"/>
        <w:tabs>
          <w:tab w:leader="none" w:pos="28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defense of an inconvenient forum to the maintenance of such Action or Proceeding in any such court.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Each Party hereto irrevocably consents to service of process by registered mail, return receipt requested, as provided in </w:t>
      </w:r>
      <w:r>
        <w:rPr>
          <w:rFonts w:ascii="Arial" w:cs="Arial" w:eastAsia="Arial" w:hAnsi="Arial"/>
          <w:sz w:val="18"/>
          <w:szCs w:val="18"/>
          <w:u w:val="single" w:color="auto"/>
          <w:color w:val="auto"/>
        </w:rPr>
        <w:t>Section 13.01</w:t>
      </w:r>
      <w:r>
        <w:rPr>
          <w:rFonts w:ascii="Arial" w:cs="Arial" w:eastAsia="Arial" w:hAnsi="Arial"/>
          <w:sz w:val="18"/>
          <w:szCs w:val="18"/>
          <w:color w:val="auto"/>
        </w:rPr>
        <w:t>. Nothing in this Agreement will affect the right of any Party hereto to serve process in any other manner permitted by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FULLEST EXTENT PERMITTED BY LAW, EACH PARTY HEREBY WAIVES ALL RIGHTS TO A TRIAL BY JURY IN ANY LEGAL ACTION TO ENFORCE OR INTERPRET THE PROVISIONS OF THIS AGREEMENT OR THAT OTHERWISE RELATES TO THIS AGREEMENT.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13.15 </w:t>
      </w:r>
      <w:r>
        <w:rPr>
          <w:rFonts w:ascii="Arial" w:cs="Arial" w:eastAsia="Arial" w:hAnsi="Arial"/>
          <w:sz w:val="17"/>
          <w:szCs w:val="17"/>
          <w:u w:val="single" w:color="auto"/>
          <w:color w:val="auto"/>
        </w:rPr>
        <w:t>Limitation on Certain Damages</w:t>
      </w:r>
      <w:r>
        <w:rPr>
          <w:rFonts w:ascii="Arial" w:cs="Arial" w:eastAsia="Arial" w:hAnsi="Arial"/>
          <w:sz w:val="17"/>
          <w:szCs w:val="17"/>
          <w:color w:val="auto"/>
        </w:rPr>
        <w:t>. NOTWITHSTANDING ANYTHING IN THIS AGREEMENT TO THE CONTRARY, NO PARTY SHALL BE LIABLE TO ANY OTHER PARTY FOR ANY CONSEQUENTIAL, SPECIAL, INDIRECT, SPECULATIVE, EXEMPLARY, OR PUNITIVE DAMAGES (COLLECTIVELY, “</w:t>
      </w:r>
      <w:r>
        <w:rPr>
          <w:rFonts w:ascii="Arial" w:cs="Arial" w:eastAsia="Arial" w:hAnsi="Arial"/>
          <w:sz w:val="17"/>
          <w:szCs w:val="17"/>
          <w:u w:val="single" w:color="auto"/>
          <w:color w:val="auto"/>
        </w:rPr>
        <w:t>CONSEQUENTIAL DAMAGES</w:t>
      </w:r>
      <w:r>
        <w:rPr>
          <w:rFonts w:ascii="Arial" w:cs="Arial" w:eastAsia="Arial" w:hAnsi="Arial"/>
          <w:sz w:val="17"/>
          <w:szCs w:val="17"/>
          <w:color w:val="auto"/>
        </w:rPr>
        <w:t>”) FOR ANY REASON WITH RESPECT TO ANY MATTER ARISING OUT OF OR RELATING TO THIS AGREEMENT, WHETHER BASED ON STATUTE, CONTRACT, TORT OR OTHERWISE AND WHETHER OR NOT ARISING FROM THE OTHER PARTY’S SOLE, JOINT OR CONCURRENT NEGLIGENCE, STRICT LIABILITY OR OTHER FAULT; PROVIDED, HOWEVER, 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13.16 </w:t>
      </w:r>
      <w:r>
        <w:rPr>
          <w:rFonts w:ascii="Arial" w:cs="Arial" w:eastAsia="Arial" w:hAnsi="Arial"/>
          <w:sz w:val="17"/>
          <w:szCs w:val="17"/>
          <w:u w:val="single" w:color="auto"/>
          <w:color w:val="auto"/>
        </w:rPr>
        <w:t>Disclosures</w:t>
      </w:r>
      <w:r>
        <w:rPr>
          <w:rFonts w:ascii="Arial" w:cs="Arial" w:eastAsia="Arial" w:hAnsi="Arial"/>
          <w:sz w:val="17"/>
          <w:szCs w:val="17"/>
          <w:color w:val="auto"/>
        </w:rPr>
        <w:t>. Any Party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The mere inclusion of an item in the Disclosure Schedules shall not be deemed an admission by a Party that such item represents a material exception or fact, event, or circumstance.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13.17 </w:t>
      </w:r>
      <w:r>
        <w:rPr>
          <w:rFonts w:ascii="Arial" w:cs="Arial" w:eastAsia="Arial" w:hAnsi="Arial"/>
          <w:sz w:val="18"/>
          <w:szCs w:val="18"/>
          <w:u w:val="single" w:color="auto"/>
          <w:color w:val="auto"/>
        </w:rPr>
        <w:t>Facsimile Signature; Counterparts</w:t>
      </w:r>
      <w:r>
        <w:rPr>
          <w:rFonts w:ascii="Arial" w:cs="Arial" w:eastAsia="Arial" w:hAnsi="Arial"/>
          <w:sz w:val="18"/>
          <w:szCs w:val="18"/>
          <w:color w:val="auto"/>
        </w:rPr>
        <w:t>. This Agreement may be executed by facsimile signature in any number of counterparts, each of which will be deemed an original, but all of which together will constitute one and the same instrument.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firstLine="648"/>
        <w:spacing w:after="0" w:line="277" w:lineRule="auto"/>
        <w:rPr>
          <w:sz w:val="20"/>
          <w:szCs w:val="20"/>
          <w:color w:val="auto"/>
        </w:rPr>
      </w:pPr>
      <w:r>
        <w:rPr>
          <w:rFonts w:ascii="Arial" w:cs="Arial" w:eastAsia="Arial" w:hAnsi="Arial"/>
          <w:sz w:val="18"/>
          <w:szCs w:val="18"/>
          <w:color w:val="auto"/>
        </w:rPr>
        <w:t>IN WITNESS WHEREOF, this Agreement has been duly executed and delivered by the duly authorized representative of each Party as of the date first above written.</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Purchaser</w:t>
      </w:r>
      <w:r>
        <w:rPr>
          <w:rFonts w:ascii="Arial" w:cs="Arial" w:eastAsia="Arial" w:hAnsi="Arial"/>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AC Solar Holdings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Christopher S. Sotos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Seller</w:t>
      </w:r>
      <w:r>
        <w:rPr>
          <w:rFonts w:ascii="Arial" w:cs="Arial" w:eastAsia="Arial" w:hAnsi="Arial"/>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NRG Solar Sunrise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Gaetan C. Frotte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Gaetan C. Frotte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3"/>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Roman"/>
      <w:start w:val="1"/>
    </w:lvl>
  </w:abstractNum>
  <w:abstractNum w:abstractNumId="4">
    <w:nsid w:val="257130A3"/>
    <w:multiLevelType w:val="hybridMultilevel"/>
    <w:lvl w:ilvl="0">
      <w:lvlJc w:val="left"/>
      <w:lvlText w:val="(%1)"/>
      <w:numFmt w:val="lowerLetter"/>
      <w:start w:val="1"/>
    </w:lvl>
    <w:lvl w:ilvl="1">
      <w:lvlJc w:val="left"/>
      <w:lvlText w:val="(%2)"/>
      <w:numFmt w:val="lowerRoman"/>
      <w:start w:val="1"/>
    </w:lvl>
  </w:abstractNum>
  <w:abstractNum w:abstractNumId="5">
    <w:nsid w:val="62BBD95A"/>
    <w:multiLevelType w:val="hybridMultilevel"/>
    <w:lvl w:ilvl="0">
      <w:lvlJc w:val="left"/>
      <w:lvlText w:val="(%1)"/>
      <w:numFmt w:val="lowerLetter"/>
      <w:start w:val="3"/>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0"/>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5"/>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2"/>
    </w:lvl>
  </w:abstractNum>
  <w:abstractNum w:abstractNumId="13">
    <w:nsid w:val="75A2A8D4"/>
    <w:multiLevelType w:val="hybridMultilevel"/>
    <w:lvl w:ilvl="0">
      <w:lvlJc w:val="left"/>
      <w:lvlText w:val="(%1)"/>
      <w:numFmt w:val="lowerLetter"/>
      <w:start w:val="3"/>
    </w:lvl>
  </w:abstractNum>
  <w:abstractNum w:abstractNumId="14">
    <w:nsid w:val="8EDBDAB"/>
    <w:multiLevelType w:val="hybridMultilevel"/>
    <w:lvl w:ilvl="0">
      <w:lvlJc w:val="left"/>
      <w:lvlText w:val="%1"/>
      <w:numFmt w:val="lowerLetter"/>
      <w:start w:val="1"/>
    </w:lvl>
    <w:lvl w:ilvl="1">
      <w:lvlJc w:val="left"/>
      <w:lvlText w:val="(%2)"/>
      <w:numFmt w:val="lowerLetter"/>
      <w:start w:val="1"/>
    </w:lvl>
  </w:abstractNum>
  <w:abstractNum w:abstractNumId="15">
    <w:nsid w:val="79838CB2"/>
    <w:multiLevelType w:val="hybridMultilevel"/>
    <w:lvl w:ilvl="0">
      <w:lvlJc w:val="left"/>
      <w:lvlText w:val="(%1)"/>
      <w:numFmt w:val="lowerLetter"/>
      <w:start w:val="1"/>
    </w:lvl>
    <w:lvl w:ilvl="1">
      <w:lvlJc w:val="left"/>
      <w:lvlText w:val="(%2)"/>
      <w:numFmt w:val="lowerLetter"/>
      <w:start w:val="3"/>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3"/>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4"/>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2"/>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lowerLetter"/>
      <w:start w:val="3"/>
    </w:lvl>
  </w:abstractNum>
  <w:abstractNum w:abstractNumId="31">
    <w:nsid w:val="4516DDE9"/>
    <w:multiLevelType w:val="hybridMultilevel"/>
    <w:lvl w:ilvl="0">
      <w:lvlJc w:val="left"/>
      <w:lvlText w:val="(%1)"/>
      <w:numFmt w:val="lowerLetter"/>
      <w:start w:val="2"/>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2020-11-20T06:48:48Z</dcterms:created>
  <dcterms:modified xsi:type="dcterms:W3CDTF">2020-11-20T06:48:48Z</dcterms:modified>
</cp:coreProperties>
</file>