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7"/>
          <w:szCs w:val="17"/>
          <w:b w:val="1"/>
          <w:bCs w:val="1"/>
          <w:color w:val="auto"/>
        </w:rPr>
        <w:t>December 4, 2015</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211 Carnegie Center, Princeton, New Jersey 08540</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On December 4, 2015, NRG Yield, Inc., as managing member of NRG Yield LLC (the “Company”), replaced David Crane as President and Chief Executive Officer of the Company, following his replacement as President and Chief Executive Officer of NRG Energy, Inc. (“NRG”) and named Mauricio Gutierrez as interim President and Chief Executive Officer.</w:t>
      </w:r>
    </w:p>
    <w:p>
      <w:pPr>
        <w:spacing w:after="0" w:line="181"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Mr. Gutierrez, age 45, has served as Executive Vice President and Chief Operating Officer and as a director of NRG Yield, Inc. since December 2012. In addition, on December 2, 2015, Mr. Gutierrez was named President and Chief Executive Officer of NRG. Prior to December 2, 2015, Mr. Gutierrez served as Executive Vice President and Chief Operating Officer of NRG since July 2010 overseeing NRG’s Plant Operations, Commercial Operations, Environmental Compliance, as well as the Engineering, Procurement and Construction division. He previously served as Executive Vice President, Commercial Operations from January 2009 to July 2010 and Senior Vice President, Commercial Operations, from March 2008 to January 2009. In this capacity, he was responsible for the optimization of NRG’s asset portfolio and fuel requirements. Prior to this, Mr. Gutierrez served as Vice President Commercial Operations Trading from May 2006 to March 2008. Prior to joining NRG in August 2004, Mr. Gutierrez held various positions within Dynegy, Inc., including Managing Director, Trading.</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NRG Yield LLC</w:t>
      </w:r>
    </w:p>
    <w:p>
      <w:pPr>
        <w:spacing w:after="0" w:line="23"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00"/>
          </w:cols>
          <w:pgMar w:left="240" w:top="544" w:right="259" w:bottom="0" w:gutter="0" w:footer="0" w:header="0"/>
          <w:type w:val="continuous"/>
        </w:sectPr>
      </w:pPr>
    </w:p>
    <w:bookmarkStart w:id="1" w:name="page2"/>
    <w:bookmarkEnd w:id="1"/>
    <w:p>
      <w:pPr>
        <w:ind w:left="5720"/>
        <w:spacing w:after="0"/>
        <w:tabs>
          <w:tab w:leader="none" w:pos="6140" w:val="left"/>
        </w:tabs>
        <w:rPr>
          <w:sz w:val="20"/>
          <w:szCs w:val="20"/>
          <w:color w:val="auto"/>
        </w:rPr>
      </w:pPr>
      <w:r>
        <w:rPr>
          <w:rFonts w:ascii="Arial" w:cs="Arial" w:eastAsia="Arial" w:hAnsi="Arial"/>
          <w:sz w:val="18"/>
          <w:szCs w:val="18"/>
          <w:color w:val="auto"/>
        </w:rPr>
        <w:t>By:</w:t>
        <w:tab/>
        <w:t>/s/ David R. Hill</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David R.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General Counsel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8, 2015</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2019-12-09T05:09:41Z</dcterms:created>
  <dcterms:modified xsi:type="dcterms:W3CDTF">2019-12-09T05:09:41Z</dcterms:modified>
</cp:coreProperties>
</file>