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Cornelius Craig</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CLEARWAY ENERGY,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300 CARNEGIE CENTER,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Clearway Energy,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CWEN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03/02/2026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65"/>
        <w:spacing w:after="0"/>
        <w:rPr>
          <w:sz w:val="20"/>
          <w:szCs w:val="20"/>
          <w:color w:val="auto"/>
        </w:rPr>
      </w:pPr>
      <w:r>
        <w:rPr>
          <w:rFonts w:ascii="Times New Roman" w:cs="Times New Roman" w:eastAsia="Times New Roman" w:hAnsi="Times New Roman"/>
          <w:sz w:val="17"/>
          <w:szCs w:val="17"/>
          <w:color w:val="0000FF"/>
        </w:rPr>
        <w:t>President &amp; CEO</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PRINCETON</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NJ</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08540</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60" w:type="dxa"/>
            <w:vAlign w:val="bottom"/>
          </w:tcPr>
          <w:p>
            <w:pPr>
              <w:spacing w:after="0"/>
              <w:rPr>
                <w:sz w:val="13"/>
                <w:szCs w:val="13"/>
                <w:color w:val="auto"/>
              </w:rPr>
            </w:pP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10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1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1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0000FF"/>
              </w:rPr>
              <w:t>03/02/2026</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2,535</w:t>
            </w:r>
          </w:p>
        </w:tc>
        <w:tc>
          <w:tcPr>
            <w:tcW w:w="4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1"/>
                <w:szCs w:val="21"/>
                <w:color w:val="auto"/>
              </w:rPr>
            </w:pPr>
          </w:p>
        </w:tc>
        <w:tc>
          <w:tcPr>
            <w:tcW w:w="3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008000"/>
              </w:rPr>
              <w:t>(1)</w:t>
            </w:r>
          </w:p>
        </w:tc>
        <w:tc>
          <w:tcPr>
            <w:tcW w:w="1380" w:type="dxa"/>
            <w:vAlign w:val="bottom"/>
            <w:gridSpan w:val="3"/>
            <w:vMerge w:val="restart"/>
          </w:tcPr>
          <w:p>
            <w:pPr>
              <w:ind w:left="400"/>
              <w:spacing w:after="0"/>
              <w:rPr>
                <w:sz w:val="20"/>
                <w:szCs w:val="20"/>
                <w:color w:val="auto"/>
              </w:rPr>
            </w:pPr>
            <w:r>
              <w:rPr>
                <w:rFonts w:ascii="Times New Roman" w:cs="Times New Roman" w:eastAsia="Times New Roman" w:hAnsi="Times New Roman"/>
                <w:sz w:val="17"/>
                <w:szCs w:val="17"/>
                <w:color w:val="0000FF"/>
              </w:rPr>
              <w:t>335,247</w:t>
            </w:r>
            <w:r>
              <w:rPr>
                <w:rFonts w:ascii="Times New Roman" w:cs="Times New Roman" w:eastAsia="Times New Roman" w:hAnsi="Times New Roman"/>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880" w:type="dxa"/>
            <w:vAlign w:val="bottom"/>
            <w:tcBorders>
              <w:bottom w:val="single" w:sz="8" w:color="2C2C2C"/>
            </w:tcBorders>
            <w:gridSpan w:val="7"/>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6"/>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20" w:type="dxa"/>
            <w:vAlign w:val="bottom"/>
            <w:gridSpan w:val="11"/>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rights accrued on the Reporting Person's Restricted Stock Units ("RSUs") and Relative Performance Stock Units ("RPSUs"), which become exercisable proportionately with the RSUs and RPSUs to which they relate and may only be settled in Class C Common Stock of Clearway Energy, Inc. as determined by the RSU or RPSU to which they relate.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15,737 dividend equivalent rights that may only be settled in Class C Common Stock.</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9"/>
              </w:rPr>
              <w:t>/s/ Kevin P. Malcarney,</w:t>
            </w:r>
          </w:p>
        </w:tc>
        <w:tc>
          <w:tcPr>
            <w:tcW w:w="4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03/04/2026</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26637" TargetMode="External"/><Relationship Id="rId14"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2026-03-04T16:05:16Z</dcterms:created>
  <dcterms:modified xsi:type="dcterms:W3CDTF">2026-03-04T16:05:16Z</dcterms:modified>
</cp:coreProperties>
</file>