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2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5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-600075</wp:posOffset>
            </wp:positionV>
            <wp:extent cx="8255"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-607695</wp:posOffset>
            </wp:positionV>
            <wp:extent cx="825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-583565</wp:posOffset>
            </wp:positionV>
            <wp:extent cx="1265555" cy="56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00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34925</wp:posOffset>
            </wp:positionV>
            <wp:extent cx="6969760" cy="1728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84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Sotos Christopher S</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Clearway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04/15/2020</w:t>
      </w:r>
    </w:p>
    <w:p>
      <w:pPr>
        <w:spacing w:after="0" w:line="20" w:lineRule="exact"/>
        <w:rPr>
          <w:sz w:val="24"/>
          <w:szCs w:val="24"/>
          <w:color w:val="auto"/>
        </w:rPr>
      </w:pPr>
      <w:r>
        <w:rPr>
          <w:sz w:val="24"/>
          <w:szCs w:val="24"/>
          <w:color w:val="auto"/>
        </w:rPr>
        <w:br w:type="column"/>
      </w:r>
    </w:p>
    <w:p>
      <w:pPr>
        <w:ind w:right="660"/>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388"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08540</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7"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2"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181610</wp:posOffset>
            </wp:positionV>
            <wp:extent cx="6969760" cy="1209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209040"/>
                    </a:xfrm>
                    <a:prstGeom prst="rect">
                      <a:avLst/>
                    </a:prstGeom>
                    <a:noFill/>
                  </pic:spPr>
                </pic:pic>
              </a:graphicData>
            </a:graphic>
          </wp:anchor>
        </w:drawing>
      </w:r>
    </w:p>
    <w:p>
      <w:pPr>
        <w:spacing w:after="0" w:line="343"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200" w:type="dxa"/>
            <w:vAlign w:val="bottom"/>
            <w:gridSpan w:val="2"/>
          </w:tcPr>
          <w:p>
            <w:pPr>
              <w:ind w:left="18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ind w:left="180"/>
              <w:spacing w:after="0" w:line="123"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2"/>
          </w:tcPr>
          <w:p>
            <w:pPr>
              <w:ind w:left="1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2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0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7"/>
                <w:szCs w:val="17"/>
                <w:color w:val="0000FF"/>
              </w:rPr>
              <w:t>04/15/2020</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1"/>
              </w:rPr>
              <w:t>28,016</w:t>
            </w:r>
            <w:r>
              <w:rPr>
                <w:rFonts w:ascii="Times New Roman" w:cs="Times New Roman" w:eastAsia="Times New Roman" w:hAnsi="Times New Roman"/>
                <w:sz w:val="21"/>
                <w:szCs w:val="21"/>
                <w:color w:val="008000"/>
                <w:w w:val="91"/>
                <w:vertAlign w:val="superscript"/>
              </w:rPr>
              <w:t>(1)</w:t>
            </w:r>
          </w:p>
        </w:tc>
        <w:tc>
          <w:tcPr>
            <w:tcW w:w="58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21"/>
                <w:szCs w:val="21"/>
                <w:color w:val="auto"/>
              </w:rPr>
            </w:pPr>
          </w:p>
        </w:tc>
        <w:tc>
          <w:tcPr>
            <w:tcW w:w="12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180,449</w:t>
            </w:r>
            <w:r>
              <w:rPr>
                <w:rFonts w:ascii="Times New Roman" w:cs="Times New Roman" w:eastAsia="Times New Roman" w:hAnsi="Times New Roman"/>
                <w:sz w:val="21"/>
                <w:szCs w:val="21"/>
                <w:color w:val="008000"/>
                <w:vertAlign w:val="superscript"/>
              </w:rPr>
              <w:t>(3)</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8"/>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6"/>
          </w:tcPr>
          <w:p>
            <w:pPr>
              <w:jc w:val="center"/>
              <w:ind w:left="71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20" w:type="dxa"/>
            <w:vAlign w:val="bottom"/>
            <w:gridSpan w:val="12"/>
          </w:tcPr>
          <w:p>
            <w:pPr>
              <w:jc w:val="center"/>
              <w:ind w:right="10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8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15"/>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center"/>
              <w:ind w:right="11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85,188</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180"/>
              <w:spacing w:after="0" w:line="219" w:lineRule="exact"/>
              <w:rPr>
                <w:sz w:val="20"/>
                <w:szCs w:val="20"/>
                <w:color w:val="auto"/>
              </w:rPr>
            </w:pPr>
            <w:r>
              <w:rPr>
                <w:rFonts w:ascii="Times New Roman" w:cs="Times New Roman" w:eastAsia="Times New Roman" w:hAnsi="Times New Roman"/>
                <w:sz w:val="13"/>
                <w:szCs w:val="13"/>
                <w:color w:val="0000FF"/>
              </w:rPr>
              <w:t>56,792</w:t>
            </w:r>
            <w:r>
              <w:rPr>
                <w:rFonts w:ascii="Times New Roman" w:cs="Times New Roman" w:eastAsia="Times New Roman" w:hAnsi="Times New Roman"/>
                <w:sz w:val="21"/>
                <w:szCs w:val="21"/>
                <w:color w:val="008000"/>
                <w:vertAlign w:val="superscript"/>
              </w:rPr>
              <w:t>(5)</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continue"/>
          </w:tcPr>
          <w:p>
            <w:pPr>
              <w:spacing w:after="0"/>
              <w:rPr>
                <w:sz w:val="6"/>
                <w:szCs w:val="6"/>
                <w:color w:val="auto"/>
              </w:rPr>
            </w:pPr>
          </w:p>
        </w:tc>
        <w:tc>
          <w:tcPr>
            <w:tcW w:w="106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rPr>
              <w:t>04/15/2020</w:t>
            </w: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56,792</w:t>
            </w:r>
          </w:p>
        </w:tc>
        <w:tc>
          <w:tcPr>
            <w:tcW w:w="300" w:type="dxa"/>
            <w:vAlign w:val="bottom"/>
          </w:tcPr>
          <w:p>
            <w:pPr>
              <w:spacing w:after="0"/>
              <w:rPr>
                <w:sz w:val="6"/>
                <w:szCs w:val="6"/>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04/15/2023</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04/15/2023</w:t>
            </w: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gridSpan w:val="2"/>
          </w:tcPr>
          <w:p>
            <w:pPr>
              <w:ind w:left="80"/>
              <w:spacing w:after="0" w:line="78" w:lineRule="exact"/>
              <w:rPr>
                <w:sz w:val="20"/>
                <w:szCs w:val="20"/>
                <w:color w:val="auto"/>
              </w:rPr>
            </w:pPr>
            <w:r>
              <w:rPr>
                <w:rFonts w:ascii="Times New Roman" w:cs="Times New Roman" w:eastAsia="Times New Roman" w:hAnsi="Times New Roman"/>
                <w:sz w:val="9"/>
                <w:szCs w:val="9"/>
                <w:color w:val="0000FF"/>
              </w:rPr>
              <w:t>par value</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center"/>
              <w:ind w:right="95"/>
              <w:spacing w:after="0"/>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-2117725</wp:posOffset>
            </wp:positionV>
            <wp:extent cx="7034530" cy="2255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255520"/>
                    </a:xfrm>
                    <a:prstGeom prst="rect">
                      <a:avLst/>
                    </a:prstGeom>
                    <a:noFill/>
                  </pic:spPr>
                </pic:pic>
              </a:graphicData>
            </a:graphic>
          </wp:anchor>
        </w:drawing>
      </w:r>
    </w:p>
    <w:p>
      <w:pPr>
        <w:ind w:left="6980"/>
        <w:spacing w:after="0"/>
        <w:rPr>
          <w:sz w:val="20"/>
          <w:szCs w:val="20"/>
          <w:color w:val="auto"/>
        </w:rPr>
      </w:pPr>
      <w:r>
        <w:rPr>
          <w:rFonts w:ascii="Times New Roman" w:cs="Times New Roman" w:eastAsia="Times New Roman" w:hAnsi="Times New Roman"/>
          <w:sz w:val="13"/>
          <w:szCs w:val="13"/>
          <w:color w:val="0000FF"/>
        </w:rPr>
        <w:t>share</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to Mr. Sotos under Clearway Energy Inc.'s Amended and Restated 2013 Equity Incentive Plan (the "LTIP").</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42" w:lineRule="exact"/>
        <w:rPr>
          <w:rFonts w:ascii="Times New Roman" w:cs="Times New Roman" w:eastAsia="Times New Roman" w:hAnsi="Times New Roman"/>
          <w:sz w:val="13"/>
          <w:szCs w:val="13"/>
          <w:color w:val="008000"/>
        </w:rPr>
      </w:pPr>
    </w:p>
    <w:p>
      <w:pPr>
        <w:ind w:left="40" w:right="18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anniversaryof the date of the grant.</w:t>
      </w:r>
    </w:p>
    <w:p>
      <w:pPr>
        <w:spacing w:after="0" w:line="19" w:lineRule="exact"/>
        <w:rPr>
          <w:rFonts w:ascii="Times New Roman" w:cs="Times New Roman" w:eastAsia="Times New Roman" w:hAnsi="Times New Roman"/>
          <w:sz w:val="13"/>
          <w:szCs w:val="13"/>
          <w:color w:val="008000"/>
        </w:rPr>
      </w:pPr>
    </w:p>
    <w:p>
      <w:pPr>
        <w:jc w:val="both"/>
        <w:ind w:left="40" w:right="24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56,792 Relative Performance Stock Units ("RPSUs") by Clearway Energy, Inc. under the LTIP on April 15, 2020. The RPSUs will convert to shares of Clearway Energy, Inc. Class C Common Stock on April 15, 2023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26" w:lineRule="exact"/>
        <w:rPr>
          <w:rFonts w:ascii="Times New Roman" w:cs="Times New Roman" w:eastAsia="Times New Roman" w:hAnsi="Times New Roman"/>
          <w:sz w:val="13"/>
          <w:szCs w:val="13"/>
          <w:color w:val="008000"/>
        </w:rPr>
      </w:pPr>
    </w:p>
    <w:p>
      <w:pPr>
        <w:ind w:left="40" w:right="280" w:firstLine="1"/>
        <w:spacing w:after="0" w:line="23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85,188 shares of Class C Common Stock if Company's TSR is ranked at or above the 75th percentile relative to a peer group of companies approved by the Company's Compensation Committee (the "Peer Group") for the performance period ("Maximum"); (ii) 56,792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14,198 shares of Common Stock if Company's TSR is ranked at the 25th percentile relative to the Peer Group for the performance period (the "Threshold"). The Reporting Person will not receive any shares of Common Stock if Company's TSR is below the 25th percentile.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Michael A. Brown, by</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2"/>
              </w:rPr>
              <w:t>04/17/2020</w:t>
            </w:r>
          </w:p>
        </w:tc>
        <w:tc>
          <w:tcPr>
            <w:tcW w:w="0" w:type="dxa"/>
            <w:vAlign w:val="bottom"/>
          </w:tcPr>
          <w:p>
            <w:pPr>
              <w:spacing w:after="0"/>
              <w:rPr>
                <w:sz w:val="1"/>
                <w:szCs w:val="1"/>
                <w:color w:val="auto"/>
              </w:rPr>
            </w:pPr>
          </w:p>
        </w:tc>
      </w:tr>
      <w:tr>
        <w:trPr>
          <w:trHeight w:val="82"/>
        </w:trPr>
        <w:tc>
          <w:tcPr>
            <w:tcW w:w="12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Power of Attorney</w:t>
            </w:r>
          </w:p>
        </w:tc>
        <w:tc>
          <w:tcPr>
            <w:tcW w:w="44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4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amp;CIK=0001578991" TargetMode="External"/><Relationship Id="rId14" Type="http://schemas.openxmlformats.org/officeDocument/2006/relationships/hyperlink" Target="http://www.sec.gov/cgi-bin/browse-edgar?action=getcompany&amp;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2020-04-17T15:50:47Z</dcterms:created>
  <dcterms:modified xsi:type="dcterms:W3CDTF">2020-04-17T15:50:47Z</dcterms:modified>
</cp:coreProperties>
</file>