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Clearway Energy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18539C204</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18539C204</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70,883</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7,213</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7,866,198</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69,895</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7,936,093</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jc w:val="center"/>
        <w:ind w:right="8339"/>
        <w:spacing w:after="0"/>
        <w:rPr>
          <w:sz w:val="20"/>
          <w:szCs w:val="20"/>
          <w:color w:val="auto"/>
        </w:rPr>
      </w:pPr>
      <w:r>
        <w:rPr>
          <w:rFonts w:ascii="Arial" w:cs="Arial" w:eastAsia="Arial" w:hAnsi="Arial"/>
          <w:sz w:val="15"/>
          <w:szCs w:val="15"/>
          <w:u w:val="single" w:color="auto"/>
          <w:color w:val="auto"/>
        </w:rPr>
        <w:t>Item 1(a) - Name of Issuer:</w:t>
      </w:r>
    </w:p>
    <w:p>
      <w:pPr>
        <w:spacing w:after="0" w:line="2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Clearway Energy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804 Carnegie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Princeton, New Jersey 08540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18539C204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7,936,093</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70,883</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7,213</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7,866,198 (iv) shared power to dispose or to direct the disposition of: 69,895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62,682 shares or 0.07%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15,414 shares or 0.01%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2020-02-12T05:46:04Z</dcterms:created>
  <dcterms:modified xsi:type="dcterms:W3CDTF">2020-02-12T05:46:04Z</dcterms:modified>
</cp:coreProperties>
</file>