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 2022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48"/>
        </w:trPr>
        <w:tc>
          <w:tcPr>
            <w:tcW w:w="3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202"/>
        </w:trPr>
        <w:tc>
          <w:tcPr>
            <w:tcW w:w="368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 w:lineRule="exact"/>
        <w:rPr>
          <w:rFonts w:ascii="MS PGothic" w:cs="MS PGothic" w:eastAsia="MS PGothic" w:hAnsi="MS PGothic"/>
          <w:sz w:val="18"/>
          <w:szCs w:val="18"/>
          <w:color w:val="auto"/>
        </w:rPr>
      </w:pPr>
    </w:p>
    <w:p>
      <w:pPr>
        <w:ind w:right="2940" w:firstLine="48"/>
        <w:spacing w:after="0" w:line="275"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388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7"/>
              </w:rPr>
              <w:t>CWEN.A</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4"/>
              </w:rPr>
              <w:t>CWEN</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bl>
    <w:p>
      <w:pPr>
        <w:spacing w:after="0" w:line="32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05"/>
        <w:spacing w:after="0" w:line="279" w:lineRule="auto"/>
        <w:rPr>
          <w:sz w:val="20"/>
          <w:szCs w:val="20"/>
          <w:color w:val="auto"/>
        </w:rPr>
      </w:pPr>
      <w:r>
        <w:rPr>
          <w:rFonts w:ascii="Arial" w:cs="Arial" w:eastAsia="Arial" w:hAnsi="Arial"/>
          <w:sz w:val="17"/>
          <w:szCs w:val="17"/>
          <w:color w:val="auto"/>
        </w:rPr>
        <w:t xml:space="preserve">On November 2, 2022, Clearway Energy, Inc. issued a press release announcing its financial results for the quarter ended September 30, 2022. A copy of the press release is furnished as Exhibit 99.1 to this report on Form 8-K and is hereby incorporated by reference. </w:t>
      </w:r>
      <w:r>
        <w:rPr>
          <w:rFonts w:ascii="Arial" w:cs="Arial" w:eastAsia="Arial" w:hAnsi="Arial"/>
          <w:sz w:val="17"/>
          <w:szCs w:val="17"/>
          <w:color w:val="212529"/>
        </w:rPr>
        <w:t>In accordance with General Instruction</w:t>
      </w:r>
      <w:r>
        <w:rPr>
          <w:rFonts w:ascii="Arial" w:cs="Arial" w:eastAsia="Arial" w:hAnsi="Arial"/>
          <w:sz w:val="17"/>
          <w:szCs w:val="17"/>
          <w:color w:val="auto"/>
        </w:rPr>
        <w:t xml:space="preserve"> </w:t>
      </w:r>
      <w:r>
        <w:rPr>
          <w:rFonts w:ascii="Arial" w:cs="Arial" w:eastAsia="Arial" w:hAnsi="Arial"/>
          <w:sz w:val="17"/>
          <w:szCs w:val="17"/>
          <w:color w:val="212529"/>
        </w:rPr>
        <w:t>B.2 of Form 8-K, the information set forth in this Item 2.02 and in the attached exhibit are deemed to be furnished and shall not be deemed to be “filed” for purposes of Section 18 of the Securities Exchange Act of 1934, as amended (the “Exchange Act”).</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6" w:right="339" w:bottom="1440" w:gutter="0" w:footer="0" w:header="0"/>
        </w:sectPr>
      </w:pP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Press Release, dated November 2,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22" w:lineRule="exact"/>
        <w:rPr>
          <w:sz w:val="20"/>
          <w:szCs w:val="20"/>
          <w:color w:val="auto"/>
        </w:rPr>
      </w:pPr>
    </w:p>
    <w:p>
      <w:pPr>
        <w:sectPr>
          <w:pgSz w:w="11900" w:h="16838" w:orient="portrait"/>
          <w:cols w:equalWidth="0" w:num="2">
            <w:col w:w="1740" w:space="720"/>
            <w:col w:w="8780"/>
          </w:cols>
          <w:pgMar w:left="320" w:top="1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222"/>
        </w:trPr>
        <w:tc>
          <w:tcPr>
            <w:tcW w:w="5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Kevin P. Malcarney</w:t>
            </w:r>
          </w:p>
        </w:tc>
      </w:tr>
      <w:tr>
        <w:trPr>
          <w:trHeight w:val="230"/>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Third Quarter 2022 Financial Results</w:t>
      </w:r>
    </w:p>
    <w:p>
      <w:pPr>
        <w:spacing w:after="0" w:line="25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Received offers from sponsor to invest approximately $410 million in 1.4 GW of wind, solar, and solar plus storage projects</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TotalEnergies acquired a 50% interest in Clearway’s sponsor from Global Infrastructure Partners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Entered into new Resource Adequacy contract for El Segundo</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Closed acquisition of 413 MW wind portfolio</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Updating 2022 financial guidance, initiating 2023 financial guidance, and updating pro forma CAFD outlook</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Increasing the quarterly dividend by 2% to $0.3672 </w:t>
      </w:r>
      <w:r>
        <w:rPr>
          <w:rFonts w:ascii="Arial" w:cs="Arial" w:eastAsia="Arial" w:hAnsi="Arial"/>
          <w:sz w:val="18"/>
          <w:szCs w:val="18"/>
          <w:b w:val="1"/>
          <w:bCs w:val="1"/>
          <w:color w:val="242424"/>
        </w:rPr>
        <w:t>p</w:t>
      </w:r>
      <w:r>
        <w:rPr>
          <w:rFonts w:ascii="Arial" w:cs="Arial" w:eastAsia="Arial" w:hAnsi="Arial"/>
          <w:sz w:val="18"/>
          <w:szCs w:val="18"/>
          <w:b w:val="1"/>
          <w:bCs w:val="1"/>
          <w:color w:val="auto"/>
        </w:rPr>
        <w:t>er share in the fourth quarter of 20</w:t>
      </w:r>
      <w:r>
        <w:rPr>
          <w:rFonts w:ascii="Arial" w:cs="Arial" w:eastAsia="Arial" w:hAnsi="Arial"/>
          <w:sz w:val="18"/>
          <w:szCs w:val="18"/>
          <w:b w:val="1"/>
          <w:bCs w:val="1"/>
          <w:color w:val="242424"/>
        </w:rPr>
        <w:t>22, or</w:t>
      </w:r>
      <w:r>
        <w:rPr>
          <w:rFonts w:ascii="Arial" w:cs="Arial" w:eastAsia="Arial" w:hAnsi="Arial"/>
          <w:sz w:val="18"/>
          <w:szCs w:val="18"/>
          <w:b w:val="1"/>
          <w:bCs w:val="1"/>
          <w:color w:val="auto"/>
        </w:rPr>
        <w:t xml:space="preserve"> $1.469 per share annualized</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target annual dividend per share growth in the upper range of 5% to 8% through 2026</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2, 2022</w:t>
      </w:r>
      <w:r>
        <w:rPr>
          <w:rFonts w:ascii="Arial" w:cs="Arial" w:eastAsia="Arial" w:hAnsi="Arial"/>
          <w:sz w:val="18"/>
          <w:szCs w:val="18"/>
          <w:color w:val="auto"/>
        </w:rPr>
        <w:t>— Clearway Energy, Inc. (NYSE: CWEN, CWEN.A) today reported third quarter 2022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Net Income of $62 million, Adjusted EBITDA of $322 million, Cash from Operating Activities of $328 million, and Cash Available for Distribution (CAFD) of $154 million.</w:t>
      </w:r>
    </w:p>
    <w:p>
      <w:pPr>
        <w:spacing w:after="0" w:line="2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the current year financial guidance has been lowered due to forced outages at the Conventional segment, the prospects for long-term growth at Clearway remain exceptional,” said Christopher Sotos, Clearway Energy, Inc.’s President and Chief Executive Officer. “With the closing of TotalEnergies' investment for 50% ownership of Clearway Group, our sponsor has further enhanced its ability to grow its renewable development pipeline. Additionally, with today's announced drop-down offers and visibility into additional drop-down offers next year, the Company has line of sight to the future deployment of all of the $750 million of excess proceeds from the Thermal sale by the end of 2024. With this unprecedented visibility, Clearway remains on track to deliver at the upper range of its dividend growth target through 2026.”</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Table 1: Net Income/(Loss)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2"/>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9/30/22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9/30/21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9/30/22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9/30/21</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(41)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Table 2: Adjusted EBITDA</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2"/>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9/30/22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9/30/21</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9/30/22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9/30/21</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9/30/22</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9/30/21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9/30/22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9/30/21</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50"/>
        </w:trPr>
        <w:tc>
          <w:tcPr>
            <w:tcW w:w="432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1"/>
                <w:szCs w:val="21"/>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bl>
    <w:p>
      <w:pPr>
        <w:spacing w:after="0" w:line="200" w:lineRule="exact"/>
        <w:rPr>
          <w:sz w:val="20"/>
          <w:szCs w:val="20"/>
          <w:color w:val="auto"/>
        </w:rPr>
      </w:pPr>
    </w:p>
    <w:p>
      <w:pPr>
        <w:spacing w:after="0" w:line="3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third quarter of 2022, the Company reported Net Income of $62 million, Adjusted EBITDA of $322 million, Cash from Operating Activities of $328 million, and CAFD of $154 million. Net Income increased versus 2021 primarily due to non-cash changes in the fair value of interest rate swaps as a result of an increase in LIBOR. Cash from Operating Activities increased versus 2021 primarily due to the contribution of growth investments. Adjusted EBITDA and CAFD results in the third quarter of 2022 were lower than 2021 due to forced outages at the Conventional segment and the disposition of the Thermal Business, partially offset by the contribution from growth investments.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Operational Performance</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2"/>
        </w:trPr>
        <w:tc>
          <w:tcPr>
            <w:tcW w:w="422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2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3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0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9/30/22</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9/30/21</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9/30/22</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9/30/21</w:t>
            </w:r>
          </w:p>
        </w:tc>
      </w:tr>
      <w:tr>
        <w:trPr>
          <w:trHeight w:val="250"/>
        </w:trPr>
        <w:tc>
          <w:tcPr>
            <w:tcW w:w="408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Conventional Equivalent Availability Factor</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92.5 %</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93.4 %</w:t>
            </w:r>
          </w:p>
        </w:tc>
      </w:tr>
      <w:tr>
        <w:trPr>
          <w:trHeight w:val="256"/>
        </w:trPr>
        <w:tc>
          <w:tcPr>
            <w:tcW w:w="4080" w:type="dxa"/>
            <w:vAlign w:val="bottom"/>
            <w:tcBorders>
              <w:bottom w:val="single" w:sz="8" w:color="auto"/>
            </w:tcBorders>
          </w:tcPr>
          <w:p>
            <w:pPr>
              <w:ind w:left="20"/>
              <w:spacing w:after="0" w:line="256"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4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4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11,102</w:t>
            </w:r>
          </w:p>
        </w:tc>
        <w:tc>
          <w:tcPr>
            <w:tcW w:w="16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r>
    </w:tbl>
    <w:p>
      <w:pPr>
        <w:spacing w:after="0" w:line="31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third quarter of 2022, availability at the Conventional segment was lower than the third quarter of 2021 primarily due to forced outages at the El Segundo Energy Center and Walnut Creek facilities. Generation in the Renewables segment during the third quarter of 2022 was 23% higher than the third quarter of 2021 primarily due to the contribution of growth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Q3 2022 reported CAFD excludes the impact of the Capistrano acquisition which closed in August 2022</w:t>
      </w:r>
    </w:p>
    <w:p>
      <w:pPr>
        <w:spacing w:after="0" w:line="18" w:lineRule="exact"/>
        <w:rPr>
          <w:rFonts w:ascii="Arial" w:cs="Arial" w:eastAsia="Arial" w:hAnsi="Arial"/>
          <w:sz w:val="23"/>
          <w:szCs w:val="23"/>
          <w:color w:val="auto"/>
          <w:vertAlign w:val="superscript"/>
        </w:rPr>
      </w:pPr>
    </w:p>
    <w:p>
      <w:pPr>
        <w:spacing w:after="0" w:line="187" w:lineRule="auto"/>
        <w:rPr>
          <w:rFonts w:ascii="Arial" w:cs="Arial" w:eastAsia="Arial" w:hAnsi="Arial"/>
          <w:sz w:val="23"/>
          <w:szCs w:val="23"/>
          <w:color w:val="auto"/>
          <w:vertAlign w:val="superscript"/>
        </w:rPr>
      </w:pPr>
      <w:r>
        <w:rPr>
          <w:rFonts w:ascii="Arial" w:cs="Arial" w:eastAsia="Arial" w:hAnsi="Arial"/>
          <w:sz w:val="21"/>
          <w:szCs w:val="21"/>
          <w:color w:val="auto"/>
          <w:vertAlign w:val="superscript"/>
        </w:rPr>
        <w:t>2</w:t>
      </w:r>
      <w:r>
        <w:rPr>
          <w:rFonts w:ascii="Arial" w:cs="Arial" w:eastAsia="Arial" w:hAnsi="Arial"/>
          <w:sz w:val="13"/>
          <w:szCs w:val="13"/>
          <w:color w:val="auto"/>
        </w:rPr>
        <w:t xml:space="preserve"> Excludes unconsolidated projects</w:t>
      </w:r>
    </w:p>
    <w:p>
      <w:pPr>
        <w:spacing w:after="0" w:line="227"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Generation sold excludes MWh that are reimbursable for economic curtailment; volumes do not include the MWh generated/sold by the Company's equity method investments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13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2"/>
                <w:szCs w:val="22"/>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9/30/2022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12/31/2021</w:t>
            </w: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22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accounts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7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liquidity as of September 30, 2022, was $1,539 million, which was $718 million higher than as of December 31, 2021, primarily due to the proceeds received from the sale of the Thermal Business. This was partially offset by the execution of growth investments, the repayment of $305 million in outstanding borrowings under the Company's revolving credit facility and the repayment of $335 million under the Bridge Loan Agreement.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2022</w:t>
      </w:r>
      <w:r>
        <w:rPr>
          <w:rFonts w:ascii="Arial" w:cs="Arial" w:eastAsia="Arial" w:hAnsi="Arial"/>
          <w:sz w:val="18"/>
          <w:szCs w:val="18"/>
          <w:color w:val="231F20"/>
        </w:rPr>
        <w:t xml:space="preserve">, the Company's liquidity included </w:t>
      </w:r>
      <w:r>
        <w:rPr>
          <w:rFonts w:ascii="Arial" w:cs="Arial" w:eastAsia="Arial" w:hAnsi="Arial"/>
          <w:sz w:val="18"/>
          <w:szCs w:val="18"/>
          <w:color w:val="000000"/>
        </w:rPr>
        <w:t>$363 million</w:t>
      </w:r>
      <w:r>
        <w:rPr>
          <w:rFonts w:ascii="Arial" w:cs="Arial" w:eastAsia="Arial" w:hAnsi="Arial"/>
          <w:sz w:val="18"/>
          <w:szCs w:val="18"/>
          <w:color w:val="231F20"/>
        </w:rPr>
        <w:t xml:space="preserve"> of restricted cash.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September 30, 2022, these</w:t>
      </w:r>
      <w:r>
        <w:rPr>
          <w:rFonts w:ascii="Arial" w:cs="Arial" w:eastAsia="Arial" w:hAnsi="Arial"/>
          <w:sz w:val="18"/>
          <w:szCs w:val="18"/>
          <w:color w:val="231F20"/>
        </w:rPr>
        <w:t xml:space="preserve"> </w:t>
      </w:r>
      <w:r>
        <w:rPr>
          <w:rFonts w:ascii="Arial" w:cs="Arial" w:eastAsia="Arial" w:hAnsi="Arial"/>
          <w:sz w:val="18"/>
          <w:szCs w:val="18"/>
          <w:color w:val="000000"/>
        </w:rPr>
        <w:t>restricted funds were comprised of $144 million designated to fund operating expenses, approximately $66 million designated for current debt service payments, and $124 million of reserves for debt service, performance obligations and other items including capital expenditures. The remaining $29 million is held in distribution reserve accounts.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 and Strategic Announcements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Equity Partnership Offers for 1.4 GW of Renewable and Energy Storage Projects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31, 2022, Clearway Group offered the Company opportunities to enter into partnership arrangements to own cash equity interests in 1,408 MW of projects that will include wind, solar and solar plus storage assets expected to reach commercial operations between the second half of 2023 and the second half of 2024. The potential corporate capital commitment for the investments are expected to be approximately $410 million. The investments are subject to negotiation, both with Clearway Group and a third-party equity investor, and the review and approval by the Company’s Independent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Waiawa Solar Project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 2022, the Company, through an indirect subsidiary acquired Waiawa BL Borrower Holdco LLC, the indirect owner of the Waiawa solar project, a 36 MW solar project with 144 MWh of storage capacity, located in Honolulu, Hawaii, from a subsidiary of Clearway Group, for cash consideration of $20 million. The project is expected to achieve commercial operations in the fourth quarter of 2022 and its expected output is backed by a 20-year power purchase agreement with an investment-grade utility.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TotalEnergies Acquisition of a 50% Interest in Clearway Group</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12, 2022, Global Infrastructure Partners (GIP) closed a transaction whereby TotalEnergies acquired half of GIP’s interest in Clearway Group. TotalEnergies is expected to enhance growth prospects for the Clearway enterprise by providing (i) a right of first offer, through GIP, on its U.S. onshore renewable assets to the Company and (ii) access to</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TotalEnergies' power marketing capabilities and corporate relationships to optimize the commercial value of the Clearway enterprise’s development and operating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Adequacy Agreement at El Segundo</w:t>
      </w: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August 25, 2022, the Company announced that it had contracted for the El Segundo Energy Center to sell Resource Adequacy to Southern California Edison (SCE) commencing in August 2023. The agreement is for 100% of the facility’s net qualifying capacity and has a contract tenor of three years. With the execution of the contract, the Company has contracted 100% of the Resource Adequacy for the El Segundo Energy Center, Marsh Landing and Walnut Creek assets through approximately 2026.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413 MW Wind Portfolio</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August 22, 2022, the Company acquired a portfolio of operating wind projects from Capistrano Wind Partners, LLC (Capistrano Portfolio) for a base purchase price of approximately $255 million before purchase price adjustments in the net amount of $16 million, representing total net consideration of $239 million. The transaction also included the assumption of $162 million of project level non-recourse debt. The Capistrano Portfolio consists of five utility-scale wind projects representing 413 MW of capacity located in Texas, Nebraska, and Wyoming that achieved commercial operations between 2008 to 2012. The assets within the portfolio sell power under power purchase agreements with investment-grade counterparties that have a weighted average remaining contract duration of approximately 10 years. Concurrent with the closing of the acquisition, the Company also entered into a Development Agreement with Clearway Group, whereby Clearway Group paid $10 million to the Company to partially fund the acquisition of the Capistrano Portfolio for an exclusive right to develop, construct, and repower the projects in the Capistrano Portfolio (Rights Fee)</w:t>
      </w:r>
      <w:r>
        <w:rPr>
          <w:rFonts w:ascii="Arial" w:cs="Arial" w:eastAsia="Arial" w:hAnsi="Arial"/>
          <w:sz w:val="20"/>
          <w:szCs w:val="20"/>
          <w:color w:val="auto"/>
          <w:vertAlign w:val="superscript"/>
        </w:rPr>
        <w:t>4</w:t>
      </w:r>
      <w:r>
        <w:rPr>
          <w:rFonts w:ascii="Arial" w:cs="Arial" w:eastAsia="Arial" w:hAnsi="Arial"/>
          <w:sz w:val="16"/>
          <w:szCs w:val="16"/>
          <w:color w:val="auto"/>
        </w:rPr>
        <w:t>.</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expects its total long-term corporate capital commitment for the acquisition to be approximately $110-130 million</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and is estimated to provide incremental annual levered asset CAFD on a five-year average basis of approximately $12-14 million beginning January 1, 2023.</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 2022, Clearway Energy, Inc.’s Board of Directors declared a quarterly dividend on Class A and Class C common stoc</w:t>
      </w:r>
      <w:r>
        <w:rPr>
          <w:rFonts w:ascii="Arial" w:cs="Arial" w:eastAsia="Arial" w:hAnsi="Arial"/>
          <w:sz w:val="18"/>
          <w:szCs w:val="18"/>
          <w:color w:val="242424"/>
        </w:rPr>
        <w:t>k</w:t>
      </w:r>
      <w:r>
        <w:rPr>
          <w:rFonts w:ascii="Arial" w:cs="Arial" w:eastAsia="Arial" w:hAnsi="Arial"/>
          <w:sz w:val="18"/>
          <w:szCs w:val="18"/>
          <w:color w:val="auto"/>
        </w:rPr>
        <w:t xml:space="preserve"> of $0.3672 pe</w:t>
      </w:r>
      <w:r>
        <w:rPr>
          <w:rFonts w:ascii="Arial" w:cs="Arial" w:eastAsia="Arial" w:hAnsi="Arial"/>
          <w:sz w:val="18"/>
          <w:szCs w:val="18"/>
          <w:color w:val="242424"/>
        </w:rPr>
        <w:t>r</w:t>
      </w:r>
      <w:r>
        <w:rPr>
          <w:rFonts w:ascii="Arial" w:cs="Arial" w:eastAsia="Arial" w:hAnsi="Arial"/>
          <w:sz w:val="18"/>
          <w:szCs w:val="18"/>
          <w:color w:val="auto"/>
        </w:rPr>
        <w:t xml:space="preserve"> share payable on December 15, 2022, to stockholders of record as of December 1, 2022.</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2022, the Company anticipates that, due to the sale of the Thermal Business, it may have positive current year earnings and profits. As a result, a portion of any dividends paid to holders of Class A and Class C common stock in 2022 may be treated as taxable dividends for U.S. federal income tax purposes. Such portion of the dividends that could be treated as taxable will depend upon a number of factors, including, but not limited to, the amount of actual gain from the Thermal business sale, overall business performance, and other business activity during the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420" w:firstLine="8"/>
        <w:spacing w:after="0" w:line="201" w:lineRule="auto"/>
        <w:tabs>
          <w:tab w:leader="none" w:pos="103"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Development Agreement is subject to certain terms and conditions. Upon the first repowering, if any, the Company will reimburse Clearway Group for the Rights Fee at a pre-agreed internal rate of return</w:t>
      </w:r>
    </w:p>
    <w:p>
      <w:pPr>
        <w:spacing w:after="0" w:line="1" w:lineRule="exact"/>
        <w:rPr>
          <w:rFonts w:ascii="Arial" w:cs="Arial" w:eastAsia="Arial" w:hAnsi="Arial"/>
          <w:sz w:val="23"/>
          <w:szCs w:val="23"/>
          <w:color w:val="auto"/>
          <w:vertAlign w:val="superscript"/>
        </w:rPr>
      </w:pPr>
    </w:p>
    <w:p>
      <w:pPr>
        <w:spacing w:after="0" w:line="232"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4"/>
          <w:szCs w:val="14"/>
          <w:color w:val="auto"/>
        </w:rPr>
        <w:t xml:space="preserve"> The long-term corporate capital commitment factors in closing adjustments, proceeds from the Rights Fee, and new non-recourse debt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 and Pro Forma CAFD Outlook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updating its 2022 full year CAFD guidance of $365 million to $350 million due to the forced outages experienced at the Conventional segment.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initiating 2023 full year CAFD guidance of $410 million. The Company's 2023 financial guidance factors in the contribution of committed growth investments based on current expected closing timelines and estimates for merchant energy gross margin at the conventional fleet upon the expiry of their current toll contracts. 2023 CAFD guidance does not factor in the timing of when CAFD is realized from new growth investments pursuant to 5-year averages beyond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updating its pro forma CAFD outlook expectations from approximately $400 million to approximately $390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guidance and the pro forma CAFD outlook continue to be based on median renewable energy production estimates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 2022,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one of the largest renewable energy owners in the US with over 5,500 net MW of installed wind and solar generation projects. The Company's over 8,000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impacts related to COVID-19 (including any variant of the virus) or any other pandemic, statements regarding the</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7"/>
          <w:szCs w:val="17"/>
          <w:color w:val="auto"/>
        </w:rPr>
        <w:t>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Cash Available for Distribution are estimates as of today’s date, November 2, 2022,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8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18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Three months ended September</w:t>
            </w:r>
          </w:p>
        </w:tc>
        <w:tc>
          <w:tcPr>
            <w:tcW w:w="206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4"/>
              </w:rPr>
              <w:t>Nine months ended September</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00" w:type="dxa"/>
            <w:vAlign w:val="bottom"/>
          </w:tcPr>
          <w:p>
            <w:pPr>
              <w:ind w:left="140"/>
              <w:spacing w:after="0" w:line="176" w:lineRule="exact"/>
              <w:rPr>
                <w:sz w:val="20"/>
                <w:szCs w:val="20"/>
                <w:color w:val="auto"/>
              </w:rPr>
            </w:pPr>
            <w:r>
              <w:rPr>
                <w:rFonts w:ascii="Arial" w:cs="Arial" w:eastAsia="Arial" w:hAnsi="Arial"/>
                <w:sz w:val="18"/>
                <w:szCs w:val="18"/>
                <w:color w:val="auto"/>
                <w:w w:val="95"/>
              </w:rPr>
              <w:t>Cost of operations, exclusive of depreciation, amortization and accretion shown separately</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 on sale of business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70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Less: Income (loss) attributable to noncontrolling interests and redeemable noncontrolling</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 A and Class C</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Stockholders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Weighted average number of Class A common shares outstanding - basic and diluted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number of Class C common shares outstanding - basic and diluted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5"/>
        </w:trPr>
        <w:tc>
          <w:tcPr>
            <w:tcW w:w="70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per Weighted Average Class A and Class C Common Share - Basic and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Common Share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0.9875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C Common Share</w:t>
            </w:r>
          </w:p>
        </w:tc>
        <w:tc>
          <w:tcPr>
            <w:tcW w:w="22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0.3604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0.3345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0.9875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580"/>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3"/>
        </w:trPr>
        <w:tc>
          <w:tcPr>
            <w:tcW w:w="7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Other Comprehensive Income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color w:val="auto"/>
                <w:w w:val="90"/>
              </w:rPr>
              <w:t>Unrealized gain on derivatives and changes in accumulated OCI/OCL, net of</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 of $3, $(2), $6 and $(3)</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60" w:type="dxa"/>
            <w:vAlign w:val="bottom"/>
            <w:gridSpan w:val="2"/>
          </w:tcPr>
          <w:p>
            <w:pPr>
              <w:ind w:left="120"/>
              <w:spacing w:after="0" w:line="166" w:lineRule="exact"/>
              <w:rPr>
                <w:sz w:val="20"/>
                <w:szCs w:val="20"/>
                <w:color w:val="auto"/>
              </w:rPr>
            </w:pPr>
            <w:r>
              <w:rPr>
                <w:rFonts w:ascii="Arial" w:cs="Arial" w:eastAsia="Arial" w:hAnsi="Arial"/>
                <w:sz w:val="16"/>
                <w:szCs w:val="16"/>
                <w:color w:val="auto"/>
                <w:w w:val="97"/>
              </w:rPr>
              <w:t>Less: Comprehensive income (loss) attributable to noncontrolling interests and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redeemable noncontrolling interests</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Comprehensive Income Attributable to Clearway Energy, Inc.</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20"/>
                <w:szCs w:val="20"/>
                <w:color w:val="auto"/>
              </w:rPr>
            </w:pPr>
            <w:r>
              <w:rPr>
                <w:rFonts w:ascii="Arial" w:cs="Arial" w:eastAsia="Arial" w:hAnsi="Arial"/>
                <w:sz w:val="14"/>
                <w:szCs w:val="14"/>
                <w:b w:val="1"/>
                <w:bCs w:val="1"/>
                <w:color w:val="auto"/>
              </w:rPr>
              <w:t>(In millions, except shares)</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40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6"/>
        </w:trPr>
        <w:tc>
          <w:tcPr>
            <w:tcW w:w="7660" w:type="dxa"/>
            <w:vAlign w:val="bottom"/>
            <w:vMerge w:val="restart"/>
          </w:tcPr>
          <w:p>
            <w:pPr>
              <w:ind w:left="35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6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Arial" w:cs="Arial" w:eastAsia="Arial" w:hAnsi="Arial"/>
                <w:sz w:val="16"/>
                <w:szCs w:val="16"/>
                <w:color w:val="auto"/>
              </w:rPr>
              <w:t>Current assets held-for-sale</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Arial" w:cs="Arial" w:eastAsia="Arial" w:hAnsi="Arial"/>
                <w:sz w:val="16"/>
                <w:szCs w:val="16"/>
                <w:color w:val="auto"/>
              </w:rPr>
              <w:t>Right-of-use assets, net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6"/>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3,632</w:t>
            </w: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held-for-sale</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193"/>
        </w:trPr>
        <w:tc>
          <w:tcPr>
            <w:tcW w:w="766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Long-term lease liabilities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liabilities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7,882</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w:t>
            </w:r>
          </w:p>
        </w:tc>
        <w:tc>
          <w:tcPr>
            <w:tcW w:w="0" w:type="dxa"/>
            <w:vAlign w:val="bottom"/>
          </w:tcPr>
          <w:p>
            <w:pPr>
              <w:spacing w:after="0"/>
              <w:rPr>
                <w:sz w:val="1"/>
                <w:szCs w:val="1"/>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 in subsidiaries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660" w:type="dxa"/>
            <w:vAlign w:val="bottom"/>
          </w:tcPr>
          <w:p>
            <w:pPr>
              <w:spacing w:after="0" w:line="166" w:lineRule="exact"/>
              <w:rPr>
                <w:sz w:val="20"/>
                <w:szCs w:val="20"/>
                <w:color w:val="auto"/>
              </w:rPr>
            </w:pPr>
            <w:r>
              <w:rPr>
                <w:rFonts w:ascii="Arial" w:cs="Arial" w:eastAsia="Arial" w:hAnsi="Arial"/>
                <w:sz w:val="16"/>
                <w:szCs w:val="16"/>
                <w:color w:val="auto"/>
                <w:w w:val="94"/>
              </w:rPr>
              <w:t>Class A, Class B, Class C and Class D common stock, $0.01 par value; 3,000,000,000 shares authorized (Class A</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line="162" w:lineRule="exact"/>
              <w:rPr>
                <w:sz w:val="20"/>
                <w:szCs w:val="20"/>
                <w:color w:val="auto"/>
              </w:rPr>
            </w:pPr>
            <w:r>
              <w:rPr>
                <w:rFonts w:ascii="Arial" w:cs="Arial" w:eastAsia="Arial" w:hAnsi="Arial"/>
                <w:sz w:val="16"/>
                <w:szCs w:val="16"/>
                <w:color w:val="auto"/>
                <w:w w:val="92"/>
              </w:rPr>
              <w:t>500,000,000, Class B 500,000,000, Class C 1,000,000,000, Class D 1,000,000,000); 201,872,521 shares issued and</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line="162" w:lineRule="exact"/>
              <w:rPr>
                <w:sz w:val="20"/>
                <w:szCs w:val="20"/>
                <w:color w:val="auto"/>
              </w:rPr>
            </w:pPr>
            <w:r>
              <w:rPr>
                <w:rFonts w:ascii="Arial" w:cs="Arial" w:eastAsia="Arial" w:hAnsi="Arial"/>
                <w:sz w:val="16"/>
                <w:szCs w:val="16"/>
                <w:color w:val="auto"/>
                <w:w w:val="94"/>
              </w:rPr>
              <w:t>outstanding (Class A 34,599,645, Class B 42,738,750, Class C 82,197,376, Class D 42,336,750) at September 30,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line="162" w:lineRule="exact"/>
              <w:rPr>
                <w:sz w:val="20"/>
                <w:szCs w:val="20"/>
                <w:color w:val="auto"/>
              </w:rPr>
            </w:pPr>
            <w:r>
              <w:rPr>
                <w:rFonts w:ascii="Arial" w:cs="Arial" w:eastAsia="Arial" w:hAnsi="Arial"/>
                <w:sz w:val="16"/>
                <w:szCs w:val="16"/>
                <w:color w:val="auto"/>
                <w:w w:val="91"/>
              </w:rPr>
              <w:t>2022 and 201,856,166 shares issued and outstanding (Class A 34,599,645, Class B 42,738,750, Class C 81,779,021,</w:t>
            </w: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Arial" w:cs="Arial" w:eastAsia="Arial" w:hAnsi="Arial"/>
                <w:sz w:val="16"/>
                <w:szCs w:val="16"/>
                <w:color w:val="auto"/>
              </w:rPr>
              <w:t>Class D 42,738,750) at December 31, 2021</w:t>
            </w: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540" w:top="567" w:right="539" w:bottom="1440" w:gutter="0" w:footer="0" w:header="0"/>
        </w:sectPr>
      </w:pP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820"/>
          </w:cols>
          <w:pgMar w:left="540" w:top="567" w:right="53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8140" w:type="dxa"/>
            <w:vAlign w:val="bottom"/>
          </w:tcPr>
          <w:p>
            <w:pPr>
              <w:ind w:left="2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Distributions from unconsolidated affiliates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Amortization of financing costs and debt discounts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business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Reduction in carrying amount of right-of-use assets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deferred income taxes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Changes in derivative instruments and amortization of accumulated OCI/OCL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used in changes in other working capital: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Changes in prepaid and accrued liabilities for tolling agreements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working capital</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Acquisitions, net of cash acquired</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Drop Down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Acquisition of Capistrano Wind Portfolio, net of cash acquired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Asset purchase from affiliate</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Return of investment from unconsolidated affiliates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Proceeds from sale of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(Distributions to) contributions from noncontrolling interests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of dividends and distributions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Distributions to CEG of escrowed amounts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Tax-related distributions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Proceeds from the revolving credit facility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the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of 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Payments for short-term and long-term debt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5240"/>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8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769" w:right="619" w:bottom="1440" w:gutter="0" w:footer="0" w:header="0"/>
        </w:sectPr>
      </w:pPr>
    </w:p>
    <w:bookmarkStart w:id="13" w:name="page14"/>
    <w:bookmarkEnd w:id="13"/>
    <w:p>
      <w:pPr>
        <w:jc w:val="center"/>
        <w:ind w:right="6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17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98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3"/>
        </w:trPr>
        <w:tc>
          <w:tcPr>
            <w:tcW w:w="37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OCL, net of tax</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Distributions to CEG, net of contributions, cash</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cash</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Mesquite Sky Drop Down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Black Rock Drop Down</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Mililani I Drop Down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8"/>
              </w:rPr>
              <w:t>Common stock dividends and distributions to CEG</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740" w:type="dxa"/>
            <w:vAlign w:val="bottom"/>
          </w:tcPr>
          <w:p>
            <w:pPr>
              <w:ind w:left="220"/>
              <w:spacing w:after="0"/>
              <w:rPr>
                <w:sz w:val="20"/>
                <w:szCs w:val="20"/>
                <w:color w:val="auto"/>
              </w:rPr>
            </w:pPr>
            <w:r>
              <w:rPr>
                <w:rFonts w:ascii="Arial" w:cs="Arial" w:eastAsia="Arial" w:hAnsi="Arial"/>
                <w:sz w:val="16"/>
                <w:szCs w:val="16"/>
                <w:color w:val="auto"/>
              </w:rPr>
              <w:t>accumulated OCI, net of tax</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CEG, net of contributions, cash</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740" w:type="dxa"/>
            <w:vAlign w:val="bottom"/>
          </w:tcPr>
          <w:p>
            <w:pPr>
              <w:ind w:left="22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8"/>
              </w:rPr>
              <w:t>Common stock dividends and distributions to CEG</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3740" w:type="dxa"/>
            <w:vAlign w:val="bottom"/>
          </w:tcPr>
          <w:p>
            <w:pPr>
              <w:ind w:left="220"/>
              <w:spacing w:after="0"/>
              <w:rPr>
                <w:sz w:val="20"/>
                <w:szCs w:val="20"/>
                <w:color w:val="auto"/>
              </w:rPr>
            </w:pPr>
            <w:r>
              <w:rPr>
                <w:rFonts w:ascii="Arial" w:cs="Arial" w:eastAsia="Arial" w:hAnsi="Arial"/>
                <w:sz w:val="16"/>
                <w:szCs w:val="16"/>
                <w:color w:val="auto"/>
              </w:rPr>
              <w:t>accumulated OCI, net of tax</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CEG, non-cash</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w w:val="99"/>
              </w:rPr>
              <w:t>Contributions from CEG, net of distributions, cash</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Tax-related distributions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3740" w:type="dxa"/>
            <w:vAlign w:val="bottom"/>
          </w:tcPr>
          <w:p>
            <w:pPr>
              <w:ind w:left="22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20"/>
              <w:spacing w:after="0"/>
              <w:rPr>
                <w:sz w:val="20"/>
                <w:szCs w:val="20"/>
                <w:color w:val="auto"/>
              </w:rPr>
            </w:pPr>
            <w:r>
              <w:rPr>
                <w:rFonts w:ascii="Arial" w:cs="Arial" w:eastAsia="Arial" w:hAnsi="Arial"/>
                <w:sz w:val="16"/>
                <w:szCs w:val="16"/>
                <w:color w:val="auto"/>
              </w:rPr>
              <w:t>Capistrano Wind Portfolio Acquisition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Kawailoa Sale to Clearway Renew LLC</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6"/>
                <w:szCs w:val="16"/>
                <w:color w:val="auto"/>
                <w:w w:val="98"/>
              </w:rPr>
              <w:t>Common stock dividends and distributions to CEG</w:t>
            </w:r>
          </w:p>
        </w:tc>
        <w:tc>
          <w:tcPr>
            <w:tcW w:w="12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September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1000" w:top="769"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center"/>
              <w:ind w:right="10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Paid-In</w:t>
            </w:r>
          </w:p>
        </w:tc>
        <w:tc>
          <w:tcPr>
            <w:tcW w:w="9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3"/>
        </w:trPr>
        <w:tc>
          <w:tcPr>
            <w:tcW w:w="374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OCL, net of tax</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6"/>
        </w:trPr>
        <w:tc>
          <w:tcPr>
            <w:tcW w:w="3740" w:type="dxa"/>
            <w:vAlign w:val="bottom"/>
          </w:tcPr>
          <w:p>
            <w:pPr>
              <w:ind w:left="20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374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Agua Caliente acquisition</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3740" w:type="dxa"/>
            <w:vAlign w:val="bottom"/>
          </w:tcPr>
          <w:p>
            <w:pPr>
              <w:ind w:left="200"/>
              <w:spacing w:after="0"/>
              <w:rPr>
                <w:sz w:val="20"/>
                <w:szCs w:val="20"/>
                <w:color w:val="auto"/>
              </w:rPr>
            </w:pPr>
            <w:r>
              <w:rPr>
                <w:rFonts w:ascii="Arial" w:cs="Arial" w:eastAsia="Arial" w:hAnsi="Arial"/>
                <w:sz w:val="16"/>
                <w:szCs w:val="16"/>
                <w:color w:val="auto"/>
              </w:rPr>
              <w:t>Rattlesnake Drop Down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3740" w:type="dxa"/>
            <w:vAlign w:val="bottom"/>
          </w:tcPr>
          <w:p>
            <w:pPr>
              <w:ind w:left="200"/>
              <w:spacing w:after="0" w:line="166" w:lineRule="exact"/>
              <w:rPr>
                <w:sz w:val="20"/>
                <w:szCs w:val="20"/>
                <w:color w:val="auto"/>
              </w:rPr>
            </w:pPr>
            <w:r>
              <w:rPr>
                <w:rFonts w:ascii="Arial" w:cs="Arial" w:eastAsia="Arial" w:hAnsi="Arial"/>
                <w:sz w:val="16"/>
                <w:szCs w:val="16"/>
                <w:color w:val="auto"/>
                <w:w w:val="98"/>
              </w:rPr>
              <w:t>Common stock dividends and distributions to CEG</w:t>
            </w:r>
          </w:p>
        </w:tc>
        <w:tc>
          <w:tcPr>
            <w:tcW w:w="120" w:type="dxa"/>
            <w:vAlign w:val="bottom"/>
          </w:tcPr>
          <w:p>
            <w:pPr>
              <w:spacing w:after="0"/>
              <w:rPr>
                <w:sz w:val="14"/>
                <w:szCs w:val="14"/>
                <w:color w:val="auto"/>
              </w:rPr>
            </w:pP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13"/>
        </w:trPr>
        <w:tc>
          <w:tcPr>
            <w:tcW w:w="374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4"/>
              </w:rPr>
              <w:t>Unrealized gain (loss) on derivatives and changes in</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OCL, net of tax</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3740" w:type="dxa"/>
            <w:vAlign w:val="bottom"/>
          </w:tcPr>
          <w:p>
            <w:pPr>
              <w:ind w:left="20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374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Rattlesnake Drop Down</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 for change in tax basis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3740" w:type="dxa"/>
            <w:vAlign w:val="bottom"/>
          </w:tcPr>
          <w:p>
            <w:pPr>
              <w:ind w:left="200"/>
              <w:spacing w:after="0" w:line="166" w:lineRule="exact"/>
              <w:rPr>
                <w:sz w:val="20"/>
                <w:szCs w:val="20"/>
                <w:color w:val="auto"/>
              </w:rPr>
            </w:pPr>
            <w:r>
              <w:rPr>
                <w:rFonts w:ascii="Arial" w:cs="Arial" w:eastAsia="Arial" w:hAnsi="Arial"/>
                <w:sz w:val="16"/>
                <w:szCs w:val="16"/>
                <w:color w:val="auto"/>
                <w:w w:val="98"/>
              </w:rPr>
              <w:t>Common stock dividends and distributions to CEG</w:t>
            </w:r>
          </w:p>
        </w:tc>
        <w:tc>
          <w:tcPr>
            <w:tcW w:w="120" w:type="dxa"/>
            <w:vAlign w:val="bottom"/>
          </w:tcPr>
          <w:p>
            <w:pPr>
              <w:spacing w:after="0"/>
              <w:rPr>
                <w:sz w:val="14"/>
                <w:szCs w:val="14"/>
                <w:color w:val="auto"/>
              </w:rPr>
            </w:pP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accumulated OCL, net of tax</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4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8"/>
        </w:trPr>
        <w:tc>
          <w:tcPr>
            <w:tcW w:w="37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Distributions to noncontrolling interests, net of</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cash</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2"/>
        </w:trPr>
        <w:tc>
          <w:tcPr>
            <w:tcW w:w="3740" w:type="dxa"/>
            <w:vAlign w:val="bottom"/>
          </w:tcPr>
          <w:p>
            <w:pPr>
              <w:ind w:left="200"/>
              <w:spacing w:after="0" w:line="171" w:lineRule="exact"/>
              <w:rPr>
                <w:sz w:val="20"/>
                <w:szCs w:val="20"/>
                <w:color w:val="auto"/>
              </w:rPr>
            </w:pPr>
            <w:r>
              <w:rPr>
                <w:rFonts w:ascii="Arial" w:cs="Arial" w:eastAsia="Arial" w:hAnsi="Arial"/>
                <w:sz w:val="16"/>
                <w:szCs w:val="16"/>
                <w:color w:val="auto"/>
                <w:w w:val="98"/>
              </w:rPr>
              <w:t>Common stock dividends and distributions to CEG</w:t>
            </w:r>
          </w:p>
        </w:tc>
        <w:tc>
          <w:tcPr>
            <w:tcW w:w="120" w:type="dxa"/>
            <w:vAlign w:val="bottom"/>
          </w:tcPr>
          <w:p>
            <w:pPr>
              <w:spacing w:after="0"/>
              <w:rPr>
                <w:sz w:val="14"/>
                <w:szCs w:val="14"/>
                <w:color w:val="auto"/>
              </w:rPr>
            </w:pP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680" w:top="1174" w:right="69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A-1: Three Months Ended September 30, 2022, Segment Adjusted EBITDA Reconciliation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29"/>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88"/>
        </w:trPr>
        <w:tc>
          <w:tcPr>
            <w:tcW w:w="420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September 30, 2021,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30"/>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60"/>
          </w:cols>
          <w:pgMar w:left="320" w:top="765" w:right="61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A-3: Nine Months Ended September 30, 2022, Segment Adjusted EBITDA Reconciliation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30"/>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42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Other Non-recurring</w:t>
            </w:r>
            <w:r>
              <w:rPr>
                <w:rFonts w:ascii="Arial" w:cs="Arial" w:eastAsia="Arial" w:hAnsi="Arial"/>
                <w:sz w:val="23"/>
                <w:szCs w:val="23"/>
                <w:color w:val="auto"/>
                <w:vertAlign w:val="superscript"/>
              </w:rPr>
              <w:t>6</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188"/>
        </w:trPr>
        <w:tc>
          <w:tcPr>
            <w:tcW w:w="42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Nine Months Ended September 30, 2021,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29"/>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Mark to Market (MtM) Losses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200" w:type="dxa"/>
            <w:vAlign w:val="bottom"/>
            <w:gridSpan w:val="2"/>
          </w:tcPr>
          <w:p>
            <w:pPr>
              <w:ind w:left="320"/>
              <w:spacing w:after="0"/>
              <w:rPr>
                <w:sz w:val="20"/>
                <w:szCs w:val="20"/>
                <w:color w:val="auto"/>
              </w:rPr>
            </w:pPr>
            <w:r>
              <w:rPr>
                <w:rFonts w:ascii="Arial" w:cs="Arial" w:eastAsia="Arial" w:hAnsi="Arial"/>
                <w:sz w:val="18"/>
                <w:szCs w:val="18"/>
                <w:color w:val="auto"/>
              </w:rPr>
              <w:t>on economic hedges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Primarily one-time gain due to the sale of the Thermal Business on May 1, 2022</w:t>
      </w: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320" w:top="765" w:right="6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6" w:lineRule="exact"/>
        <w:rPr>
          <w:sz w:val="20"/>
          <w:szCs w:val="20"/>
          <w:color w:val="auto"/>
        </w:rPr>
      </w:pPr>
    </w:p>
    <w:p>
      <w:pPr>
        <w:ind w:right="440"/>
        <w:spacing w:after="0" w:line="253"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9/30/22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9/30/21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9/30/22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9/30/21</w:t>
            </w: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Changes in prepaid and accrued liabilities for tolling agreements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176"/>
        </w:trPr>
        <w:tc>
          <w:tcPr>
            <w:tcW w:w="5060" w:type="dxa"/>
            <w:vAlign w:val="bottom"/>
          </w:tcPr>
          <w:p>
            <w:pPr>
              <w:ind w:left="180"/>
              <w:spacing w:after="0" w:line="176" w:lineRule="exact"/>
              <w:rPr>
                <w:sz w:val="20"/>
                <w:szCs w:val="20"/>
                <w:color w:val="auto"/>
              </w:rPr>
            </w:pPr>
            <w:r>
              <w:rPr>
                <w:rFonts w:ascii="Arial" w:cs="Arial" w:eastAsia="Arial" w:hAnsi="Arial"/>
                <w:sz w:val="18"/>
                <w:szCs w:val="18"/>
                <w:color w:val="auto"/>
                <w:w w:val="97"/>
              </w:rPr>
              <w:t>Adjustments to reflect sale-type leases and payments for lease</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0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and other</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r>
      <w:tr>
        <w:trPr>
          <w:trHeight w:val="22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working capital and other</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4960" w:type="dxa"/>
            <w:vAlign w:val="bottom"/>
          </w:tcPr>
          <w:p>
            <w:pPr>
              <w:ind w:left="180"/>
              <w:spacing w:after="0" w:line="256"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7</w:t>
            </w:r>
          </w:p>
        </w:tc>
        <w:tc>
          <w:tcPr>
            <w:tcW w:w="8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6"/>
        </w:trPr>
        <w:tc>
          <w:tcPr>
            <w:tcW w:w="4960" w:type="dxa"/>
            <w:vAlign w:val="bottom"/>
          </w:tcPr>
          <w:p>
            <w:pPr>
              <w:ind w:left="180"/>
              <w:spacing w:after="0" w:line="256" w:lineRule="exact"/>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3"/>
                <w:szCs w:val="23"/>
                <w:color w:val="auto"/>
                <w:vertAlign w:val="superscript"/>
              </w:rPr>
              <w:t>8</w:t>
            </w:r>
          </w:p>
        </w:tc>
        <w:tc>
          <w:tcPr>
            <w:tcW w:w="8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4960" w:type="dxa"/>
            <w:vAlign w:val="bottom"/>
            <w:tcBorders>
              <w:bottom w:val="single" w:sz="8" w:color="auto"/>
            </w:tcBorders>
          </w:tcPr>
          <w:p>
            <w:pPr>
              <w:ind w:left="180"/>
              <w:spacing w:after="0" w:line="256"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9</w:t>
            </w: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 before Adjustments</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r>
      <w:tr>
        <w:trPr>
          <w:trHeight w:val="223"/>
        </w:trPr>
        <w:tc>
          <w:tcPr>
            <w:tcW w:w="4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Net Impact of Capistrano given timing of project debt service</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Borders>
              <w:bottom w:val="single" w:sz="8" w:color="auto"/>
            </w:tcBorders>
            <w:shd w:val="clear" w:color="auto" w:fill="CCEEFF"/>
          </w:tcPr>
          <w:p>
            <w:pPr>
              <w:ind w:left="20"/>
              <w:spacing w:after="0" w:line="250" w:lineRule="exact"/>
              <w:rPr>
                <w:sz w:val="20"/>
                <w:szCs w:val="20"/>
                <w:color w:val="auto"/>
              </w:rPr>
            </w:pPr>
            <w:r>
              <w:rPr>
                <w:rFonts w:ascii="Arial" w:cs="Arial" w:eastAsia="Arial" w:hAnsi="Arial"/>
                <w:sz w:val="18"/>
                <w:szCs w:val="18"/>
                <w:b w:val="1"/>
                <w:bCs w:val="1"/>
                <w:color w:val="auto"/>
              </w:rPr>
              <w:t>Cash Available for Distribution</w:t>
            </w:r>
            <w:r>
              <w:rPr>
                <w:rFonts w:ascii="Arial" w:cs="Arial" w:eastAsia="Arial" w:hAnsi="Arial"/>
                <w:sz w:val="23"/>
                <w:szCs w:val="23"/>
                <w:b w:val="1"/>
                <w:bCs w:val="1"/>
                <w:color w:val="auto"/>
                <w:vertAlign w:val="superscript"/>
              </w:rPr>
              <w:t>10</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Primarily relates to Thermal Development Expenses</w:t>
      </w:r>
    </w:p>
    <w:p>
      <w:pPr>
        <w:spacing w:after="0" w:line="31" w:lineRule="exact"/>
        <w:rPr>
          <w:sz w:val="20"/>
          <w:szCs w:val="20"/>
          <w:color w:val="auto"/>
        </w:rPr>
      </w:pPr>
    </w:p>
    <w:p>
      <w:pPr>
        <w:ind w:right="380" w:firstLine="8"/>
        <w:spacing w:after="0" w:line="210"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2022 excludes $50 million of contributions related to the funding of Mesquite Sky, Black Rock, and Mililani, and $2 million of distributions related to release of inverter reserves at Agua Caliente; 2021 excludes $107 million of contributions related to funding of Rattlesnake and $49 million of Hawaii refundable state tax credits</w:t>
      </w:r>
    </w:p>
    <w:p>
      <w:pPr>
        <w:spacing w:after="0" w:line="33" w:lineRule="exact"/>
        <w:rPr>
          <w:sz w:val="20"/>
          <w:szCs w:val="20"/>
          <w:color w:val="auto"/>
        </w:rPr>
      </w:pPr>
    </w:p>
    <w:p>
      <w:pPr>
        <w:ind w:firstLine="8"/>
        <w:spacing w:after="0" w:line="207" w:lineRule="auto"/>
        <w:tabs>
          <w:tab w:leader="none" w:pos="103"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2022 excludes $660 million for the repayment of the Bridge Loan Facility and revolver payments, $186 million for the refinancing of Tapestry Wind, Laredo Ridge, and Viento, and $27 million for the repayment of bridge loans in connection with Mililani; 2021 excludes $936 million total consideration for the redemption of Corporate Notes and revolver payments, $176 million in connection with Rattlesnake debt repaid at acquisition, and $52 million in connection with Pinnacle repowering</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10</w:t>
      </w:r>
      <w:r>
        <w:rPr>
          <w:rFonts w:ascii="Arial" w:cs="Arial" w:eastAsia="Arial" w:hAnsi="Arial"/>
          <w:sz w:val="14"/>
          <w:szCs w:val="14"/>
          <w:color w:val="auto"/>
        </w:rPr>
        <w:t xml:space="preserve"> Excludes income tax payments related to Thermal sale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1008" w:right="359" w:bottom="1440" w:gutter="0" w:footer="0" w:header="0"/>
        </w:sectPr>
      </w:pPr>
    </w:p>
    <w:bookmarkStart w:id="18" w:name="page19"/>
    <w:bookmarkEnd w:id="18"/>
    <w:p>
      <w:pPr>
        <w:ind w:right="2299"/>
        <w:spacing w:after="0" w:line="281" w:lineRule="auto"/>
        <w:rPr>
          <w:sz w:val="20"/>
          <w:szCs w:val="20"/>
          <w:color w:val="auto"/>
        </w:rPr>
      </w:pPr>
      <w:r>
        <w:rPr>
          <w:rFonts w:ascii="Arial" w:cs="Arial" w:eastAsia="Arial" w:hAnsi="Arial"/>
          <w:sz w:val="20"/>
          <w:szCs w:val="20"/>
          <w:b w:val="1"/>
          <w:bCs w:val="1"/>
          <w:color w:val="auto"/>
        </w:rPr>
        <w:t xml:space="preserve">Appendix Table A-6: Nine Months Ended September 30, 2022, Sources and Uses of Liquidity </w:t>
      </w:r>
      <w:r>
        <w:rPr>
          <w:rFonts w:ascii="Arial" w:cs="Arial" w:eastAsia="Arial" w:hAnsi="Arial"/>
          <w:sz w:val="20"/>
          <w:szCs w:val="20"/>
          <w:color w:val="auto"/>
        </w:rPr>
        <w:t>The following table summarizes the sources and uses of liquidity in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57"/>
              <w:spacing w:after="0"/>
              <w:rPr>
                <w:sz w:val="20"/>
                <w:szCs w:val="20"/>
                <w:color w:val="auto"/>
              </w:rPr>
            </w:pPr>
            <w:r>
              <w:rPr>
                <w:rFonts w:ascii="Arial" w:cs="Arial" w:eastAsia="Arial" w:hAnsi="Arial"/>
                <w:sz w:val="18"/>
                <w:szCs w:val="18"/>
                <w:b w:val="1"/>
                <w:bCs w:val="1"/>
                <w:color w:val="auto"/>
                <w:w w:val="92"/>
              </w:rPr>
              <w:t>Nine Months</w:t>
            </w:r>
          </w:p>
        </w:tc>
      </w:tr>
      <w:tr>
        <w:trPr>
          <w:trHeight w:val="229"/>
        </w:trPr>
        <w:tc>
          <w:tcPr>
            <w:tcW w:w="4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8"/>
                <w:szCs w:val="18"/>
                <w:b w:val="1"/>
                <w:bCs w:val="1"/>
                <w:color w:val="auto"/>
                <w:w w:val="93"/>
              </w:rPr>
              <w:t>9/30/22</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Proceeds from sale of business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1,457</w:t>
            </w: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revolving credit facility</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9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long-term debt</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Payments for the revolving credit facility</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Capistrano Wind Portfolio, net of cash acquired</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Payments of dividends and distributions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Distributions to CEG of escrowed amounts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4900" w:type="dxa"/>
            <w:vAlign w:val="bottom"/>
          </w:tcPr>
          <w:p>
            <w:pPr>
              <w:ind w:left="180"/>
              <w:spacing w:after="0"/>
              <w:rPr>
                <w:sz w:val="20"/>
                <w:szCs w:val="20"/>
                <w:color w:val="auto"/>
              </w:rPr>
            </w:pPr>
            <w:r>
              <w:rPr>
                <w:rFonts w:ascii="Arial" w:cs="Arial" w:eastAsia="Arial" w:hAnsi="Arial"/>
                <w:sz w:val="16"/>
                <w:szCs w:val="16"/>
                <w:color w:val="auto"/>
              </w:rPr>
              <w:t>Other net cash outflows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66"/>
        </w:trPr>
        <w:tc>
          <w:tcPr>
            <w:tcW w:w="49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Change in total cash, cash equivalents, and restricted cash</w:t>
            </w: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w:t>
            </w:r>
          </w:p>
        </w:tc>
      </w:tr>
      <w:tr>
        <w:trPr>
          <w:trHeight w:val="723"/>
        </w:trPr>
        <w:tc>
          <w:tcPr>
            <w:tcW w:w="4900" w:type="dxa"/>
            <w:vAlign w:val="bottom"/>
          </w:tcPr>
          <w:p>
            <w:pPr>
              <w:spacing w:after="0"/>
              <w:rPr>
                <w:sz w:val="24"/>
                <w:szCs w:val="24"/>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39"/>
          </w:cols>
          <w:pgMar w:left="320" w:top="1008" w:right="1440"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Appendix Table A-7: Adjusted EBITDA and Cash Available for Distribution Guidance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Prior</w:t>
            </w: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2022 Full Year</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2023 Full Year</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92"/>
              </w:rPr>
              <w:t>2022 Full Year</w:t>
            </w:r>
          </w:p>
        </w:tc>
        <w:tc>
          <w:tcPr>
            <w:tcW w:w="1420" w:type="dxa"/>
            <w:vAlign w:val="bottom"/>
            <w:gridSpan w:val="3"/>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Guidance</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Guidance</w:t>
            </w:r>
          </w:p>
        </w:tc>
        <w:tc>
          <w:tcPr>
            <w:tcW w:w="180" w:type="dxa"/>
            <w:vAlign w:val="bottom"/>
          </w:tcPr>
          <w:p>
            <w:pPr>
              <w:spacing w:after="0"/>
              <w:rPr>
                <w:sz w:val="21"/>
                <w:szCs w:val="21"/>
                <w:color w:val="auto"/>
              </w:rPr>
            </w:pPr>
          </w:p>
        </w:tc>
        <w:tc>
          <w:tcPr>
            <w:tcW w:w="1080" w:type="dxa"/>
            <w:vAlign w:val="bottom"/>
          </w:tcPr>
          <w:p>
            <w:pPr>
              <w:jc w:val="right"/>
              <w:ind w:right="179"/>
              <w:spacing w:after="0"/>
              <w:rPr>
                <w:sz w:val="20"/>
                <w:szCs w:val="20"/>
                <w:color w:val="auto"/>
              </w:rPr>
            </w:pPr>
            <w:r>
              <w:rPr>
                <w:rFonts w:ascii="Arial" w:cs="Arial" w:eastAsia="Arial" w:hAnsi="Arial"/>
                <w:sz w:val="18"/>
                <w:szCs w:val="18"/>
                <w:b w:val="1"/>
                <w:bCs w:val="1"/>
                <w:color w:val="auto"/>
                <w:w w:val="97"/>
              </w:rPr>
              <w:t>Guidance</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75"/>
        </w:trPr>
        <w:tc>
          <w:tcPr>
            <w:tcW w:w="52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 to reflect CWEN share of Adjusted EBITDA in</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9"/>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1,170</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75"/>
        </w:trPr>
        <w:tc>
          <w:tcPr>
            <w:tcW w:w="522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sale-type leases and payments for lease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3"/>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11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Payment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12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Net distributions to non-controlling interest</w:t>
            </w:r>
            <w:r>
              <w:rPr>
                <w:rFonts w:ascii="Arial" w:cs="Arial" w:eastAsia="Arial" w:hAnsi="Arial"/>
                <w:sz w:val="23"/>
                <w:szCs w:val="23"/>
                <w:color w:val="auto"/>
                <w:vertAlign w:val="superscript"/>
              </w:rPr>
              <w:t>13</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50"/>
        </w:trPr>
        <w:tc>
          <w:tcPr>
            <w:tcW w:w="5080" w:type="dxa"/>
            <w:vAlign w:val="bottom"/>
            <w:tcBorders>
              <w:top w:val="single" w:sz="8" w:color="auto"/>
              <w:bottom w:val="single" w:sz="8" w:color="auto"/>
            </w:tcBorders>
            <w:shd w:val="clear" w:color="auto" w:fill="CCEEFF"/>
          </w:tcPr>
          <w:p>
            <w:pPr>
              <w:ind w:left="20"/>
              <w:spacing w:after="0" w:line="250" w:lineRule="exact"/>
              <w:rPr>
                <w:sz w:val="20"/>
                <w:szCs w:val="20"/>
                <w:color w:val="auto"/>
              </w:rPr>
            </w:pPr>
            <w:r>
              <w:rPr>
                <w:rFonts w:ascii="Arial" w:cs="Arial" w:eastAsia="Arial" w:hAnsi="Arial"/>
                <w:sz w:val="18"/>
                <w:szCs w:val="18"/>
                <w:b w:val="1"/>
                <w:bCs w:val="1"/>
                <w:color w:val="auto"/>
              </w:rPr>
              <w:t>Cash Available for Distribution</w:t>
            </w:r>
            <w:r>
              <w:rPr>
                <w:rFonts w:ascii="Arial" w:cs="Arial" w:eastAsia="Arial" w:hAnsi="Arial"/>
                <w:sz w:val="23"/>
                <w:szCs w:val="23"/>
                <w:b w:val="1"/>
                <w:bCs w:val="1"/>
                <w:color w:val="auto"/>
                <w:vertAlign w:val="superscript"/>
              </w:rPr>
              <w:t>14</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18" w:lineRule="exact"/>
        <w:rPr>
          <w:rFonts w:ascii="Arial" w:cs="Arial" w:eastAsia="Arial" w:hAnsi="Arial"/>
          <w:sz w:val="20"/>
          <w:szCs w:val="20"/>
          <w:color w:val="auto"/>
          <w:vertAlign w:val="superscript"/>
        </w:rPr>
      </w:pPr>
    </w:p>
    <w:p>
      <w:pPr>
        <w:ind w:left="160" w:hanging="152"/>
        <w:spacing w:after="0" w:line="186"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Primarily related to Thermal Development Expenses</w:t>
      </w:r>
    </w:p>
    <w:p>
      <w:pPr>
        <w:spacing w:after="0" w:line="19" w:lineRule="exact"/>
        <w:rPr>
          <w:rFonts w:ascii="Arial" w:cs="Arial" w:eastAsia="Arial" w:hAnsi="Arial"/>
          <w:sz w:val="19"/>
          <w:szCs w:val="19"/>
          <w:color w:val="auto"/>
          <w:vertAlign w:val="superscript"/>
        </w:rPr>
      </w:pPr>
    </w:p>
    <w:p>
      <w:pPr>
        <w:ind w:left="160" w:hanging="152"/>
        <w:spacing w:after="0" w:line="186"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Includes tax equity proceeds and distributions to tax equity partners</w:t>
      </w:r>
    </w:p>
    <w:p>
      <w:pPr>
        <w:spacing w:after="0" w:line="33" w:lineRule="exact"/>
        <w:rPr>
          <w:rFonts w:ascii="Arial" w:cs="Arial" w:eastAsia="Arial" w:hAnsi="Arial"/>
          <w:sz w:val="19"/>
          <w:szCs w:val="19"/>
          <w:color w:val="auto"/>
          <w:vertAlign w:val="superscript"/>
        </w:rPr>
      </w:pPr>
    </w:p>
    <w:p>
      <w:pPr>
        <w:ind w:left="160" w:hanging="152"/>
        <w:spacing w:after="0" w:line="186"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Excludes income tax payments related to Thermal sale</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820"/>
          </w:cols>
          <w:pgMar w:left="320" w:top="765" w:right="7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Appendix Table A-8: Adjusted EBITDA and Cash Available for Distribution Pro Forma Outlook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Prior</w:t>
            </w:r>
          </w:p>
        </w:tc>
        <w:tc>
          <w:tcPr>
            <w:tcW w:w="160" w:type="dxa"/>
            <w:vAlign w:val="bottom"/>
          </w:tcPr>
          <w:p>
            <w:pPr>
              <w:spacing w:after="0"/>
              <w:rPr>
                <w:sz w:val="17"/>
                <w:szCs w:val="17"/>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w w:val="95"/>
              </w:rPr>
              <w:t>Pro Forma</w:t>
            </w: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Pro Forma</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CAFD Outlook</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CAFD Outlook</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 to reflect CWEN share of Adjusted EBITDA in</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52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sale-type leases and payments for lease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2"/>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Cash distributions from unconsolidated affiliates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767</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Net distributions to non-controlling 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A-9: Growth Investments 5 Year Average CAFD</w:t>
      </w:r>
    </w:p>
    <w:p>
      <w:pPr>
        <w:sectPr>
          <w:pgSz w:w="11900" w:h="16838" w:orient="portrait"/>
          <w:cols w:equalWidth="0" w:num="1">
            <w:col w:w="10139"/>
          </w:cols>
          <w:pgMar w:left="320" w:top="765" w:right="1440" w:bottom="1440" w:gutter="0" w:footer="0" w:header="0"/>
        </w:sect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802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88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8023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8023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Amortization, and ARO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88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802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88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2" w:lineRule="exact"/>
        <w:rPr>
          <w:sz w:val="20"/>
          <w:szCs w:val="20"/>
          <w:color w:val="auto"/>
        </w:rPr>
      </w:pPr>
    </w:p>
    <w:p>
      <w:pPr>
        <w:ind w:left="140" w:right="1240" w:hanging="107"/>
        <w:spacing w:after="0" w:line="305" w:lineRule="auto"/>
        <w:rPr>
          <w:sz w:val="20"/>
          <w:szCs w:val="20"/>
          <w:color w:val="auto"/>
        </w:rPr>
      </w:pPr>
      <w:r>
        <w:rPr>
          <w:rFonts w:ascii="Arial" w:cs="Arial" w:eastAsia="Arial" w:hAnsi="Arial"/>
          <w:sz w:val="16"/>
          <w:szCs w:val="16"/>
          <w:b w:val="1"/>
          <w:bCs w:val="1"/>
          <w:color w:val="auto"/>
        </w:rPr>
        <w:t xml:space="preserve">Cash from Operating Activities </w:t>
      </w:r>
      <w:r>
        <w:rPr>
          <w:rFonts w:ascii="Arial" w:cs="Arial" w:eastAsia="Arial" w:hAnsi="Arial"/>
          <w:sz w:val="16"/>
          <w:szCs w:val="16"/>
          <w:color w:val="auto"/>
        </w:rPr>
        <w:t>Maintenance capital expenditures 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43802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80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438023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Estimated 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888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3419"/>
        <w:spacing w:after="0"/>
        <w:rPr>
          <w:sz w:val="20"/>
          <w:szCs w:val="20"/>
          <w:color w:val="auto"/>
        </w:rPr>
      </w:pPr>
      <w:r>
        <w:rPr>
          <w:rFonts w:ascii="Arial" w:cs="Arial" w:eastAsia="Arial" w:hAnsi="Arial"/>
          <w:sz w:val="17"/>
          <w:szCs w:val="17"/>
          <w:b w:val="1"/>
          <w:bCs w:val="1"/>
          <w:color w:val="auto"/>
        </w:rPr>
        <w:t>413 MW Wind Portfolio</w:t>
      </w:r>
    </w:p>
    <w:p>
      <w:pPr>
        <w:jc w:val="right"/>
        <w:ind w:right="3479"/>
        <w:spacing w:after="0"/>
        <w:rPr>
          <w:sz w:val="20"/>
          <w:szCs w:val="20"/>
          <w:color w:val="auto"/>
        </w:rPr>
      </w:pPr>
      <w:r>
        <w:rPr>
          <w:rFonts w:ascii="Arial" w:cs="Arial" w:eastAsia="Arial" w:hAnsi="Arial"/>
          <w:sz w:val="17"/>
          <w:szCs w:val="17"/>
          <w:b w:val="1"/>
          <w:bCs w:val="1"/>
          <w:color w:val="auto"/>
        </w:rPr>
        <w:t>5 Year Ave. 2023-2027</w:t>
      </w:r>
    </w:p>
    <w:p>
      <w:pPr>
        <w:spacing w:after="0" w:line="59" w:lineRule="exact"/>
        <w:rPr>
          <w:sz w:val="20"/>
          <w:szCs w:val="20"/>
          <w:color w:val="auto"/>
        </w:rPr>
      </w:pPr>
    </w:p>
    <w:p>
      <w:pPr>
        <w:jc w:val="right"/>
        <w:ind w:right="3259"/>
        <w:spacing w:after="0"/>
        <w:rPr>
          <w:sz w:val="20"/>
          <w:szCs w:val="20"/>
          <w:color w:val="auto"/>
        </w:rPr>
      </w:pPr>
      <w:r>
        <w:rPr>
          <w:rFonts w:ascii="Arial" w:cs="Arial" w:eastAsia="Arial" w:hAnsi="Arial"/>
          <w:sz w:val="16"/>
          <w:szCs w:val="16"/>
          <w:b w:val="1"/>
          <w:bCs w:val="1"/>
          <w:color w:val="auto"/>
        </w:rPr>
        <w:t>29 - 30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20320</wp:posOffset>
            </wp:positionV>
            <wp:extent cx="1397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43" w:lineRule="exact"/>
        <w:rPr>
          <w:sz w:val="20"/>
          <w:szCs w:val="20"/>
          <w:color w:val="auto"/>
        </w:rPr>
      </w:pPr>
    </w:p>
    <w:p>
      <w:pPr>
        <w:jc w:val="right"/>
        <w:ind w:right="3259"/>
        <w:spacing w:after="0"/>
        <w:rPr>
          <w:sz w:val="20"/>
          <w:szCs w:val="20"/>
          <w:color w:val="auto"/>
        </w:rPr>
      </w:pPr>
      <w:r>
        <w:rPr>
          <w:rFonts w:ascii="Arial" w:cs="Arial" w:eastAsia="Arial" w:hAnsi="Arial"/>
          <w:sz w:val="16"/>
          <w:szCs w:val="16"/>
          <w:color w:val="auto"/>
        </w:rPr>
        <w:t>12 - 10</w:t>
      </w:r>
    </w:p>
    <w:p>
      <w:pPr>
        <w:spacing w:after="0" w:line="4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17780</wp:posOffset>
            </wp:positionV>
            <wp:extent cx="1397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53</w:t>
      </w:r>
    </w:p>
    <w:p>
      <w:pPr>
        <w:spacing w:after="0" w:line="63" w:lineRule="exact"/>
        <w:rPr>
          <w:sz w:val="20"/>
          <w:szCs w:val="20"/>
          <w:color w:val="auto"/>
        </w:rPr>
      </w:pPr>
    </w:p>
    <w:p>
      <w:pPr>
        <w:jc w:val="right"/>
        <w:ind w:right="3259"/>
        <w:spacing w:after="0"/>
        <w:rPr>
          <w:sz w:val="20"/>
          <w:szCs w:val="20"/>
          <w:color w:val="auto"/>
        </w:rPr>
      </w:pPr>
      <w:r>
        <w:rPr>
          <w:rFonts w:ascii="Arial" w:cs="Arial" w:eastAsia="Arial" w:hAnsi="Arial"/>
          <w:sz w:val="16"/>
          <w:szCs w:val="16"/>
          <w:color w:val="auto"/>
        </w:rPr>
        <w:t>(12)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17780</wp:posOffset>
            </wp:positionV>
            <wp:extent cx="1397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5" w:lineRule="exact"/>
        <w:rPr>
          <w:sz w:val="20"/>
          <w:szCs w:val="20"/>
          <w:color w:val="auto"/>
        </w:rPr>
      </w:pPr>
    </w:p>
    <w:p>
      <w:pPr>
        <w:jc w:val="right"/>
        <w:ind w:right="3259"/>
        <w:spacing w:after="0"/>
        <w:rPr>
          <w:sz w:val="20"/>
          <w:szCs w:val="20"/>
          <w:color w:val="auto"/>
        </w:rPr>
      </w:pPr>
      <w:r>
        <w:rPr>
          <w:rFonts w:ascii="Arial" w:cs="Arial" w:eastAsia="Arial" w:hAnsi="Arial"/>
          <w:sz w:val="16"/>
          <w:szCs w:val="16"/>
          <w:b w:val="1"/>
          <w:bCs w:val="1"/>
          <w:color w:val="auto"/>
        </w:rPr>
        <w:t>41 - 43</w:t>
      </w:r>
    </w:p>
    <w:p>
      <w:pPr>
        <w:spacing w:after="0" w:line="50" w:lineRule="exact"/>
        <w:rPr>
          <w:sz w:val="20"/>
          <w:szCs w:val="20"/>
          <w:color w:val="auto"/>
        </w:rPr>
      </w:pPr>
    </w:p>
    <w:p>
      <w:pPr>
        <w:jc w:val="right"/>
        <w:ind w:right="3259"/>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jc w:val="right"/>
        <w:ind w:right="3259"/>
        <w:spacing w:after="0"/>
        <w:rPr>
          <w:sz w:val="20"/>
          <w:szCs w:val="20"/>
          <w:color w:val="auto"/>
        </w:rPr>
      </w:pPr>
      <w:r>
        <w:rPr>
          <w:rFonts w:ascii="Arial" w:cs="Arial" w:eastAsia="Arial" w:hAnsi="Arial"/>
          <w:sz w:val="16"/>
          <w:szCs w:val="16"/>
          <w:color w:val="auto"/>
        </w:rPr>
        <w:t>(26)</w:t>
      </w:r>
    </w:p>
    <w:p>
      <w:pPr>
        <w:spacing w:after="0" w:line="55" w:lineRule="exact"/>
        <w:rPr>
          <w:sz w:val="20"/>
          <w:szCs w:val="20"/>
          <w:color w:val="auto"/>
        </w:rPr>
      </w:pPr>
    </w:p>
    <w:p>
      <w:pPr>
        <w:jc w:val="right"/>
        <w:ind w:right="3259"/>
        <w:spacing w:after="0"/>
        <w:rPr>
          <w:sz w:val="20"/>
          <w:szCs w:val="20"/>
          <w:color w:val="auto"/>
        </w:rPr>
      </w:pPr>
      <w:r>
        <w:rPr>
          <w:rFonts w:ascii="Arial" w:cs="Arial" w:eastAsia="Arial" w:hAnsi="Arial"/>
          <w:sz w:val="16"/>
          <w:szCs w:val="16"/>
          <w:b w:val="1"/>
          <w:bCs w:val="1"/>
          <w:color w:val="auto"/>
        </w:rPr>
        <w:t>12 - 14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20320</wp:posOffset>
            </wp:positionV>
            <wp:extent cx="1397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5279"/>
          </w:cols>
          <w:pgMar w:left="320" w:top="765" w:right="1440" w:bottom="1440" w:gutter="0" w:footer="0" w:header="0"/>
          <w:type w:val="continuous"/>
        </w:sect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39"/>
          </w:cols>
          <w:pgMar w:left="320" w:top="765"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non-GAAP measure, Cash Available for Distribution is defined as of September 30, 2022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2022-11-02T05:38:02Z</dcterms:created>
  <dcterms:modified xsi:type="dcterms:W3CDTF">2022-11-02T05:38:02Z</dcterms:modified>
</cp:coreProperties>
</file>